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10"/>
        </w:tabs>
        <w:snapToGrid w:val="0"/>
        <w:jc w:val="center"/>
        <w:rPr>
          <w:rFonts w:ascii="Times New Roman" w:hAnsi="Times New Roman" w:eastAsia="方正小标宋简体" w:cs="方正小标宋简体"/>
          <w:b/>
          <w:bCs/>
          <w:sz w:val="44"/>
          <w:szCs w:val="44"/>
          <w:highlight w:val="none"/>
        </w:rPr>
      </w:pPr>
      <w:bookmarkStart w:id="0" w:name="_Toc25240278"/>
      <w:r>
        <w:rPr>
          <w:rFonts w:hint="eastAsia" w:ascii="Times New Roman" w:hAnsi="Times New Roman" w:eastAsia="方正小标宋简体" w:cs="方正小标宋简体"/>
          <w:b/>
          <w:bCs/>
          <w:sz w:val="44"/>
          <w:szCs w:val="44"/>
          <w:highlight w:val="none"/>
        </w:rPr>
        <w:t>山东省</w:t>
      </w:r>
      <w:r>
        <w:rPr>
          <w:rFonts w:ascii="Times New Roman" w:hAnsi="Times New Roman" w:eastAsia="方正小标宋简体" w:cs="方正小标宋简体"/>
          <w:b/>
          <w:bCs/>
          <w:sz w:val="44"/>
          <w:szCs w:val="44"/>
          <w:highlight w:val="none"/>
        </w:rPr>
        <w:t>生态环境行政处罚裁量基准</w:t>
      </w:r>
    </w:p>
    <w:p>
      <w:pPr>
        <w:tabs>
          <w:tab w:val="left" w:pos="3210"/>
        </w:tabs>
        <w:snapToGrid w:val="0"/>
        <w:jc w:val="center"/>
        <w:rPr>
          <w:rFonts w:hint="eastAsia" w:ascii="Times New Roman" w:hAnsi="Times New Roman" w:eastAsia="方正小标宋简体" w:cs="方正小标宋简体"/>
          <w:b/>
          <w:bCs/>
          <w:sz w:val="44"/>
          <w:szCs w:val="44"/>
          <w:highlight w:val="none"/>
          <w:lang w:eastAsia="zh-CN"/>
        </w:rPr>
      </w:pPr>
      <w:r>
        <w:rPr>
          <w:rFonts w:hint="eastAsia" w:ascii="Times New Roman" w:hAnsi="Times New Roman" w:eastAsia="方正小标宋简体" w:cs="方正小标宋简体"/>
          <w:b/>
          <w:bCs/>
          <w:sz w:val="44"/>
          <w:szCs w:val="44"/>
          <w:highlight w:val="none"/>
          <w:lang w:eastAsia="zh-CN"/>
        </w:rPr>
        <w:t>（</w:t>
      </w:r>
      <w:r>
        <w:rPr>
          <w:rFonts w:hint="eastAsia" w:ascii="Times New Roman" w:hAnsi="Times New Roman" w:eastAsia="方正小标宋简体" w:cs="方正小标宋简体"/>
          <w:b/>
          <w:bCs/>
          <w:sz w:val="44"/>
          <w:szCs w:val="44"/>
          <w:highlight w:val="none"/>
          <w:lang w:val="en-US" w:eastAsia="zh-CN"/>
        </w:rPr>
        <w:t>征求意见稿</w:t>
      </w:r>
      <w:r>
        <w:rPr>
          <w:rFonts w:hint="eastAsia" w:ascii="Times New Roman" w:hAnsi="Times New Roman" w:eastAsia="方正小标宋简体" w:cs="方正小标宋简体"/>
          <w:b/>
          <w:bCs/>
          <w:sz w:val="44"/>
          <w:szCs w:val="44"/>
          <w:highlight w:val="none"/>
          <w:lang w:eastAsia="zh-CN"/>
        </w:rPr>
        <w:t>）</w:t>
      </w:r>
    </w:p>
    <w:p>
      <w:pPr>
        <w:shd w:val="clear"/>
        <w:tabs>
          <w:tab w:val="left" w:pos="3210"/>
        </w:tabs>
        <w:snapToGrid w:val="0"/>
        <w:jc w:val="center"/>
        <w:rPr>
          <w:highlight w:val="none"/>
        </w:rPr>
      </w:pPr>
      <w:r>
        <w:rPr>
          <w:rFonts w:ascii="Times New Roman" w:hAnsi="Times New Roman" w:eastAsia="方正小标宋简体" w:cs="方正小标宋简体"/>
          <w:b/>
          <w:bCs/>
          <w:sz w:val="44"/>
          <w:szCs w:val="44"/>
          <w:highlight w:val="none"/>
        </w:rPr>
        <w:fldChar w:fldCharType="begin"/>
      </w:r>
      <w:r>
        <w:rPr>
          <w:rFonts w:ascii="Times New Roman" w:hAnsi="Times New Roman" w:eastAsia="方正小标宋简体" w:cs="方正小标宋简体"/>
          <w:b/>
          <w:bCs/>
          <w:sz w:val="44"/>
          <w:szCs w:val="44"/>
          <w:highlight w:val="none"/>
        </w:rPr>
        <w:instrText xml:space="preserve"> TOC \o "1-3" \h \z \u </w:instrText>
      </w:r>
      <w:r>
        <w:rPr>
          <w:rFonts w:ascii="Times New Roman" w:hAnsi="Times New Roman" w:eastAsia="方正小标宋简体" w:cs="方正小标宋简体"/>
          <w:b/>
          <w:bCs/>
          <w:sz w:val="44"/>
          <w:szCs w:val="44"/>
          <w:highlight w:val="none"/>
        </w:rPr>
        <w:fldChar w:fldCharType="separate"/>
      </w:r>
    </w:p>
    <w:p>
      <w:pPr>
        <w:pStyle w:val="9"/>
        <w:shd w:val="clear"/>
        <w:rPr>
          <w:rFonts w:ascii="Calibri" w:eastAsia="宋体" w:cs="Times New Roman"/>
          <w:b w:val="0"/>
          <w:bCs w:val="0"/>
          <w:color w:val="auto"/>
          <w:sz w:val="21"/>
          <w:szCs w:val="22"/>
          <w:highlight w:val="none"/>
        </w:rPr>
      </w:pPr>
      <w:r>
        <w:rPr>
          <w:color w:val="auto"/>
          <w:highlight w:val="none"/>
        </w:rPr>
        <w:fldChar w:fldCharType="begin"/>
      </w:r>
      <w:r>
        <w:rPr>
          <w:color w:val="auto"/>
          <w:highlight w:val="none"/>
        </w:rPr>
        <w:instrText xml:space="preserve"> HYPERLINK \l "_Toc91081264" </w:instrText>
      </w:r>
      <w:r>
        <w:rPr>
          <w:color w:val="auto"/>
          <w:highlight w:val="none"/>
        </w:rPr>
        <w:fldChar w:fldCharType="separate"/>
      </w:r>
      <w:r>
        <w:rPr>
          <w:rStyle w:val="18"/>
          <w:rFonts w:hint="eastAsia" w:ascii="Times New Roman" w:hAnsi="Times New Roman"/>
          <w:color w:val="auto"/>
          <w:highlight w:val="none"/>
        </w:rPr>
        <w:t>山东省生态环境行政处罚裁量基准适用规定</w:t>
      </w:r>
      <w:r>
        <w:rPr>
          <w:color w:val="auto"/>
          <w:highlight w:val="none"/>
        </w:rPr>
        <w:tab/>
      </w:r>
      <w:r>
        <w:rPr>
          <w:color w:val="auto"/>
          <w:highlight w:val="none"/>
        </w:rPr>
        <w:fldChar w:fldCharType="begin"/>
      </w:r>
      <w:r>
        <w:rPr>
          <w:color w:val="auto"/>
          <w:highlight w:val="none"/>
        </w:rPr>
        <w:instrText xml:space="preserve"> PAGEREF _Toc91081264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9"/>
        <w:shd w:val="clear"/>
        <w:rPr>
          <w:rFonts w:ascii="Calibri" w:eastAsia="宋体" w:cs="Times New Roman"/>
          <w:b w:val="0"/>
          <w:bCs w:val="0"/>
          <w:color w:val="auto"/>
          <w:sz w:val="21"/>
          <w:szCs w:val="22"/>
          <w:highlight w:val="none"/>
        </w:rPr>
      </w:pPr>
      <w:r>
        <w:rPr>
          <w:color w:val="auto"/>
          <w:highlight w:val="none"/>
        </w:rPr>
        <w:fldChar w:fldCharType="begin"/>
      </w:r>
      <w:r>
        <w:rPr>
          <w:color w:val="auto"/>
          <w:highlight w:val="none"/>
        </w:rPr>
        <w:instrText xml:space="preserve"> HYPERLINK \l "_Toc91081265" </w:instrText>
      </w:r>
      <w:r>
        <w:rPr>
          <w:color w:val="auto"/>
          <w:highlight w:val="none"/>
        </w:rPr>
        <w:fldChar w:fldCharType="separate"/>
      </w:r>
      <w:r>
        <w:rPr>
          <w:rStyle w:val="18"/>
          <w:rFonts w:hint="eastAsia" w:ascii="Times New Roman" w:hAnsi="Times New Roman"/>
          <w:color w:val="auto"/>
          <w:highlight w:val="none"/>
        </w:rPr>
        <w:t>违法行为修正裁量表</w:t>
      </w:r>
      <w:r>
        <w:rPr>
          <w:color w:val="auto"/>
          <w:highlight w:val="none"/>
        </w:rPr>
        <w:tab/>
      </w:r>
      <w:r>
        <w:rPr>
          <w:color w:val="auto"/>
          <w:highlight w:val="none"/>
        </w:rPr>
        <w:fldChar w:fldCharType="begin"/>
      </w:r>
      <w:r>
        <w:rPr>
          <w:color w:val="auto"/>
          <w:highlight w:val="none"/>
        </w:rPr>
        <w:instrText xml:space="preserve"> PAGEREF _Toc91081265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9"/>
        <w:shd w:val="clear"/>
        <w:rPr>
          <w:rFonts w:ascii="Calibri" w:eastAsia="宋体" w:cs="Times New Roman"/>
          <w:b w:val="0"/>
          <w:bCs w:val="0"/>
          <w:color w:val="auto"/>
          <w:sz w:val="21"/>
          <w:szCs w:val="22"/>
          <w:highlight w:val="none"/>
        </w:rPr>
      </w:pPr>
      <w:r>
        <w:rPr>
          <w:color w:val="auto"/>
          <w:highlight w:val="none"/>
        </w:rPr>
        <w:fldChar w:fldCharType="begin"/>
      </w:r>
      <w:r>
        <w:rPr>
          <w:color w:val="auto"/>
          <w:highlight w:val="none"/>
        </w:rPr>
        <w:instrText xml:space="preserve"> HYPERLINK \l "_Toc91081266" </w:instrText>
      </w:r>
      <w:r>
        <w:rPr>
          <w:color w:val="auto"/>
          <w:highlight w:val="none"/>
        </w:rPr>
        <w:fldChar w:fldCharType="separate"/>
      </w:r>
      <w:r>
        <w:rPr>
          <w:rStyle w:val="18"/>
          <w:rFonts w:hint="eastAsia" w:ascii="Times New Roman" w:hAnsi="Times New Roman"/>
          <w:color w:val="auto"/>
          <w:highlight w:val="none"/>
        </w:rPr>
        <w:t>山东省生态环境行政处罚裁量表</w:t>
      </w:r>
      <w:r>
        <w:rPr>
          <w:color w:val="auto"/>
          <w:highlight w:val="none"/>
        </w:rPr>
        <w:tab/>
      </w:r>
      <w:r>
        <w:rPr>
          <w:color w:val="auto"/>
          <w:highlight w:val="none"/>
        </w:rPr>
        <w:fldChar w:fldCharType="begin"/>
      </w:r>
      <w:r>
        <w:rPr>
          <w:color w:val="auto"/>
          <w:highlight w:val="none"/>
        </w:rPr>
        <w:instrText xml:space="preserve"> PAGEREF _Toc91081266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9"/>
        <w:shd w:val="clear"/>
        <w:rPr>
          <w:rFonts w:ascii="Calibri" w:eastAsia="宋体" w:cs="Times New Roman"/>
          <w:b w:val="0"/>
          <w:bCs w:val="0"/>
          <w:color w:val="auto"/>
          <w:sz w:val="21"/>
          <w:szCs w:val="22"/>
          <w:highlight w:val="none"/>
        </w:rPr>
      </w:pPr>
      <w:r>
        <w:rPr>
          <w:color w:val="auto"/>
          <w:highlight w:val="none"/>
        </w:rPr>
        <w:fldChar w:fldCharType="begin"/>
      </w:r>
      <w:r>
        <w:rPr>
          <w:color w:val="auto"/>
          <w:highlight w:val="none"/>
        </w:rPr>
        <w:instrText xml:space="preserve"> HYPERLINK \l "_Toc91081267" </w:instrText>
      </w:r>
      <w:r>
        <w:rPr>
          <w:color w:val="auto"/>
          <w:highlight w:val="none"/>
        </w:rPr>
        <w:fldChar w:fldCharType="separate"/>
      </w:r>
      <w:r>
        <w:rPr>
          <w:rStyle w:val="18"/>
          <w:rFonts w:hint="eastAsia" w:ascii="Times New Roman" w:hAnsi="Times New Roman"/>
          <w:color w:val="auto"/>
          <w:highlight w:val="none"/>
        </w:rPr>
        <w:t>一、专项处罚裁量表</w:t>
      </w:r>
      <w:r>
        <w:rPr>
          <w:color w:val="auto"/>
          <w:highlight w:val="none"/>
        </w:rPr>
        <w:tab/>
      </w:r>
      <w:r>
        <w:rPr>
          <w:color w:val="auto"/>
          <w:highlight w:val="none"/>
        </w:rPr>
        <w:fldChar w:fldCharType="begin"/>
      </w:r>
      <w:r>
        <w:rPr>
          <w:color w:val="auto"/>
          <w:highlight w:val="none"/>
        </w:rPr>
        <w:instrText xml:space="preserve"> PAGEREF _Toc91081267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10"/>
        <w:shd w:val="clear"/>
        <w:tabs>
          <w:tab w:val="right" w:leader="dot" w:pos="883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"_Toc91081268" </w:instrText>
      </w:r>
      <w:r>
        <w:rPr>
          <w:color w:val="auto"/>
          <w:highlight w:val="none"/>
        </w:rPr>
        <w:fldChar w:fldCharType="separate"/>
      </w:r>
      <w:r>
        <w:rPr>
          <w:rStyle w:val="18"/>
          <w:rFonts w:ascii="Times New Roman" w:hAnsi="Times New Roman" w:eastAsia="仿宋_GB2312" w:cs="Times New Roman"/>
          <w:b/>
          <w:bCs/>
          <w:color w:val="auto"/>
          <w:sz w:val="28"/>
          <w:szCs w:val="28"/>
          <w:highlight w:val="none"/>
        </w:rPr>
        <w:t>（一）建设项目管理类</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_Toc91081268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9</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pPr>
        <w:pStyle w:val="10"/>
        <w:shd w:val="clear"/>
        <w:tabs>
          <w:tab w:val="right" w:leader="dot" w:pos="883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"_Toc91081269" </w:instrText>
      </w:r>
      <w:r>
        <w:rPr>
          <w:color w:val="auto"/>
          <w:highlight w:val="none"/>
        </w:rPr>
        <w:fldChar w:fldCharType="separate"/>
      </w:r>
      <w:r>
        <w:rPr>
          <w:rStyle w:val="18"/>
          <w:rFonts w:ascii="Times New Roman" w:hAnsi="Times New Roman" w:eastAsia="仿宋_GB2312" w:cs="Times New Roman"/>
          <w:b/>
          <w:bCs/>
          <w:color w:val="auto"/>
          <w:sz w:val="28"/>
          <w:szCs w:val="28"/>
          <w:highlight w:val="none"/>
        </w:rPr>
        <w:t>（二）大气污染防治类</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_Toc91081269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27</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pPr>
        <w:pStyle w:val="10"/>
        <w:shd w:val="clear"/>
        <w:tabs>
          <w:tab w:val="right" w:leader="dot" w:pos="883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"_Toc91081270" </w:instrText>
      </w:r>
      <w:r>
        <w:rPr>
          <w:color w:val="auto"/>
          <w:highlight w:val="none"/>
        </w:rPr>
        <w:fldChar w:fldCharType="separate"/>
      </w:r>
      <w:r>
        <w:rPr>
          <w:rStyle w:val="18"/>
          <w:rFonts w:ascii="Times New Roman" w:hAnsi="Times New Roman" w:eastAsia="仿宋_GB2312" w:cs="Times New Roman"/>
          <w:b/>
          <w:bCs/>
          <w:color w:val="auto"/>
          <w:sz w:val="28"/>
          <w:szCs w:val="28"/>
          <w:highlight w:val="none"/>
        </w:rPr>
        <w:t>（三）水污染防治类</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_Toc91081270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85</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pPr>
        <w:pStyle w:val="10"/>
        <w:shd w:val="clear"/>
        <w:tabs>
          <w:tab w:val="right" w:leader="dot" w:pos="883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"_Toc91081271" </w:instrText>
      </w:r>
      <w:r>
        <w:rPr>
          <w:color w:val="auto"/>
          <w:highlight w:val="none"/>
        </w:rPr>
        <w:fldChar w:fldCharType="separate"/>
      </w:r>
      <w:r>
        <w:rPr>
          <w:rStyle w:val="18"/>
          <w:rFonts w:ascii="Times New Roman" w:hAnsi="Times New Roman" w:eastAsia="仿宋_GB2312" w:cs="Times New Roman"/>
          <w:b/>
          <w:bCs/>
          <w:color w:val="auto"/>
          <w:sz w:val="28"/>
          <w:szCs w:val="28"/>
          <w:highlight w:val="none"/>
        </w:rPr>
        <w:t>（四）固体废物污染防治类</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_Toc91081271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145</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pPr>
        <w:pStyle w:val="10"/>
        <w:shd w:val="clear"/>
        <w:tabs>
          <w:tab w:val="right" w:leader="dot" w:pos="883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"_Toc91081272" </w:instrText>
      </w:r>
      <w:r>
        <w:rPr>
          <w:color w:val="auto"/>
          <w:highlight w:val="none"/>
        </w:rPr>
        <w:fldChar w:fldCharType="separate"/>
      </w:r>
      <w:r>
        <w:rPr>
          <w:rStyle w:val="18"/>
          <w:rFonts w:ascii="Times New Roman" w:hAnsi="Times New Roman" w:eastAsia="仿宋_GB2312" w:cs="Times New Roman"/>
          <w:b/>
          <w:color w:val="auto"/>
          <w:sz w:val="28"/>
          <w:szCs w:val="28"/>
          <w:highlight w:val="none"/>
        </w:rPr>
        <w:t>（五）</w:t>
      </w:r>
      <w:r>
        <w:rPr>
          <w:rStyle w:val="18"/>
          <w:rFonts w:ascii="Times New Roman" w:hAnsi="Times New Roman" w:eastAsia="仿宋_GB2312" w:cs="Times New Roman"/>
          <w:b/>
          <w:bCs/>
          <w:color w:val="auto"/>
          <w:sz w:val="28"/>
          <w:szCs w:val="28"/>
          <w:highlight w:val="none"/>
        </w:rPr>
        <w:t>土壤污染防治类</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_Toc91081272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200</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pPr>
        <w:pStyle w:val="10"/>
        <w:shd w:val="clear"/>
        <w:tabs>
          <w:tab w:val="right" w:leader="dot" w:pos="883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"_Toc91081273" </w:instrText>
      </w:r>
      <w:r>
        <w:rPr>
          <w:color w:val="auto"/>
          <w:highlight w:val="none"/>
        </w:rPr>
        <w:fldChar w:fldCharType="separate"/>
      </w:r>
      <w:r>
        <w:rPr>
          <w:rStyle w:val="18"/>
          <w:rFonts w:ascii="Times New Roman" w:hAnsi="Times New Roman" w:eastAsia="仿宋_GB2312" w:cs="Times New Roman"/>
          <w:b/>
          <w:bCs/>
          <w:color w:val="auto"/>
          <w:sz w:val="28"/>
          <w:szCs w:val="28"/>
          <w:highlight w:val="none"/>
        </w:rPr>
        <w:t>（六）海洋污染防治类</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_Toc91081273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232</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pPr>
        <w:pStyle w:val="10"/>
        <w:shd w:val="clear"/>
        <w:tabs>
          <w:tab w:val="right" w:leader="dot" w:pos="883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"_Toc91081274" </w:instrText>
      </w:r>
      <w:r>
        <w:rPr>
          <w:color w:val="auto"/>
          <w:highlight w:val="none"/>
        </w:rPr>
        <w:fldChar w:fldCharType="separate"/>
      </w:r>
      <w:r>
        <w:rPr>
          <w:rStyle w:val="18"/>
          <w:rFonts w:ascii="Times New Roman" w:hAnsi="Times New Roman" w:eastAsia="仿宋_GB2312" w:cs="Times New Roman"/>
          <w:b/>
          <w:bCs/>
          <w:color w:val="auto"/>
          <w:sz w:val="28"/>
          <w:szCs w:val="28"/>
          <w:highlight w:val="none"/>
        </w:rPr>
        <w:t>（七）辐射污染防治类</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_Toc91081274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257</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pPr>
        <w:pStyle w:val="10"/>
        <w:shd w:val="clear"/>
        <w:tabs>
          <w:tab w:val="right" w:leader="dot" w:pos="8834"/>
        </w:tabs>
        <w:rPr>
          <w:rFonts w:ascii="Times New Roman" w:hAnsi="Times New Roman" w:cs="Times New Roman"/>
          <w:color w:val="auto"/>
          <w:sz w:val="28"/>
          <w:szCs w:val="28"/>
          <w:highlight w:val="none"/>
        </w:rPr>
      </w:pPr>
      <w:r>
        <w:rPr>
          <w:color w:val="auto"/>
          <w:highlight w:val="none"/>
        </w:rPr>
        <w:fldChar w:fldCharType="begin"/>
      </w:r>
      <w:r>
        <w:rPr>
          <w:color w:val="auto"/>
          <w:highlight w:val="none"/>
        </w:rPr>
        <w:instrText xml:space="preserve"> HYPERLINK \l "_Toc91081275" </w:instrText>
      </w:r>
      <w:r>
        <w:rPr>
          <w:color w:val="auto"/>
          <w:highlight w:val="none"/>
        </w:rPr>
        <w:fldChar w:fldCharType="separate"/>
      </w:r>
      <w:r>
        <w:rPr>
          <w:rStyle w:val="18"/>
          <w:rFonts w:ascii="Times New Roman" w:hAnsi="Times New Roman" w:eastAsia="仿宋_GB2312" w:cs="Times New Roman"/>
          <w:b/>
          <w:bCs/>
          <w:color w:val="auto"/>
          <w:sz w:val="28"/>
          <w:szCs w:val="28"/>
          <w:highlight w:val="none"/>
        </w:rPr>
        <w:t>（八）其他类</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_Toc91081275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323</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pPr>
        <w:pStyle w:val="9"/>
        <w:shd w:val="clear"/>
        <w:rPr>
          <w:rFonts w:ascii="Calibri" w:eastAsia="宋体" w:cs="Times New Roman"/>
          <w:b w:val="0"/>
          <w:bCs w:val="0"/>
          <w:sz w:val="21"/>
          <w:szCs w:val="22"/>
          <w:highlight w:val="none"/>
        </w:rPr>
      </w:pPr>
      <w:r>
        <w:rPr>
          <w:color w:val="auto"/>
          <w:highlight w:val="none"/>
        </w:rPr>
        <w:fldChar w:fldCharType="begin"/>
      </w:r>
      <w:r>
        <w:rPr>
          <w:color w:val="auto"/>
          <w:highlight w:val="none"/>
        </w:rPr>
        <w:instrText xml:space="preserve"> HYPERLINK \l "_Toc91081276" </w:instrText>
      </w:r>
      <w:r>
        <w:rPr>
          <w:color w:val="auto"/>
          <w:highlight w:val="none"/>
        </w:rPr>
        <w:fldChar w:fldCharType="separate"/>
      </w:r>
      <w:r>
        <w:rPr>
          <w:rStyle w:val="18"/>
          <w:rFonts w:hint="eastAsia" w:ascii="Times New Roman" w:hAnsi="Times New Roman"/>
          <w:color w:val="auto"/>
          <w:highlight w:val="none"/>
        </w:rPr>
        <w:t>可启动按日连续处罚的违法行为情形</w:t>
      </w:r>
      <w:r>
        <w:rPr>
          <w:color w:val="auto"/>
          <w:highlight w:val="none"/>
        </w:rPr>
        <w:tab/>
      </w:r>
      <w:r>
        <w:rPr>
          <w:color w:val="auto"/>
          <w:highlight w:val="none"/>
        </w:rPr>
        <w:fldChar w:fldCharType="begin"/>
      </w:r>
      <w:r>
        <w:rPr>
          <w:color w:val="auto"/>
          <w:highlight w:val="none"/>
        </w:rPr>
        <w:instrText xml:space="preserve"> PAGEREF _Toc91081276 \h </w:instrText>
      </w:r>
      <w:r>
        <w:rPr>
          <w:color w:val="auto"/>
          <w:highlight w:val="none"/>
        </w:rPr>
        <w:fldChar w:fldCharType="separate"/>
      </w:r>
      <w:r>
        <w:rPr>
          <w:color w:val="auto"/>
          <w:highlight w:val="none"/>
        </w:rPr>
        <w:t>376</w:t>
      </w:r>
      <w:r>
        <w:rPr>
          <w:color w:val="auto"/>
          <w:highlight w:val="none"/>
        </w:rPr>
        <w:fldChar w:fldCharType="end"/>
      </w:r>
      <w:r>
        <w:rPr>
          <w:color w:val="auto"/>
          <w:highlight w:val="none"/>
        </w:rPr>
        <w:fldChar w:fldCharType="end"/>
      </w:r>
    </w:p>
    <w:p>
      <w:pPr>
        <w:shd w:val="clear"/>
        <w:tabs>
          <w:tab w:val="left" w:pos="3210"/>
        </w:tabs>
        <w:snapToGrid w:val="0"/>
        <w:rPr>
          <w:rFonts w:ascii="Times New Roman" w:hAnsi="Times New Roman" w:eastAsia="方正小标宋简体" w:cs="方正小标宋简体"/>
          <w:b/>
          <w:bCs/>
          <w:sz w:val="44"/>
          <w:szCs w:val="44"/>
          <w:highlight w:val="none"/>
        </w:rPr>
      </w:pPr>
      <w:r>
        <w:rPr>
          <w:rFonts w:ascii="Times New Roman" w:hAnsi="Times New Roman" w:eastAsia="方正小标宋简体" w:cs="方正小标宋简体"/>
          <w:b/>
          <w:bCs/>
          <w:sz w:val="44"/>
          <w:szCs w:val="44"/>
          <w:highlight w:val="none"/>
        </w:rPr>
        <w:fldChar w:fldCharType="end"/>
      </w:r>
      <w:bookmarkStart w:id="65" w:name="_GoBack"/>
      <w:bookmarkEnd w:id="65"/>
    </w:p>
    <w:p>
      <w:pPr>
        <w:shd w:val="clear"/>
        <w:snapToGrid w:val="0"/>
        <w:jc w:val="center"/>
        <w:outlineLvl w:val="0"/>
        <w:rPr>
          <w:rFonts w:ascii="Times New Roman" w:hAnsi="Times New Roman" w:eastAsia="方正小标宋简体" w:cs="方正小标宋简体"/>
          <w:b/>
          <w:bCs/>
          <w:sz w:val="44"/>
          <w:szCs w:val="44"/>
          <w:highlight w:val="none"/>
        </w:rPr>
      </w:pPr>
      <w:r>
        <w:rPr>
          <w:rFonts w:ascii="Times New Roman" w:hAnsi="Times New Roman" w:eastAsia="方正小标宋简体" w:cs="方正小标宋简体"/>
          <w:sz w:val="44"/>
          <w:szCs w:val="44"/>
          <w:highlight w:val="none"/>
        </w:rPr>
        <w:br w:type="page"/>
      </w:r>
      <w:bookmarkStart w:id="1" w:name="_Toc91081264"/>
      <w:r>
        <w:rPr>
          <w:rFonts w:hint="eastAsia" w:ascii="Times New Roman" w:hAnsi="Times New Roman" w:eastAsia="方正小标宋简体" w:cs="方正小标宋简体"/>
          <w:b/>
          <w:bCs/>
          <w:sz w:val="44"/>
          <w:szCs w:val="44"/>
          <w:highlight w:val="none"/>
        </w:rPr>
        <w:t>山东省生态环境行政处罚裁量基准</w:t>
      </w:r>
      <w:bookmarkStart w:id="2" w:name="_Toc24136019"/>
      <w:bookmarkStart w:id="3" w:name="_Toc23265298"/>
      <w:r>
        <w:rPr>
          <w:rFonts w:hint="eastAsia" w:ascii="Times New Roman" w:hAnsi="Times New Roman" w:eastAsia="方正小标宋简体" w:cs="方正小标宋简体"/>
          <w:b/>
          <w:bCs/>
          <w:sz w:val="44"/>
          <w:szCs w:val="44"/>
          <w:highlight w:val="none"/>
        </w:rPr>
        <w:t>适用规定</w:t>
      </w:r>
      <w:bookmarkEnd w:id="0"/>
      <w:bookmarkEnd w:id="1"/>
      <w:bookmarkEnd w:id="2"/>
      <w:bookmarkEnd w:id="3"/>
    </w:p>
    <w:p>
      <w:pPr>
        <w:snapToGrid w:val="0"/>
        <w:spacing w:line="360" w:lineRule="auto"/>
        <w:ind w:firstLine="643" w:firstLineChars="200"/>
        <w:rPr>
          <w:rFonts w:ascii="Times New Roman" w:hAnsi="Times New Roman" w:eastAsia="黑体" w:cs="Times New Roman"/>
          <w:b/>
          <w:bCs/>
          <w:sz w:val="32"/>
          <w:szCs w:val="32"/>
          <w:highlight w:val="none"/>
        </w:rPr>
      </w:pPr>
    </w:p>
    <w:p>
      <w:pPr>
        <w:snapToGrid w:val="0"/>
        <w:spacing w:line="560" w:lineRule="exact"/>
        <w:ind w:firstLine="640" w:firstLineChars="200"/>
        <w:rPr>
          <w:rFonts w:ascii="黑体" w:hAnsi="黑体" w:eastAsia="黑体" w:cs="Times New Roman"/>
          <w:bCs/>
          <w:sz w:val="32"/>
          <w:szCs w:val="32"/>
          <w:highlight w:val="none"/>
        </w:rPr>
      </w:pPr>
      <w:r>
        <w:rPr>
          <w:rFonts w:hint="eastAsia" w:ascii="黑体" w:hAnsi="黑体" w:eastAsia="黑体" w:cs="黑体"/>
          <w:bCs/>
          <w:sz w:val="32"/>
          <w:szCs w:val="32"/>
          <w:highlight w:val="none"/>
        </w:rPr>
        <w:t>第一条</w:t>
      </w:r>
      <w:r>
        <w:rPr>
          <w:rFonts w:ascii="黑体" w:hAnsi="黑体" w:eastAsia="黑体" w:cs="Times New Roman"/>
          <w:bCs/>
          <w:sz w:val="32"/>
          <w:szCs w:val="32"/>
          <w:highlight w:val="none"/>
        </w:rPr>
        <w:t xml:space="preserve">  </w:t>
      </w:r>
      <w:r>
        <w:rPr>
          <w:rFonts w:hint="eastAsia" w:ascii="黑体" w:hAnsi="黑体" w:eastAsia="黑体" w:cs="黑体"/>
          <w:bCs/>
          <w:sz w:val="32"/>
          <w:szCs w:val="32"/>
          <w:highlight w:val="none"/>
        </w:rPr>
        <w:t>目的意义</w:t>
      </w:r>
    </w:p>
    <w:p>
      <w:pPr>
        <w:snapToGrid w:val="0"/>
        <w:spacing w:line="560" w:lineRule="exact"/>
        <w:ind w:firstLine="640" w:firstLineChars="200"/>
        <w:rPr>
          <w:rFonts w:ascii="Times New Roman" w:hAnsi="Times New Roman" w:eastAsia="仿宋_GB2312" w:cs="Times New Roman"/>
          <w:color w:val="000000"/>
          <w:sz w:val="32"/>
          <w:szCs w:val="32"/>
          <w:highlight w:val="none"/>
        </w:rPr>
      </w:pPr>
      <w:bookmarkStart w:id="4" w:name="OLE_LINK1"/>
      <w:bookmarkStart w:id="5" w:name="OLE_LINK4"/>
      <w:bookmarkStart w:id="6" w:name="OLE_LINK2"/>
      <w:bookmarkStart w:id="7" w:name="OLE_LINK3"/>
      <w:r>
        <w:rPr>
          <w:rFonts w:hint="eastAsia" w:ascii="Times New Roman" w:hAnsi="Times New Roman" w:eastAsia="仿宋_GB2312" w:cs="仿宋_GB2312"/>
          <w:color w:val="000000"/>
          <w:sz w:val="32"/>
          <w:szCs w:val="32"/>
          <w:highlight w:val="none"/>
        </w:rPr>
        <w:t>为提高全省生态环境主管部门依法行政能力和水平，规范行政处罚裁量权的行使，避免行政处罚的随意性、任意性，根据《中华人民共和国行政处罚法》《中华人民共和国环境保护法》《环境行政处罚办法》《关于进一步规范适用环境行政处罚自由裁量权的指导意见》等法律法规文件规定，结合本省实际，制定本规定。</w:t>
      </w:r>
    </w:p>
    <w:p>
      <w:pPr>
        <w:snapToGrid w:val="0"/>
        <w:spacing w:line="560" w:lineRule="exact"/>
        <w:ind w:firstLine="640" w:firstLineChars="200"/>
        <w:rPr>
          <w:rFonts w:ascii="Times New Roman" w:hAnsi="Times New Roman" w:eastAsia="黑体" w:cs="Times New Roman"/>
          <w:bCs/>
          <w:color w:val="000000"/>
          <w:sz w:val="32"/>
          <w:szCs w:val="32"/>
          <w:highlight w:val="none"/>
        </w:rPr>
      </w:pPr>
      <w:r>
        <w:rPr>
          <w:rFonts w:hint="eastAsia" w:ascii="Times New Roman" w:hAnsi="Times New Roman" w:eastAsia="黑体" w:cs="黑体"/>
          <w:bCs/>
          <w:color w:val="000000"/>
          <w:sz w:val="32"/>
          <w:szCs w:val="32"/>
          <w:highlight w:val="none"/>
        </w:rPr>
        <w:t>第二条</w:t>
      </w:r>
      <w:r>
        <w:rPr>
          <w:rFonts w:ascii="Times New Roman" w:hAnsi="Times New Roman" w:eastAsia="黑体" w:cs="Times New Roman"/>
          <w:bCs/>
          <w:color w:val="000000"/>
          <w:sz w:val="32"/>
          <w:szCs w:val="32"/>
          <w:highlight w:val="none"/>
        </w:rPr>
        <w:t xml:space="preserve">  </w:t>
      </w:r>
      <w:r>
        <w:rPr>
          <w:rFonts w:hint="eastAsia" w:ascii="Times New Roman" w:hAnsi="Times New Roman" w:eastAsia="黑体" w:cs="黑体"/>
          <w:bCs/>
          <w:color w:val="000000"/>
          <w:sz w:val="32"/>
          <w:szCs w:val="32"/>
          <w:highlight w:val="none"/>
        </w:rPr>
        <w:t>适用范围</w:t>
      </w:r>
    </w:p>
    <w:bookmarkEnd w:id="4"/>
    <w:bookmarkEnd w:id="5"/>
    <w:bookmarkEnd w:id="6"/>
    <w:bookmarkEnd w:id="7"/>
    <w:p>
      <w:pPr>
        <w:snapToGrid w:val="0"/>
        <w:spacing w:line="560" w:lineRule="exact"/>
        <w:ind w:firstLine="640" w:firstLineChars="200"/>
        <w:rPr>
          <w:rFonts w:ascii="Times New Roman" w:hAnsi="Times New Roman" w:eastAsia="仿宋_GB2312" w:cs="Times New Roman"/>
          <w:color w:val="000000"/>
          <w:sz w:val="32"/>
          <w:szCs w:val="32"/>
          <w:highlight w:val="none"/>
        </w:rPr>
      </w:pPr>
      <w:r>
        <w:rPr>
          <w:rFonts w:hint="eastAsia" w:ascii="Times New Roman" w:hAnsi="Times New Roman" w:eastAsia="仿宋_GB2312" w:cs="仿宋_GB2312"/>
          <w:color w:val="000000"/>
          <w:sz w:val="32"/>
          <w:szCs w:val="32"/>
          <w:highlight w:val="none"/>
        </w:rPr>
        <w:t>本规定适用于全省各级生态环境主管部门生态环境行政处罚裁量。各设区的市级生态环境主管部门可在本基准基础上，参照制定适用于本辖区的生态环境行政处罚裁量基准。</w:t>
      </w:r>
    </w:p>
    <w:p>
      <w:pPr>
        <w:snapToGrid w:val="0"/>
        <w:spacing w:line="560" w:lineRule="exact"/>
        <w:ind w:firstLine="640" w:firstLineChars="200"/>
        <w:rPr>
          <w:rFonts w:ascii="Times New Roman" w:hAnsi="Times New Roman" w:eastAsia="黑体" w:cs="Times New Roman"/>
          <w:bCs/>
          <w:color w:val="000000"/>
          <w:sz w:val="32"/>
          <w:szCs w:val="32"/>
          <w:highlight w:val="none"/>
        </w:rPr>
      </w:pPr>
      <w:r>
        <w:rPr>
          <w:rFonts w:hint="eastAsia" w:ascii="Times New Roman" w:hAnsi="Times New Roman" w:eastAsia="黑体" w:cs="黑体"/>
          <w:bCs/>
          <w:color w:val="000000"/>
          <w:sz w:val="32"/>
          <w:szCs w:val="32"/>
          <w:highlight w:val="none"/>
        </w:rPr>
        <w:t>第三条</w:t>
      </w:r>
      <w:r>
        <w:rPr>
          <w:rFonts w:ascii="Times New Roman" w:hAnsi="Times New Roman" w:eastAsia="黑体" w:cs="Times New Roman"/>
          <w:bCs/>
          <w:color w:val="000000"/>
          <w:sz w:val="32"/>
          <w:szCs w:val="32"/>
          <w:highlight w:val="none"/>
        </w:rPr>
        <w:t xml:space="preserve">  </w:t>
      </w:r>
      <w:r>
        <w:rPr>
          <w:rFonts w:hint="eastAsia" w:ascii="Times New Roman" w:hAnsi="Times New Roman" w:eastAsia="黑体" w:cs="黑体"/>
          <w:bCs/>
          <w:color w:val="000000"/>
          <w:sz w:val="32"/>
          <w:szCs w:val="32"/>
          <w:highlight w:val="none"/>
        </w:rPr>
        <w:t>基本原则</w:t>
      </w:r>
    </w:p>
    <w:p>
      <w:pPr>
        <w:snapToGrid w:val="0"/>
        <w:spacing w:line="560" w:lineRule="exact"/>
        <w:ind w:firstLine="640" w:firstLineChars="200"/>
        <w:jc w:val="left"/>
        <w:rPr>
          <w:rFonts w:ascii="Times New Roman" w:hAnsi="Times New Roman" w:eastAsia="仿宋_GB2312" w:cs="Times New Roman"/>
          <w:color w:val="000000"/>
          <w:sz w:val="32"/>
          <w:szCs w:val="32"/>
          <w:highlight w:val="none"/>
        </w:rPr>
      </w:pPr>
      <w:r>
        <w:rPr>
          <w:rFonts w:hint="eastAsia" w:ascii="Times New Roman" w:hAnsi="Times New Roman" w:eastAsia="仿宋_GB2312" w:cs="仿宋_GB2312"/>
          <w:color w:val="000000"/>
          <w:sz w:val="32"/>
          <w:szCs w:val="32"/>
          <w:highlight w:val="none"/>
        </w:rPr>
        <w:t>行使生态环境行政处罚自由裁量权，应当遵循合法合理、过罚相当、公平公正、罚教结合的基本原则。健全规范查处分离、执法回避、执法公示、执法全过程记录、重大执法决定法制审核、案卷评查等制度。</w:t>
      </w:r>
    </w:p>
    <w:p>
      <w:pPr>
        <w:snapToGrid w:val="0"/>
        <w:spacing w:line="560" w:lineRule="exact"/>
        <w:ind w:firstLine="640" w:firstLineChars="200"/>
        <w:rPr>
          <w:rFonts w:ascii="Times New Roman" w:hAnsi="Times New Roman" w:eastAsia="黑体" w:cs="Times New Roman"/>
          <w:bCs/>
          <w:color w:val="000000"/>
          <w:sz w:val="32"/>
          <w:szCs w:val="32"/>
          <w:highlight w:val="none"/>
        </w:rPr>
      </w:pPr>
      <w:r>
        <w:rPr>
          <w:rFonts w:hint="eastAsia" w:ascii="Times New Roman" w:hAnsi="Times New Roman" w:eastAsia="黑体" w:cs="黑体"/>
          <w:bCs/>
          <w:color w:val="000000"/>
          <w:sz w:val="32"/>
          <w:szCs w:val="32"/>
          <w:highlight w:val="none"/>
        </w:rPr>
        <w:t>第四条</w:t>
      </w:r>
      <w:r>
        <w:rPr>
          <w:rFonts w:ascii="Times New Roman" w:hAnsi="Times New Roman" w:eastAsia="黑体" w:cs="Times New Roman"/>
          <w:bCs/>
          <w:color w:val="000000"/>
          <w:sz w:val="32"/>
          <w:szCs w:val="32"/>
          <w:highlight w:val="none"/>
        </w:rPr>
        <w:t xml:space="preserve">  </w:t>
      </w:r>
      <w:r>
        <w:rPr>
          <w:rFonts w:hint="eastAsia" w:ascii="Times New Roman" w:hAnsi="Times New Roman" w:eastAsia="黑体" w:cs="黑体"/>
          <w:bCs/>
          <w:color w:val="000000"/>
          <w:sz w:val="32"/>
          <w:szCs w:val="32"/>
          <w:highlight w:val="none"/>
        </w:rPr>
        <w:t>裁量方式</w:t>
      </w:r>
    </w:p>
    <w:p>
      <w:pPr>
        <w:snapToGrid w:val="0"/>
        <w:spacing w:line="560" w:lineRule="exact"/>
        <w:ind w:firstLine="640" w:firstLineChars="200"/>
        <w:rPr>
          <w:rFonts w:ascii="Times New Roman" w:hAnsi="Times New Roman" w:eastAsia="仿宋_GB2312" w:cs="Times New Roman"/>
          <w:color w:val="000000"/>
          <w:sz w:val="32"/>
          <w:szCs w:val="32"/>
          <w:highlight w:val="none"/>
        </w:rPr>
      </w:pPr>
      <w:r>
        <w:rPr>
          <w:rFonts w:hint="eastAsia" w:ascii="Times New Roman" w:hAnsi="Times New Roman" w:eastAsia="仿宋_GB2312" w:cs="仿宋_GB2312"/>
          <w:color w:val="000000"/>
          <w:sz w:val="32"/>
          <w:szCs w:val="32"/>
          <w:highlight w:val="none"/>
        </w:rPr>
        <w:t>本基准采用多因素裁量的方式，根据违法行为设定若干裁量因素，按照违法行为不同的情节和危害程度确定裁量等级，科学计算确定处罚金额。</w:t>
      </w:r>
    </w:p>
    <w:p>
      <w:pPr>
        <w:snapToGrid w:val="0"/>
        <w:spacing w:line="560" w:lineRule="exact"/>
        <w:ind w:firstLine="640" w:firstLineChars="200"/>
        <w:rPr>
          <w:rFonts w:ascii="Times New Roman" w:hAnsi="Times New Roman" w:eastAsia="仿宋_GB2312" w:cs="Times New Roman"/>
          <w:color w:val="000000"/>
          <w:sz w:val="32"/>
          <w:szCs w:val="32"/>
          <w:highlight w:val="none"/>
        </w:rPr>
      </w:pPr>
      <w:r>
        <w:rPr>
          <w:rFonts w:hint="eastAsia" w:ascii="Times New Roman" w:hAnsi="Times New Roman" w:eastAsia="仿宋_GB2312" w:cs="仿宋_GB2312"/>
          <w:color w:val="000000"/>
          <w:sz w:val="32"/>
          <w:szCs w:val="32"/>
          <w:highlight w:val="none"/>
        </w:rPr>
        <w:t>裁量因素的设置主要考虑以下因素：违法行为造成的环境污染、生态破坏以及社会影响；违法行为当事人的主观过错程度；违法行为的具体表现形式；违法行为危害的具体对象；违法行为当事人是初犯还是再犯；改正生态环境违法行为的态度和所采取的改正措施及效果。同类违法行为的情节相同或者相似、社会危害程度相当的，行政处罚种类和幅度应当相当。</w:t>
      </w:r>
    </w:p>
    <w:p>
      <w:pPr>
        <w:snapToGrid w:val="0"/>
        <w:spacing w:line="560" w:lineRule="exact"/>
        <w:ind w:firstLine="640" w:firstLineChars="200"/>
        <w:rPr>
          <w:rFonts w:ascii="Times New Roman" w:hAnsi="Times New Roman" w:eastAsia="仿宋_GB2312" w:cs="Times New Roman"/>
          <w:color w:val="000000"/>
          <w:sz w:val="32"/>
          <w:szCs w:val="32"/>
          <w:highlight w:val="none"/>
        </w:rPr>
      </w:pPr>
      <w:r>
        <w:rPr>
          <w:rFonts w:hint="eastAsia" w:ascii="Times New Roman" w:hAnsi="Times New Roman" w:eastAsia="仿宋_GB2312" w:cs="仿宋_GB2312"/>
          <w:color w:val="000000"/>
          <w:sz w:val="32"/>
          <w:szCs w:val="32"/>
          <w:highlight w:val="none"/>
        </w:rPr>
        <w:t>本基准设置了山东省生态环境行政处罚裁量表，主要分为专项处罚裁量表和通用处罚裁量表两种。对国家和山东省现行生态环境保护法律法规规章中</w:t>
      </w:r>
      <w:r>
        <w:rPr>
          <w:rFonts w:ascii="Times New Roman" w:hAnsi="Times New Roman" w:eastAsia="仿宋_GB2312" w:cs="Times New Roman"/>
          <w:color w:val="000000"/>
          <w:sz w:val="32"/>
          <w:szCs w:val="32"/>
          <w:highlight w:val="none"/>
        </w:rPr>
        <w:t>304</w:t>
      </w:r>
      <w:r>
        <w:rPr>
          <w:rFonts w:hint="eastAsia" w:ascii="Times New Roman" w:hAnsi="Times New Roman" w:eastAsia="仿宋_GB2312" w:cs="仿宋_GB2312"/>
          <w:color w:val="000000"/>
          <w:sz w:val="32"/>
          <w:szCs w:val="32"/>
          <w:highlight w:val="none"/>
        </w:rPr>
        <w:t>种特定生态环境违法行为进行行政处罚裁量，适用专项处罚裁量表；对除特定生态环境违法行为以外的其他违法行为进行行政处罚裁量，适用通用处罚裁量表。</w:t>
      </w:r>
    </w:p>
    <w:p>
      <w:pPr>
        <w:snapToGrid w:val="0"/>
        <w:spacing w:line="560" w:lineRule="exact"/>
        <w:ind w:firstLine="640" w:firstLineChars="200"/>
        <w:rPr>
          <w:rFonts w:ascii="Times New Roman" w:hAnsi="Times New Roman" w:eastAsia="黑体" w:cs="Times New Roman"/>
          <w:bCs/>
          <w:color w:val="000000"/>
          <w:sz w:val="32"/>
          <w:szCs w:val="32"/>
          <w:highlight w:val="none"/>
        </w:rPr>
      </w:pPr>
      <w:r>
        <w:rPr>
          <w:rFonts w:hint="eastAsia" w:ascii="Times New Roman" w:hAnsi="Times New Roman" w:eastAsia="黑体" w:cs="黑体"/>
          <w:bCs/>
          <w:color w:val="000000"/>
          <w:sz w:val="32"/>
          <w:szCs w:val="32"/>
          <w:highlight w:val="none"/>
        </w:rPr>
        <w:t>第五条</w:t>
      </w:r>
      <w:r>
        <w:rPr>
          <w:rFonts w:ascii="Times New Roman" w:hAnsi="Times New Roman" w:eastAsia="黑体" w:cs="Times New Roman"/>
          <w:bCs/>
          <w:color w:val="000000"/>
          <w:sz w:val="32"/>
          <w:szCs w:val="32"/>
          <w:highlight w:val="none"/>
        </w:rPr>
        <w:t xml:space="preserve">  </w:t>
      </w:r>
      <w:r>
        <w:rPr>
          <w:rFonts w:hint="eastAsia" w:ascii="Times New Roman" w:hAnsi="Times New Roman" w:eastAsia="黑体" w:cs="黑体"/>
          <w:bCs/>
          <w:color w:val="000000"/>
          <w:sz w:val="32"/>
          <w:szCs w:val="32"/>
          <w:highlight w:val="none"/>
        </w:rPr>
        <w:t>金额计算</w:t>
      </w:r>
    </w:p>
    <w:p>
      <w:pPr>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推荐</w:t>
      </w:r>
      <w:r>
        <w:rPr>
          <w:rFonts w:ascii="仿宋_GB2312" w:hAnsi="仿宋_GB2312" w:eastAsia="仿宋_GB2312" w:cs="仿宋_GB2312"/>
          <w:sz w:val="32"/>
          <w:szCs w:val="32"/>
          <w:highlight w:val="none"/>
        </w:rPr>
        <w:t>计算公式</w:t>
      </w:r>
    </w:p>
    <w:p>
      <w:pPr>
        <w:snapToGrid w:val="0"/>
        <w:spacing w:line="560" w:lineRule="exact"/>
        <w:ind w:firstLine="420" w:firstLineChars="200"/>
        <w:rPr>
          <w:highlight w:val="none"/>
        </w:rPr>
      </w:pPr>
    </w:p>
    <w:p>
      <w:pPr>
        <w:snapToGrid w:val="0"/>
        <w:spacing w:line="560" w:lineRule="exact"/>
        <w:ind w:firstLine="420" w:firstLineChars="200"/>
        <w:rPr>
          <w:highlight w:val="none"/>
        </w:rPr>
      </w:pPr>
    </w:p>
    <w:p>
      <w:pPr>
        <w:snapToGrid w:val="0"/>
        <w:spacing w:line="560" w:lineRule="exact"/>
        <w:ind w:firstLine="420" w:firstLineChars="200"/>
        <w:rPr>
          <w:rFonts w:ascii="Times New Roman" w:hAnsi="Times New Roman" w:eastAsia="仿宋_GB2312" w:cs="Times New Roman"/>
          <w:color w:val="000000"/>
          <w:sz w:val="32"/>
          <w:szCs w:val="32"/>
          <w:highlight w:val="none"/>
        </w:rPr>
      </w:pPr>
      <w:r>
        <w:rPr>
          <w:highlight w:val="none"/>
        </w:rPr>
        <w:pict>
          <v:shape id="_x0000_s1029" o:spid="_x0000_s1029" o:spt="75" type="#_x0000_t75" style="position:absolute;left:0pt;margin-left:21pt;margin-top:-55.55pt;height:78pt;width:442.5pt;z-index:251659264;mso-width-relative:page;mso-height-relative:page;"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bordersDontSurroundHeader/&gt;&lt;w:bordersDontSurroundFooter/&gt;&lt;w:hideSpellingErrors/&gt;&lt;w:defaultTabStop w:val=&quot;420&quot;/&gt;&lt;w:doNotHyphenateCaps/&gt;&lt;w:drawingGridHorizontalSpacing w:val=&quot;105&quot;/&gt;&lt;w:drawingGridVerticalSpacing w:val=&quot;156&quot;/&gt;&lt;w:displayHorizontalDrawingGridEvery w:val=&quot;2&quot;/&gt;&lt;w:displayVerticalDrawingGridEvery w:val=&quot;2&quot;/&gt;&lt;w:punctuationKerning/&gt;&lt;w:characterSpacingControl w:val=&quot;CompressPunctuation&quot;/&gt;&lt;w:noLineBreaksAfter w:lang=&quot;ZH-CN&quot; w:val=&quot;$([{拢楼路鈥樷€溿€堛€娿€屻€庛€愩€斻€栥€濓箼锕涳節锛勶紙锛庯蓟锝涳俊锟?/&gt;&lt;w:noLineBreaksBefore w:lang=&quot;ZH-CN&quot; w:val=&quot;!%),.:;&amp;gt;?]}垄篓掳路藝藟鈥曗€栤€欌€濃€︹€扳€ w:val=&quot;2&quot;/&gt;&lt;w:punctuationKerning/&gt;&lt;w:charw:val=&quot;2&quot;/&gt;&lt;w:punctuationKerning/&gt;&lt;w:charw:val=&quot;2&quot;/&gt;&lt;w:punctuationKerning/&gt;&lt;w:char测€斥€衡剝鈭躲€併€傘€冦€夈€嬨€嶃€忋€戙€曘€椼€烇付锔猴妇锕€锕勶箽锕滐篂锛侊紓锛咃紘锛夛紝锛庯細锛涳紵锛斤絸锝滐綕锝烇繝&quot;/&gt;&lt;w:relyOnVML/&gt;&lt;w:allowPNG/&gt;&lt;w:validateAgainstSchema 栤€欌€濃€︹€扳€ w:val=&quot;2&quot;/&gt;&lt;w:punctuationKerning/&gt;&lt;w:charw:val=&quot;off&quot;/&gt;&lt;w:saveInvalidXML w:val=&quot;off栤€欌€濃€︹€扳€ w:val=&quot;2&quot;/&gt;&lt;w:punctuationKerning/&gt;&lt;w:char&quot;/&gt;&lt;w:ignoreMixedContent w:val=&quot;off&quot;/&gt;&lt;w:栤€欌€濃€︹€扳€ w:val=&quot;2&quot;/&gt;&lt;w:punctuationKerning/&gt;&lt;w:charalwaysShowPlaceholderText w:val=&quot;off&quot;/&gt;&lt;w:doNotUnderlineInvg/&gt;&lt;w:charalidXML/&gt;&lt;w:compat&gt;&lt;w:spaceForUL/&gt;&lt;w:balanceSingleByteDoubleByteWidth/&gt;&lt;w:doNotLeaveBackslashAlone:char/&gt;&lt;w:ulTrailSpace/&gt;&lt;w:doNotExpandShiftReturn/&gt;&lt;w:adjustLineHeightInTable/&gt;&lt;w:breakWrappedTables/&gt;&lt;w:snapToGridInCell/&gt;&lt;w:wrapTextWithPunct/&gt;&lt;w:useAsianBreakRules/&gt;&lt;w:dontGrowAutofit/&gt;&lt;w:useFELayout/&gt;&lt;/w:compat&gt;&lt;wsp:rsids&gt;&lt;wsp:rsidRoot wsp:val=&quot;005E7990&quot;/&gt;&lt;wsp:rsid wsp:val=&quot;00001F11&quot;/&gt;&lt;wsp:rsid wsp:val=&quot;000056AF&quot;/&gt;&lt;wsp:rsid wsp:val=&quot;000062F2&quot;/&gt;&lt;wsp:rsid wsp:val=&quot;00006577&quot;/&gt;&lt;wsp:rsid wsp:val=&quot;0000685F&quot;/&gt;&lt;wsp:rsid wsp:val=&quot;00010D29&quot;/&gt;&lt;wsp:rsid wsp:val=&quot;00011CF2&quot;/&gt;&lt;wsp:rsid wsp:val=&quot;0001314E&quot;/&gt;&lt;wsp:rsid wsp:val=&quot;00016E50&quot;/&gt;&lt;wsp:rsid wsp:val=&quot;00016F63&quot;/&gt;&lt;wsp:rsid wsp:val=&quot;00017A7C&quot;/&gt;&lt;wsp:rsid wsp:val=&quot;00021568&quot;/&gt;&lt;wsp:rsid wsp:val=&quot;0002321D&quot;/&gt;&lt;wsp:rsid wsp:val=&quot;000240C1&quot;/&gt;&lt;wsp:rsid wsp:val=&quot;00025AF9&quot;/&gt;&lt;wsp:rsid wsp:val=&quot;000261CE&quot;/&gt;&lt;wsp:rsid wsp:val=&quot;000273CE&quot;/&gt;&lt;wsp:rsid wsp:val=&quot;00027825&quot;/&gt;&lt;wsp:rsid wsp:val=&quot;000278B4&quot;/&gt;&lt;wsp:rsid wsp:val=&quot;00030CBD&quot;/&gt;&lt;wsp:rsid wsp:val=&quot;00031AD9&quot;/&gt;&lt;wsp:rsid wsp:val=&quot;00031BA6&quot;/&gt;&lt;wsp:rsid wsp:val=&quot;00033E4F&quot;/&gt;&lt;wsp:rsid wsp:val=&quot;000357AC&quot;/&gt;&lt;wsp:rsid wsp:val=&quot;00035B16&quot;/&gt;&lt;wsp:rsid wsp:val=&quot;00036091&quot;/&gt;&lt;wsp:rsid wsp:val=&quot;00036E12&quot;/&gt;&lt;wsp:rsid wsp:val=&quot;000407AD&quot;/&gt;&lt;wsp:rsid wsp:val=&quot;000410FF&quot;/&gt;&lt;wsp:rsid wsp:val=&quot;00041849&quot;/&gt;&lt;wsp:rsid wsp:val=&quot;00045418&quot;/&gt;&lt;wsp:rsid wsp:val=&quot;0004571B&quot;/&gt;&lt;wsp:rsid wsp:val=&quot;00045C44&quot;/&gt;&lt;wsp:rsid wsp:val=&quot;0005149D&quot;/&gt;&lt;wsp:rsid wsp:val=&quot;000534C9&quot;/&gt;&lt;wsp:rsid wsp:val=&quot;00057184&quot;/&gt;&lt;wsp:rsid wsp:val=&quot;00060102&quot;/&gt;&lt;wsp:rsid wsp:val=&quot;00062657&quot;/&gt;&lt;wsp:rsid wsp:val=&quot;00066682&quot;/&gt;&lt;wsp:rsid wsp:val=&quot;00070CC2&quot;/&gt;&lt;wsp:rsid wsp:val=&quot;00072118&quot;/&gt;&lt;wsp:rsid wsp:val=&quot;00073652&quot;/&gt;&lt;wsp:rsid wsp:val=&quot;000757E8&quot;/&gt;&lt;wsp:rsid wsp:val=&quot;00076CD6&quot;/&gt;&lt;wsp:rsid wsp:val=&quot;000822DC&quot;/&gt;&lt;wsp:rsid wsp:val=&quot;00082DD7&quot;/&gt;&lt;wsp:rsid wsp:val=&quot;00083251&quot;/&gt;&lt;wsp:rsid wsp:val=&quot;00083B05&quot;/&gt;&lt;wsp:rsid wsp:val=&quot;00085E5E&quot;/&gt;&lt;wsp:rsid wsp:val=&quot;000877EF&quot;/&gt;&lt;wsp:rsid wsp:val=&quot;00087ADE&quot;/&gt;&lt;wsp:rsid wsp:val=&quot;00090046&quot;/&gt;&lt;wsp:rsid wsp:val=&quot;000906BF&quot;/&gt;&lt;wsp:rsid wsp:val=&quot;00091DD5&quot;/&gt;&lt;wsp:rsid wsp:val=&quot;00092774&quot;/&gt;&lt;wsp:rsid wsp:val=&quot;00094050&quot;/&gt;&lt;wsp:rsid wsp:val=&quot;0009422C&quot;/&gt;&lt;wsp:rsid wsp:val=&quot;000972A8&quot;/&gt;&lt;wsp:rsid wsp:val=&quot;00097492&quot;/&gt;&lt;wsp:rsid wsp:val=&quot;000A10B1&quot;/&gt;&lt;wsp:rsid wsp:val=&quot;000A323F&quot;/&gt;&lt;wsp:rsid wsp:val=&quot;000A3980&quot;/&gt;&lt;wsp:rsid wsp:val=&quot;000A537E&quot;/&gt;&lt;wsp:rsid wsp:val=&quot;000A7BFA&quot;/&gt;&lt;wsp:rsid wsp:val=&quot;000B18DD&quot;/&gt;&lt;wsp:rsid wsp:val=&quot;000B39EE&quot;/&gt;&lt;wsp:rsid wsp:val=&quot;000B41D8&quot;/&gt;&lt;wsp:rsid wsp:val=&quot;000B668E&quot;/&gt;&lt;wsp:rsid wsp:val=&quot;000B7F4F&quot;/&gt;&lt;wsp:rsid wsp:val=&quot;000C0785&quot;/&gt;&lt;wsp:rsid wsp:val=&quot;000C1671&quot;/&gt;&lt;wsp:rsid wsp:val=&quot;000C51CE&quot;/&gt;&lt;wsp:rsid wsp:val=&quot;000D0620&quot;/&gt;&lt;wsp:rsid wsp:val=&quot;000D35EB&quot;/&gt;&lt;wsp:rsid wsp:val=&quot;000D592C&quot;/&gt;&lt;wsp:rsid wsp:val=&quot;000E295F&quot;/&gt;&lt;wsp:rsid wsp:val=&quot;000E476B&quot;/&gt;&lt;wsp:rsid wsp:val=&quot;000E4775&quot;/&gt;&lt;wsp:rsid wsp:val=&quot;000E6C7E&quot;/&gt;&lt;wsp:rsid wsp:val=&quot;000E7780&quot;/&gt;&lt;wsp:rsid wsp:val=&quot;000F0813&quot;/&gt;&lt;wsp:rsid wsp:val=&quot;000F0F35&quot;/&gt;&lt;wsp:rsid wsp:val=&quot;000F1561&quot;/&gt;&lt;wsp:rsid wsp:val=&quot;000F174C&quot;/&gt;&lt;wsp:rsid wsp:val=&quot;000F20C9&quot;/&gt;&lt;wsp:rsid wsp:val=&quot;000F3E9D&quot;/&gt;&lt;wsp:rsid wsp:val=&quot;000F4694&quot;/&gt;&lt;wsp:rsid wsp:val=&quot;000F5A09&quot;/&gt;&lt;wsp:rsid wsp:val=&quot;000F6D0C&quot;/&gt;&lt;wsp:rsid wsp:val=&quot;000F7B7B&quot;/&gt;&lt;wsp:rsid wsp:val=&quot;00103808&quot;/&gt;&lt;wsp:rsid wsp:val=&quot;00104944&quot;/&gt;&lt;wsp:rsid wsp:val=&quot;0010495C&quot;/&gt;&lt;wsp:rsid wsp:val=&quot;001049A7&quot;/&gt;&lt;wsp:rsid wsp:val=&quot;00105555&quot;/&gt;&lt;wsp:rsid wsp:val=&quot;00107F62&quot;/&gt;&lt;wsp:rsid wsp:val=&quot;001158F0&quot;/&gt;&lt;wsp:rsid wsp:val=&quot;001212F0&quot;/&gt;&lt;wsp:rsid wsp:val=&quot;00123F28&quot;/&gt;&lt;wsp:rsid wsp:val=&quot;00125CD8&quot;/&gt;&lt;wsp:rsid wsp:val=&quot;001267E3&quot;/&gt;&lt;wsp:rsid wsp:val=&quot;001316BD&quot;/&gt;&lt;wsp:rsid wsp:val=&quot;00131D90&quot;/&gt;&lt;wsp:rsid wsp:val=&quot;0013304B&quot;/&gt;&lt;wsp:rsid wsp:val=&quot;0013407C&quot;/&gt;&lt;wsp:rsid wsp:val=&quot;001343CF&quot;/&gt;&lt;wsp:rsid wsp:val=&quot;00140B25&quot;/&gt;&lt;wsp:rsid wsp:val=&quot;00141FA5&quot;/&gt;&lt;wsp:rsid wsp:val=&quot;001434CA&quot;/&gt;&lt;wsp:rsid wsp:val=&quot;00145136&quot;/&gt;&lt;wsp:rsid wsp:val=&quot;001456AA&quot;/&gt;&lt;wsp:rsid wsp:val=&quot;0014586E&quot;/&gt;&lt;wsp:rsid wsp:val=&quot;00145EAB&quot;/&gt;&lt;wsp:rsid wsp:val=&quot;00146A37&quot;/&gt;&lt;wsp:rsid wsp:val=&quot;00147822&quot;/&gt;&lt;wsp:rsid wsp:val=&quot;00150E91&quot;/&gt;&lt;wsp:rsid wsp:val=&quot;00150F31&quot;/&gt;&lt;wsp:rsid wsp:val=&quot;0015196C&quot;/&gt;&lt;wsp:rsid wsp:val=&quot;00151D4C&quot;/&gt;&lt;wsp:rsid wsp:val=&quot;001532AD&quot;/&gt;&lt;wsp:rsid wsp:val=&quot;001549D7&quot;/&gt;&lt;wsp:rsid wsp:val=&quot;001565E1&quot;/&gt;&lt;wsp:rsid wsp:val=&quot;00156E36&quot;/&gt;&lt;wsp:rsid wsp:val=&quot;001571BE&quot;/&gt;&lt;wsp:rsid wsp:val=&quot;00157539&quot;/&gt;&lt;wsp:rsid wsp:val=&quot;001621B7&quot;/&gt;&lt;wsp:rsid wsp:val=&quot;00163CBC&quot;/&gt;&lt;wsp:rsid wsp:val=&quot;001659B6&quot;/&gt;&lt;wsp:rsid wsp:val=&quot;00165DF3&quot;/&gt;&lt;wsp:rsid wsp:val=&quot;00166B82&quot;/&gt;&lt;wsp:rsid wsp:val=&quot;001678CC&quot;/&gt;&lt;wsp:rsid wsp:val=&quot;00170E32&quot;/&gt;&lt;wsp:rsid wsp:val=&quot;00171859&quot;/&gt;&lt;wsp:rsid wsp:val=&quot;00174674&quot;/&gt;&lt;wsp:rsid wsp:val=&quot;001750E2&quot;/&gt;&lt;wsp:rsid wsp:val=&quot;001752B2&quot;/&gt;&lt;wsp:rsid wsp:val=&quot;00180F9C&quot;/&gt;&lt;wsp:rsid wsp:val=&quot;00185239&quot;/&gt;&lt;wsp:rsid wsp:val=&quot;0018607A&quot;/&gt;&lt;wsp:rsid wsp:val=&quot;001878B3&quot;/&gt;&lt;wsp:rsid wsp:val=&quot;001909A3&quot;/&gt;&lt;wsp:rsid wsp:val=&quot;00195382&quot;/&gt;&lt;wsp:rsid wsp:val=&quot;0019565E&quot;/&gt;&lt;wsp:rsid wsp:val=&quot;001966BF&quot;/&gt;&lt;wsp:rsid wsp:val=&quot;00196CCB&quot;/&gt;&lt;wsp:rsid wsp:val=&quot;00196E1C&quot;/&gt;&lt;wsp:rsid wsp:val=&quot;001A04CC&quot;/&gt;&lt;wsp:rsid wsp:val=&quot;001A0D3D&quot;/&gt;&lt;wsp:rsid wsp:val=&quot;001A4BE1&quot;/&gt;&lt;wsp:rsid wsp:val=&quot;001A5A9D&quot;/&gt;&lt;wsp:rsid wsp:val=&quot;001A715B&quot;/&gt;&lt;wsp:rsid wsp:val=&quot;001A74CF&quot;/&gt;&lt;wsp:rsid wsp:val=&quot;001B2C79&quot;/&gt;&lt;wsp:rsid wsp:val=&quot;001B37E3&quot;/&gt;&lt;wsp:rsid wsp:val=&quot;001B5737&quot;/&gt;&lt;wsp:rsid wsp:val=&quot;001B6985&quot;/&gt;&lt;wsp:rsid wsp:val=&quot;001C0CBD&quot;/&gt;&lt;wsp:rsid wsp:val=&quot;001C11DF&quot;/&gt;&lt;wsp:rsid wsp:val=&quot;001C288E&quot;/&gt;&lt;wsp:rsid wsp:val=&quot;001C6AE3&quot;/&gt;&lt;wsp:rsid wsp:val=&quot;001D4394&quot;/&gt;&lt;wsp:rsid wsp:val=&quot;001D5008&quot;/&gt;&lt;wsp:rsid wsp:val=&quot;001D66B6&quot;/&gt;&lt;wsp:rsid wsp:val=&quot;001D7D28&quot;/&gt;&lt;wsp:rsid wsp:val=&quot;001E0362&quot;/&gt;&lt;wsp:rsid wsp:val=&quot;001E09AC&quot;/&gt;&lt;wsp:rsid wsp:val=&quot;001E248C&quot;/&gt;&lt;wsp:rsid wsp:val=&quot;001E2D62&quot;/&gt;&lt;wsp:rsid wsp:val=&quot;001E3E6B&quot;/&gt;&lt;wsp:rsid wsp:val=&quot;001E4C13&quot;/&gt;&lt;wsp:rsid wsp:val=&quot;001E5742&quot;/&gt;&lt;wsp:rsid wsp:val=&quot;001F26F3&quot;/&gt;&lt;wsp:rsid wsp:val=&quot;001F2AFB&quot;/&gt;&lt;wsp:rsid wsp:val=&quot;001F441F&quot;/&gt;&lt;wsp:rsid wsp:val=&quot;001F4F49&quot;/&gt;&lt;wsp:rsid wsp:val=&quot;001F72EF&quot;/&gt;&lt;wsp:rsid wsp:val=&quot;00205E3F&quot;/&gt;&lt;wsp:rsid wsp:val=&quot;00206EDA&quot;/&gt;&lt;wsp:rsid wsp:val=&quot;00211340&quot;/&gt;&lt;wsp:rsid wsp:val=&quot;00214247&quot;/&gt;&lt;wsp:rsid wsp:val=&quot;00214D94&quot;/&gt;&lt;wsp:rsid wsp:val=&quot;00215902&quot;/&gt;&lt;wsp:rsid wsp:val=&quot;002178B3&quot;/&gt;&lt;wsp:rsid wsp:val=&quot;00220DCD&quot;/&gt;&lt;wsp:rsid wsp:val=&quot;002223B9&quot;/&gt;&lt;wsp:rsid wsp:val=&quot;00225116&quot;/&gt;&lt;wsp:rsid wsp:val=&quot;0022555F&quot;/&gt;&lt;wsp:rsid wsp:val=&quot;00226927&quot;/&gt;&lt;wsp:rsid wsp:val=&quot;00230E22&quot;/&gt;&lt;wsp:rsid wsp:val=&quot;00232439&quot;/&gt;&lt;wsp:rsid wsp:val=&quot;002325C5&quot;/&gt;&lt;wsp:rsid wsp:val=&quot;0023323B&quot;/&gt;&lt;wsp:rsid wsp:val=&quot;002362B9&quot;/&gt;&lt;wsp:rsid wsp:val=&quot;00236C52&quot;/&gt;&lt;wsp:rsid wsp:val=&quot;00236FE6&quot;/&gt;&lt;wsp:rsid wsp:val=&quot;0024524E&quot;/&gt;&lt;wsp:rsid wsp:val=&quot;0024622C&quot;/&gt;&lt;wsp:rsid wsp:val=&quot;00246C1A&quot;/&gt;&lt;wsp:rsid wsp:val=&quot;00246D84&quot;/&gt;&lt;wsp:rsid wsp:val=&quot;002516AF&quot;/&gt;&lt;wsp:rsid wsp:val=&quot;002532D9&quot;/&gt;&lt;wsp:rsid wsp:val=&quot;00253DBB&quot;/&gt;&lt;wsp:rsid wsp:val=&quot;002550A5&quot;/&gt;&lt;wsp:rsid wsp:val=&quot;002559DC&quot;/&gt;&lt;wsp:rsid wsp:val=&quot;00256026&quot;/&gt;&lt;wsp:rsid wsp:val=&quot;002577F1&quot;/&gt;&lt;wsp:rsid wsp:val=&quot;00260713&quot;/&gt;&lt;wsp:rsid wsp:val=&quot;00260B88&quot;/&gt;&lt;wsp:rsid wsp:val=&quot;002613BB&quot;/&gt;&lt;wsp:rsid wsp:val=&quot;00263C08&quot;/&gt;&lt;wsp:rsid wsp:val=&quot;0027091A&quot;/&gt;&lt;wsp:rsid wsp:val=&quot;00273740&quot;/&gt;&lt;wsp:rsid wsp:val=&quot;00276355&quot;/&gt;&lt;wsp:rsid wsp:val=&quot;00276CCE&quot;/&gt;&lt;wsp:rsid wsp:val=&quot;0027727B&quot;/&gt;&lt;wsp:rsid wsp:val=&quot;002777D0&quot;/&gt;&lt;wsp:rsid wsp:val=&quot;00280BAE&quot;/&gt;&lt;wsp:rsid wsp:val=&quot;00283D54&quot;/&gt;&lt;wsp:rsid wsp:val=&quot;00285296&quot;/&gt;&lt;wsp:rsid wsp:val=&quot;00286B7C&quot;/&gt;&lt;wsp:rsid wsp:val=&quot;00287691&quot;/&gt;&lt;wsp:rsid wsp:val=&quot;00290C9C&quot;/&gt;&lt;wsp:rsid wsp:val=&quot;00290D25&quot;/&gt;&lt;wsp:rsid wsp:val=&quot;00292445&quot;/&gt;&lt;wsp:rsid wsp:val=&quot;002927DA&quot;/&gt;&lt;wsp:rsid wsp:val=&quot;00296F49&quot;/&gt;&lt;wsp:rsid wsp:val=&quot;002A006F&quot;/&gt;&lt;wsp:rsid wsp:val=&quot;002A0675&quot;/&gt;&lt;wsp:rsid wsp:val=&quot;002A25F4&quot;/&gt;&lt;wsp:rsid wsp:val=&quot;002A7430&quot;/&gt;&lt;wsp:rsid wsp:val=&quot;002B0045&quot;/&gt;&lt;wsp:rsid wsp:val=&quot;002B6888&quot;/&gt;&lt;wsp:rsid wsp:val=&quot;002C0412&quot;/&gt;&lt;wsp:rsid wsp:val=&quot;002C11D8&quot;/&gt;&lt;wsp:rsid wsp:val=&quot;002C16B8&quot;/&gt;&lt;wsp:rsid wsp:val=&quot;002C4111&quot;/&gt;&lt;wsp:rsid wsp:val=&quot;002C4170&quot;/&gt;&lt;wsp:rsid wsp:val=&quot;002C54B9&quot;/&gt;&lt;wsp:rsid wsp:val=&quot;002C54D1&quot;/&gt;&lt;wsp:rsid wsp:val=&quot;002C657C&quot;/&gt;&lt;wsp:rsid wsp:val=&quot;002C68D5&quot;/&gt;&lt;wsp:rsid wsp:val=&quot;002D1672&quot;/&gt;&lt;wsp:rsid wsp:val=&quot;002D1CE0&quot;/&gt;&lt;wsp:rsid wsp:val=&quot;002D1DF7&quot;/&gt;&lt;wsp:rsid wsp:val=&quot;002D2324&quot;/&gt;&lt;wsp:rsid wsp:val=&quot;002D5687&quot;/&gt;&lt;wsp:rsid wsp:val=&quot;002D6567&quot;/&gt;&lt;wsp:rsid wsp:val=&quot;002E0995&quot;/&gt;&lt;wsp:rsid wsp:val=&quot;002E0FD5&quot;/&gt;&lt;wsp:rsid wsp:val=&quot;002E13B4&quot;/&gt;&lt;wsp:rsid wsp:val=&quot;002E6BB5&quot;/&gt;&lt;wsp:rsid wsp:val=&quot;002E7F24&quot;/&gt;&lt;wsp:rsid wsp:val=&quot;002F1580&quot;/&gt;&lt;wsp:rsid wsp:val=&quot;00300FB0&quot;/&gt;&lt;wsp:rsid wsp:val=&quot;00301D49&quot;/&gt;&lt;wsp:rsid wsp:val=&quot;00302EB2&quot;/&gt;&lt;wsp:rsid wsp:val=&quot;00303E5A&quot;/&gt;&lt;wsp:rsid wsp:val=&quot;00304627&quot;/&gt;&lt;wsp:rsid wsp:val=&quot;00305504&quot;/&gt;&lt;wsp:rsid wsp:val=&quot;00306D81&quot;/&gt;&lt;wsp:rsid wsp:val=&quot;00310194&quot;/&gt;&lt;wsp:rsid wsp:val=&quot;00311FB2&quot;/&gt;&lt;wsp:rsid wsp:val=&quot;003129B9&quot;/&gt;&lt;wsp:rsid wsp:val=&quot;003136AA&quot;/&gt;&lt;wsp:rsid wsp:val=&quot;00314178&quot;/&gt;&lt;wsp:rsid wsp:val=&quot;003142A9&quot;/&gt;&lt;wsp:rsid wsp:val=&quot;00314C5D&quot;/&gt;&lt;wsp:rsid wsp:val=&quot;00316CC8&quot;/&gt;&lt;wsp:rsid wsp:val=&quot;00317DEA&quot;/&gt;&lt;wsp:rsid wsp:val=&quot;00323104&quot;/&gt;&lt;wsp:rsid wsp:val=&quot;003231B1&quot;/&gt;&lt;wsp:rsid wsp:val=&quot;00323D59&quot;/&gt;&lt;wsp:rsid wsp:val=&quot;00327375&quot;/&gt;&lt;wsp:rsid wsp:val=&quot;00332C17&quot;/&gt;&lt;wsp:rsid wsp:val=&quot;00335ECA&quot;/&gt;&lt;wsp:rsid wsp:val=&quot;00336A7A&quot;/&gt;&lt;wsp:rsid wsp:val=&quot;00337758&quot;/&gt;&lt;wsp:rsid wsp:val=&quot;0034168C&quot;/&gt;&lt;wsp:rsid wsp:val=&quot;00341D5A&quot;/&gt;&lt;wsp:rsid wsp:val=&quot;00342E58&quot;/&gt;&lt;wsp:rsid wsp:val=&quot;00345470&quot;/&gt;&lt;wsp:rsid wsp:val=&quot;00345783&quot;/&gt;&lt;wsp:rsid wsp:val=&quot;00345ADF&quot;/&gt;&lt;wsp:rsid wsp:val=&quot;00345C27&quot;/&gt;&lt;wsp:rsid wsp:val=&quot;0034613B&quot;/&gt;&lt;wsp:rsid wsp:val=&quot;00347651&quot;/&gt;&lt;wsp:rsid wsp:val=&quot;00347877&quot;/&gt;&lt;wsp:rsid wsp:val=&quot;00355F53&quot;/&gt;&lt;wsp:rsid wsp:val=&quot;00355F7B&quot;/&gt;&lt;wsp:rsid wsp:val=&quot;003575CD&quot;/&gt;&lt;wsp:rsid wsp:val=&quot;003610E7&quot;/&gt;&lt;wsp:rsid wsp:val=&quot;0036347F&quot;/&gt;&lt;wsp:rsid wsp:val=&quot;0036349C&quot;/&gt;&lt;wsp:rsid wsp:val=&quot;00363983&quot;/&gt;&lt;wsp:rsid wsp:val=&quot;0036423B&quot;/&gt;&lt;wsp:rsid wsp:val=&quot;00365913&quot;/&gt;&lt;wsp:rsid wsp:val=&quot;00371855&quot;/&gt;&lt;wsp:rsid wsp:val=&quot;003724EE&quot;/&gt;&lt;wsp:rsid wsp:val=&quot;0037300E&quot;/&gt;&lt;wsp:rsid wsp:val=&quot;00373230&quot;/&gt;&lt;wsp:rsid wsp:val=&quot;00373A44&quot;/&gt;&lt;wsp:rsid wsp:val=&quot;00374011&quot;/&gt;&lt;wsp:rsid wsp:val=&quot;00374CD6&quot;/&gt;&lt;wsp:rsid wsp:val=&quot;00376270&quot;/&gt;&lt;wsp:rsid wsp:val=&quot;0038072A&quot;/&gt;&lt;wsp:rsid wsp:val=&quot;00381313&quot;/&gt;&lt;wsp:rsid wsp:val=&quot;003834B3&quot;/&gt;&lt;wsp:rsid wsp:val=&quot;00384785&quot;/&gt;&lt;wsp:rsid wsp:val=&quot;0039009D&quot;/&gt;&lt;wsp:rsid wsp:val=&quot;00393A63&quot;/&gt;&lt;wsp:rsid wsp:val=&quot;003943D6&quot;/&gt;&lt;wsp:rsid wsp:val=&quot;003959E4&quot;/&gt;&lt;wsp:rsid wsp:val=&quot;00395C2D&quot;/&gt;&lt;wsp:rsid wsp:val=&quot;003961FB&quot;/&gt;&lt;wsp:rsid wsp:val=&quot;00396FF4&quot;/&gt;&lt;wsp:rsid wsp:val=&quot;00397500&quot;/&gt;&lt;wsp:rsid wsp:val=&quot;003979EE&quot;/&gt;&lt;wsp:rsid wsp:val=&quot;003A1698&quot;/&gt;&lt;wsp:rsid wsp:val=&quot;003A3A68&quot;/&gt;&lt;wsp:rsid wsp:val=&quot;003A49AD&quot;/&gt;&lt;wsp:rsid wsp:val=&quot;003A521D&quot;/&gt;&lt;wsp:rsid wsp:val=&quot;003A666F&quot;/&gt;&lt;wsp:rsid wsp:val=&quot;003A771D&quot;/&gt;&lt;wsp:rsid wsp:val=&quot;003B0876&quot;/&gt;&lt;wsp:rsid wsp:val=&quot;003B215D&quot;/&gt;&lt;wsp:rsid wsp:val=&quot;003B2532&quot;/&gt;&lt;wsp:rsid wsp:val=&quot;003B2BB0&quot;/&gt;&lt;wsp:rsid wsp:val=&quot;003B3034&quot;/&gt;&lt;wsp:rsid wsp:val=&quot;003B3047&quot;/&gt;&lt;wsp:rsid wsp:val=&quot;003B3574&quot;/&gt;&lt;wsp:rsid wsp:val=&quot;003B4486&quot;/&gt;&lt;wsp:rsid wsp:val=&quot;003B47C9&quot;/&gt;&lt;wsp:rsid wsp:val=&quot;003B4DDF&quot;/&gt;&lt;wsp:rsid wsp:val=&quot;003B6410&quot;/&gt;&lt;wsp:rsid wsp:val=&quot;003B732A&quot;/&gt;&lt;wsp:rsid wsp:val=&quot;003C32CC&quot;/&gt;&lt;wsp:rsid wsp:val=&quot;003C3C52&quot;/&gt;&lt;wsp:rsid wsp:val=&quot;003C5ABE&quot;/&gt;&lt;wsp:rsid wsp:val=&quot;003C5FC5&quot;/&gt;&lt;wsp:rsid wsp:val=&quot;003D1956&quot;/&gt;&lt;wsp:rsid wsp:val=&quot;003D37D9&quot;/&gt;&lt;wsp:rsid wsp:val=&quot;003D44DE&quot;/&gt;&lt;wsp:rsid wsp:val=&quot;003D535B&quot;/&gt;&lt;wsp:rsid wsp:val=&quot;003D5BE9&quot;/&gt;&lt;wsp:rsid wsp:val=&quot;003D6512&quot;/&gt;&lt;wsp:rsid wsp:val=&quot;003E18A1&quot;/&gt;&lt;wsp:rsid wsp:val=&quot;003E407A&quot;/&gt;&lt;wsp:rsid wsp:val=&quot;003E6E62&quot;/&gt;&lt;wsp:rsid wsp:val=&quot;003E732B&quot;/&gt;&lt;wsp:rsid wsp:val=&quot;003F30D1&quot;/&gt;&lt;wsp:rsid wsp:val=&quot;003F49CB&quot;/&gt;&lt;wsp:rsid wsp:val=&quot;003F5385&quot;/&gt;&lt;wsp:rsid wsp:val=&quot;003F6098&quot;/&gt;&lt;wsp:rsid wsp:val=&quot;003F6EDE&quot;/&gt;&lt;wsp:rsid wsp:val=&quot;0040020B&quot;/&gt;&lt;wsp:rsid wsp:val=&quot;00400DA8&quot;/&gt;&lt;wsp:rsid wsp:val=&quot;00401E1E&quot;/&gt;&lt;wsp:rsid wsp:val=&quot;00401F9A&quot;/&gt;&lt;wsp:rsid wsp:val=&quot;0040368F&quot;/&gt;&lt;wsp:rsid wsp:val=&quot;004038A1&quot;/&gt;&lt;wsp:rsid wsp:val=&quot;004041D1&quot;/&gt;&lt;wsp:rsid wsp:val=&quot;00405585&quot;/&gt;&lt;wsp:rsid wsp:val=&quot;00405FBC&quot;/&gt;&lt;wsp:rsid wsp:val=&quot;00407060&quot;/&gt;&lt;wsp:rsid wsp:val=&quot;004073DD&quot;/&gt;&lt;wsp:rsid wsp:val=&quot;00410101&quot;/&gt;&lt;wsp:rsid wsp:val=&quot;00410E30&quot;/&gt;&lt;wsp:rsid wsp:val=&quot;004110A5&quot;/&gt;&lt;wsp:rsid wsp:val=&quot;00411F96&quot;/&gt;&lt;wsp:rsid wsp:val=&quot;00414783&quot;/&gt;&lt;wsp:rsid wsp:val=&quot;00417BFE&quot;/&gt;&lt;wsp:rsid wsp:val=&quot;00422538&quot;/&gt;&lt;wsp:rsid wsp:val=&quot;00422901&quot;/&gt;&lt;wsp:rsid wsp:val=&quot;0042339F&quot;/&gt;&lt;wsp:rsid wsp:val=&quot;00423E5C&quot;/&gt;&lt;wsp:rsid wsp:val=&quot;00424D3F&quot;/&gt;&lt;wsp:rsid wsp:val=&quot;004254F3&quot;/&gt;&lt;wsp:rsid wsp:val=&quot;0042753C&quot;/&gt;&lt;wsp:rsid wsp:val=&quot;004279E6&quot;/&gt;&lt;wsp:rsid wsp:val=&quot;00431A17&quot;/&gt;&lt;wsp:rsid wsp:val=&quot;00432724&quot;/&gt;&lt;wsp:rsid wsp:val=&quot;0043463B&quot;/&gt;&lt;wsp:rsid wsp:val=&quot;00435953&quot;/&gt;&lt;wsp:rsid wsp:val=&quot;00436327&quot;/&gt;&lt;wsp:rsid wsp:val=&quot;00436C5A&quot;/&gt;&lt;wsp:rsid wsp:val=&quot;00437398&quot;/&gt;&lt;wsp:rsid wsp:val=&quot;00437B00&quot;/&gt;&lt;wsp:rsid wsp:val=&quot;004400B4&quot;/&gt;&lt;wsp:rsid wsp:val=&quot;004418D7&quot;/&gt;&lt;wsp:rsid wsp:val=&quot;00443F41&quot;/&gt;&lt;wsp:rsid wsp:val=&quot;0044448C&quot;/&gt;&lt;wsp:rsid wsp:val=&quot;004448BD&quot;/&gt;&lt;wsp:rsid wsp:val=&quot;0044739F&quot;/&gt;&lt;wsp:rsid wsp:val=&quot;004475D7&quot;/&gt;&lt;wsp:rsid wsp:val=&quot;00447F60&quot;/&gt;&lt;wsp:rsid wsp:val=&quot;00454435&quot;/&gt;&lt;wsp:rsid wsp:val=&quot;0045543B&quot;/&gt;&lt;wsp:rsid wsp:val=&quot;004558A2&quot;/&gt;&lt;wsp:rsid wsp:val=&quot;00461C47&quot;/&gt;&lt;wsp:rsid wsp:val=&quot;00461D49&quot;/&gt;&lt;wsp:rsid wsp:val=&quot;004622F1&quot;/&gt;&lt;wsp:rsid wsp:val=&quot;0046318F&quot;/&gt;&lt;wsp:rsid wsp:val=&quot;00463A79&quot;/&gt;&lt;wsp:rsid wsp:val=&quot;0046509F&quot;/&gt;&lt;wsp:rsid wsp:val=&quot;00466913&quot;/&gt;&lt;wsp:rsid wsp:val=&quot;0046775C&quot;/&gt;&lt;wsp:rsid wsp:val=&quot;00467AE8&quot;/&gt;&lt;wsp:rsid wsp:val=&quot;00477FD8&quot;/&gt;&lt;wsp:rsid wsp:val=&quot;00482026&quot;/&gt;&lt;wsp:rsid wsp:val=&quot;004824C6&quot;/&gt;&lt;wsp:rsid wsp:val=&quot;0048327F&quot;/&gt;&lt;wsp:rsid wsp:val=&quot;00483C75&quot;/&gt;&lt;wsp:rsid wsp:val=&quot;00484F46&quot;/&gt;&lt;wsp:rsid wsp:val=&quot;004856F4&quot;/&gt;&lt;wsp:rsid wsp:val=&quot;00485E5C&quot;/&gt;&lt;wsp:rsid wsp:val=&quot;004862BE&quot;/&gt;&lt;wsp:rsid wsp:val=&quot;00486DFA&quot;/&gt;&lt;wsp:rsid wsp:val=&quot;00490319&quot;/&gt;&lt;wsp:rsid wsp:val=&quot;0049098C&quot;/&gt;&lt;wsp:rsid wsp:val=&quot;00493095&quot;/&gt;&lt;wsp:rsid wsp:val=&quot;00493C36&quot;/&gt;&lt;wsp:rsid wsp:val=&quot;004A0410&quot;/&gt;&lt;wsp:rsid wsp:val=&quot;004A1C10&quot;/&gt;&lt;wsp:rsid wsp:val=&quot;004A29DA&quot;/&gt;&lt;wsp:rsid wsp:val=&quot;004A2C0C&quot;/&gt;&lt;wsp:rsid wsp:val=&quot;004A2E9D&quot;/&gt;&lt;wsp:rsid wsp:val=&quot;004A3395&quot;/&gt;&lt;wsp:rsid wsp:val=&quot;004A3569&quot;/&gt;&lt;wsp:rsid wsp:val=&quot;004A4BD3&quot;/&gt;&lt;wsp:rsid wsp:val=&quot;004A5B43&quot;/&gt;&lt;wsp:rsid wsp:val=&quot;004A6E7B&quot;/&gt;&lt;wsp:rsid wsp:val=&quot;004A6EB5&quot;/&gt;&lt;wsp:rsid wsp:val=&quot;004A779F&quot;/&gt;&lt;wsp:rsid wsp:val=&quot;004A7F2D&quot;/&gt;&lt;wsp:rsid wsp:val=&quot;004B16CC&quot;/&gt;&lt;wsp:rsid wsp:val=&quot;004B1C2D&quot;/&gt;&lt;wsp:rsid wsp:val=&quot;004B1C8E&quot;/&gt;&lt;wsp:rsid wsp:val=&quot;004B2099&quot;/&gt;&lt;wsp:rsid wsp:val=&quot;004B316E&quot;/&gt;&lt;wsp:rsid wsp:val=&quot;004B3694&quot;/&gt;&lt;wsp:rsid wsp:val=&quot;004B5A35&quot;/&gt;&lt;wsp:rsid wsp:val=&quot;004B5AB3&quot;/&gt;&lt;wsp:rsid wsp:val=&quot;004C091E&quot;/&gt;&lt;wsp:rsid wsp:val=&quot;004C726E&quot;/&gt;&lt;wsp:rsid wsp:val=&quot;004C754C&quot;/&gt;&lt;wsp:rsid wsp:val=&quot;004D41D3&quot;/&gt;&lt;wsp:rsid wsp:val=&quot;004D5068&quot;/&gt;&lt;wsp:rsid wsp:val=&quot;004E0E78&quot;/&gt;&lt;wsp:rsid wsp:val=&quot;004F03C9&quot;/&gt;&lt;wsp:rsid wsp:val=&quot;004F1CEC&quot;/&gt;&lt;wsp:rsid wsp:val=&quot;004F5249&quot;/&gt;&lt;wsp:rsid wsp:val=&quot;0050115B&quot;/&gt;&lt;wsp:rsid wsp:val=&quot;0050270B&quot;/&gt;&lt;wsp:rsid wsp:val=&quot;0050360B&quot;/&gt;&lt;wsp:rsid wsp:val=&quot;00503643&quot;/&gt;&lt;wsp:rsid wsp:val=&quot;005044A9&quot;/&gt;&lt;wsp:rsid wsp:val=&quot;005052E5&quot;/&gt;&lt;wsp:rsid wsp:val=&quot;005058A8&quot;/&gt;&lt;wsp:rsid wsp:val=&quot;00512028&quot;/&gt;&lt;wsp:rsid wsp:val=&quot;0051248D&quot;/&gt;&lt;wsp:rsid wsp:val=&quot;0051395B&quot;/&gt;&lt;wsp:rsid wsp:val=&quot;005148FF&quot;/&gt;&lt;wsp:rsid wsp:val=&quot;005171EC&quot;/&gt;&lt;wsp:rsid wsp:val=&quot;00520481&quot;/&gt;&lt;wsp:rsid wsp:val=&quot;00520818&quot;/&gt;&lt;wsp:rsid wsp:val=&quot;00521108&quot;/&gt;&lt;wsp:rsid wsp:val=&quot;0052209D&quot;/&gt;&lt;wsp:rsid wsp:val=&quot;0052524E&quot;/&gt;&lt;wsp:rsid wsp:val=&quot;005269CA&quot;/&gt;&lt;wsp:rsid wsp:val=&quot;00526C73&quot;/&gt;&lt;wsp:rsid wsp:val=&quot;00527265&quot;/&gt;&lt;wsp:rsid wsp:val=&quot;005321A4&quot;/&gt;&lt;wsp:rsid wsp:val=&quot;00532DF9&quot;/&gt;&lt;wsp:rsid wsp:val=&quot;00534A20&quot;/&gt;&lt;wsp:rsid wsp:val=&quot;00534F1E&quot;/&gt;&lt;wsp:rsid wsp:val=&quot;00536645&quot;/&gt;&lt;wsp:rsid wsp:val=&quot;005424A5&quot;/&gt;&lt;wsp:rsid wsp:val=&quot;00544DE5&quot;/&gt;&lt;wsp:rsid wsp:val=&quot;00546255&quot;/&gt;&lt;wsp:rsid wsp:val=&quot;005507B2&quot;/&gt;&lt;wsp:rsid wsp:val=&quot;00550BEC&quot;/&gt;&lt;wsp:rsid wsp:val=&quot;00551065&quot;/&gt;&lt;wsp:rsid wsp:val=&quot;00551A5F&quot;/&gt;&lt;wsp:rsid wsp:val=&quot;005523BA&quot;/&gt;&lt;wsp:rsid wsp:val=&quot;00552CA0&quot;/&gt;&lt;wsp:rsid wsp:val=&quot;0055610F&quot;/&gt;&lt;wsp:rsid wsp:val=&quot;00556627&quot;/&gt;&lt;wsp:rsid wsp:val=&quot;00560314&quot;/&gt;&lt;wsp:rsid wsp:val=&quot;005611F6&quot;/&gt;&lt;wsp:rsid wsp:val=&quot;00563233&quot;/&gt;&lt;wsp:rsid wsp:val=&quot;00563F0D&quot;/&gt;&lt;wsp:rsid wsp:val=&quot;005651AE&quot;/&gt;&lt;wsp:rsid wsp:val=&quot;00565CFB&quot;/&gt;&lt;wsp:rsid wsp:val=&quot;0056648B&quot;/&gt;&lt;wsp:rsid wsp:val=&quot;00570070&quot;/&gt;&lt;wsp:rsid wsp:val=&quot;00571AEC&quot;/&gt;&lt;wsp:rsid wsp:val=&quot;00576367&quot;/&gt;&lt;wsp:rsid wsp:val=&quot;00577C1F&quot;/&gt;&lt;wsp:rsid wsp:val=&quot;00582486&quot;/&gt;&lt;wsp:rsid wsp:val=&quot;0058370F&quot;/&gt;&lt;wsp:rsid wsp:val=&quot;00591716&quot;/&gt;&lt;wsp:rsid wsp:val=&quot;0059595A&quot;/&gt;&lt;wsp:rsid wsp:val=&quot;00595B7E&quot;/&gt;&lt;wsp:rsid wsp:val=&quot;00597206&quot;/&gt;&lt;wsp:rsid wsp:val=&quot;00597A62&quot;/&gt;&lt;wsp:rsid wsp:val=&quot;00597B2A&quot;/&gt;&lt;wsp:rsid wsp:val=&quot;005A010F&quot;/&gt;&lt;wsp:rsid wsp:val=&quot;005A0A27&quot;/&gt;&lt;wsp:rsid wsp:val=&quot;005A40C7&quot;/&gt;&lt;wsp:rsid wsp:val=&quot;005A4692&quot;/&gt;&lt;wsp:rsid wsp:val=&quot;005A605F&quot;/&gt;&lt;wsp:rsid wsp:val=&quot;005A78F3&quot;/&gt;&lt;wsp:rsid wsp:val=&quot;005A7F73&quot;/&gt;&lt;wsp:rsid wsp:val=&quot;005B2521&quot;/&gt;&lt;wsp:rsid wsp:val=&quot;005B5C8C&quot;/&gt;&lt;wsp:rsid wsp:val=&quot;005C0617&quot;/&gt;&lt;wsp:rsid wsp:val=&quot;005C16E7&quot;/&gt;&lt;wsp:rsid wsp:val=&quot;005C29E7&quot;/&gt;&lt;wsp:rsid wsp:val=&quot;005C2BE6&quot;/&gt;&lt;wsp:rsid wsp:val=&quot;005C335C&quot;/&gt;&lt;wsp:rsid wsp:val=&quot;005C3E0B&quot;/&gt;&lt;wsp:rsid wsp:val=&quot;005C45A1&quot;/&gt;&lt;wsp:rsid wsp:val=&quot;005C65EC&quot;/&gt;&lt;wsp:rsid wsp:val=&quot;005C6D2D&quot;/&gt;&lt;wsp:rsid wsp:val=&quot;005D0328&quot;/&gt;&lt;wsp:rsid wsp:val=&quot;005D04B7&quot;/&gt;&lt;wsp:rsid wsp:val=&quot;005D1BBC&quot;/&gt;&lt;wsp:rsid wsp:val=&quot;005D2AA0&quot;/&gt;&lt;wsp:rsid wsp:val=&quot;005D44E1&quot;/&gt;&lt;wsp:rsid wsp:val=&quot;005D62BB&quot;/&gt;&lt;wsp:rsid wsp:val=&quot;005D71F6&quot;/&gt;&lt;wsp:rsid wsp:val=&quot;005E0060&quot;/&gt;&lt;wsp:rsid wsp:val=&quot;005E0A92&quot;/&gt;&lt;wsp:rsid wsp:val=&quot;005E26EC&quot;/&gt;&lt;wsp:rsid wsp:val=&quot;005E39BA&quot;/&gt;&lt;wsp:rsid wsp:val=&quot;005E4989&quot;/&gt;&lt;wsp:rsid wsp:val=&quot;005E7990&quot;/&gt;&lt;wsp:rsid wsp:val=&quot;005F1AFB&quot;/&gt;&lt;wsp:rsid wsp:val=&quot;005F4179&quot;/&gt;&lt;wsp:rsid wsp:val=&quot;005F525F&quot;/&gt;&lt;wsp:rsid wsp:val=&quot;005F627A&quot;/&gt;&lt;wsp:rsid wsp:val=&quot;005F6E4A&quot;/&gt;&lt;wsp:rsid wsp:val=&quot;005F7BA1&quot;/&gt;&lt;wsp:rsid wsp:val=&quot;006007F1&quot;/&gt;&lt;wsp:rsid wsp:val=&quot;00601751&quot;/&gt;&lt;wsp:rsid wsp:val=&quot;00601C0F&quot;/&gt;&lt;wsp:rsid wsp:val=&quot;0060573A&quot;/&gt;&lt;wsp:rsid wsp:val=&quot;006078D9&quot;/&gt;&lt;wsp:rsid wsp:val=&quot;00612717&quot;/&gt;&lt;wsp:rsid wsp:val=&quot;0061289D&quot;/&gt;&lt;wsp:rsid wsp:val=&quot;006132FA&quot;/&gt;&lt;wsp:rsid wsp:val=&quot;0061334A&quot;/&gt;&lt;wsp:rsid wsp:val=&quot;00615709&quot;/&gt;&lt;wsp:rsid wsp:val=&quot;00620862&quot;/&gt;&lt;wsp:rsid wsp:val=&quot;00621AF3&quot;/&gt;&lt;wsp:rsid wsp:val=&quot;00622DBA&quot;/&gt;&lt;wsp:rsid wsp:val=&quot;00622F2D&quot;/&gt;&lt;wsp:rsid wsp:val=&quot;00623E32&quot;/&gt;&lt;wsp:rsid wsp:val=&quot;00624AC9&quot;/&gt;&lt;wsp:rsid wsp:val=&quot;00624ADB&quot;/&gt;&lt;wsp:rsid wsp:val=&quot;006269EB&quot;/&gt;&lt;wsp:rsid wsp:val=&quot;006271E8&quot;/&gt;&lt;wsp:rsid wsp:val=&quot;00627844&quot;/&gt;&lt;wsp:rsid wsp:val=&quot;006307F0&quot;/&gt;&lt;wsp:rsid wsp:val=&quot;00631067&quot;/&gt;&lt;wsp:rsid wsp:val=&quot;00637A8A&quot;/&gt;&lt;wsp:rsid wsp:val=&quot;00637ABF&quot;/&gt;&lt;wsp:rsid wsp:val=&quot;00640089&quot;/&gt;&lt;wsp:rsid wsp:val=&quot;006407DC&quot;/&gt;&lt;wsp:rsid wsp:val=&quot;00640996&quot;/&gt;&lt;wsp:rsid wsp:val=&quot;00640EDA&quot;/&gt;&lt;wsp:rsid wsp:val=&quot;006420C0&quot;/&gt;&lt;wsp:rsid wsp:val=&quot;00643223&quot;/&gt;&lt;wsp:rsid wsp:val=&quot;00643C99&quot;/&gt;&lt;wsp:rsid wsp:val=&quot;00643F6B&quot;/&gt;&lt;wsp:rsid wsp:val=&quot;006500F6&quot;/&gt;&lt;wsp:rsid wsp:val=&quot;00650AE2&quot;/&gt;&lt;wsp:rsid wsp:val=&quot;00651473&quot;/&gt;&lt;wsp:rsid wsp:val=&quot;0065295A&quot;/&gt;&lt;wsp:rsid wsp:val=&quot;006554D2&quot;/&gt;&lt;wsp:rsid wsp:val=&quot;0065577B&quot;/&gt;&lt;wsp:rsid wsp:val=&quot;00655EB3&quot;/&gt;&lt;wsp:rsid wsp:val=&quot;0066090D&quot;/&gt;&lt;wsp:rsid wsp:val=&quot;00664072&quot;/&gt;&lt;wsp:rsid wsp:val=&quot;006648DF&quot;/&gt;&lt;wsp:rsid wsp:val=&quot;00664998&quot;/&gt;&lt;wsp:rsid wsp:val=&quot;00664F06&quot;/&gt;&lt;wsp:rsid wsp:val=&quot;00671302&quot;/&gt;&lt;wsp:rsid wsp:val=&quot;00671323&quot;/&gt;&lt;wsp:rsid wsp:val=&quot;00673228&quot;/&gt;&lt;wsp:rsid wsp:val=&quot;006733DC&quot;/&gt;&lt;wsp:rsid wsp:val=&quot;0067457E&quot;/&gt;&lt;wsp:rsid wsp:val=&quot;006752CA&quot;/&gt;&lt;wsp:rsid wsp:val=&quot;00677728&quot;/&gt;&lt;wsp:rsid wsp:val=&quot;00677C2C&quot;/&gt;&lt;wsp:rsid wsp:val=&quot;0068089E&quot;/&gt;&lt;wsp:rsid wsp:val=&quot;00680B98&quot;/&gt;&lt;wsp:rsid wsp:val=&quot;00680FC3&quot;/&gt;&lt;wsp:rsid wsp:val=&quot;00684863&quot;/&gt;&lt;wsp:rsid wsp:val=&quot;0068551F&quot;/&gt;&lt;wsp:rsid wsp:val=&quot;006916B9&quot;/&gt;&lt;wsp:rsid wsp:val=&quot;00691C14&quot;/&gt;&lt;wsp:rsid wsp:val=&quot;00691FFD&quot;/&gt;&lt;wsp:rsid wsp:val=&quot;0069564A&quot;/&gt;&lt;wsp:rsid wsp:val=&quot;006A05B1&quot;/&gt;&lt;wsp:rsid wsp:val=&quot;006A0CCB&quot;/&gt;&lt;wsp:rsid wsp:val=&quot;006A1330&quot;/&gt;&lt;wsp:rsid wsp:val=&quot;006A1CDB&quot;/&gt;&lt;wsp:rsid wsp:val=&quot;006A1F59&quot;/&gt;&lt;wsp:rsid wsp:val=&quot;006A4DA8&quot;/&gt;&lt;wsp:rsid wsp:val=&quot;006A5645&quot;/&gt;&lt;wsp:rsid wsp:val=&quot;006A7ABA&quot;/&gt;&lt;wsp:rsid wsp:val=&quot;006B0E99&quot;/&gt;&lt;wsp:rsid wsp:val=&quot;006B3584&quot;/&gt;&lt;wsp:rsid wsp:val=&quot;006B3E89&quot;/&gt;&lt;wsp:rsid wsp:val=&quot;006B7EB8&quot;/&gt;&lt;wsp:rsid wsp:val=&quot;006C1812&quot;/&gt;&lt;wsp:rsid wsp:val=&quot;006C1AF8&quot;/&gt;&lt;wsp:rsid wsp:val=&quot;006C3B54&quot;/&gt;&lt;wsp:rsid wsp:val=&quot;006C446D&quot;/&gt;&lt;wsp:rsid wsp:val=&quot;006C6076&quot;/&gt;&lt;wsp:rsid wsp:val=&quot;006D13C8&quot;/&gt;&lt;wsp:rsid wsp:val=&quot;006D23A2&quot;/&gt;&lt;wsp:rsid wsp:val=&quot;006D2AC8&quot;/&gt;&lt;wsp:rsid wsp:val=&quot;006D6805&quot;/&gt;&lt;wsp:rsid wsp:val=&quot;006D74B0&quot;/&gt;&lt;wsp:rsid wsp:val=&quot;006E0DF6&quot;/&gt;&lt;wsp:rsid wsp:val=&quot;006E3D09&quot;/&gt;&lt;wsp:rsid wsp:val=&quot;006E7912&quot;/&gt;&lt;wsp:rsid wsp:val=&quot;006F75A7&quot;/&gt;&lt;wsp:rsid wsp:val=&quot;007009C2&quot;/&gt;&lt;wsp:rsid wsp:val=&quot;0070177A&quot;/&gt;&lt;wsp:rsid wsp:val=&quot;007041DB&quot;/&gt;&lt;wsp:rsid wsp:val=&quot;00705314&quot;/&gt;&lt;wsp:rsid wsp:val=&quot;007057FC&quot;/&gt;&lt;wsp:rsid wsp:val=&quot;00714F4F&quot;/&gt;&lt;wsp:rsid wsp:val=&quot;0071785E&quot;/&gt;&lt;wsp:rsid wsp:val=&quot;0071793A&quot;/&gt;&lt;wsp:rsid wsp:val=&quot;00717C18&quot;/&gt;&lt;wsp:rsid wsp:val=&quot;00720E01&quot;/&gt;&lt;wsp:rsid wsp:val=&quot;00720F9F&quot;/&gt;&lt;wsp:rsid wsp:val=&quot;007227DE&quot;/&gt;&lt;wsp:rsid wsp:val=&quot;00722E01&quot;/&gt;&lt;wsp:rsid wsp:val=&quot;00723205&quot;/&gt;&lt;wsp:rsid wsp:val=&quot;00725892&quot;/&gt;&lt;wsp:rsid wsp:val=&quot;00725A73&quot;/&gt;&lt;wsp:rsid wsp:val=&quot;0073138B&quot;/&gt;&lt;wsp:rsid wsp:val=&quot;00732284&quot;/&gt;&lt;wsp:rsid wsp:val=&quot;0073588D&quot;/&gt;&lt;wsp:rsid wsp:val=&quot;00735D51&quot;/&gt;&lt;wsp:rsid wsp:val=&quot;00737D4E&quot;/&gt;&lt;wsp:rsid wsp:val=&quot;0074287D&quot;/&gt;&lt;wsp:rsid wsp:val=&quot;0074408B&quot;/&gt;&lt;wsp:rsid wsp:val=&quot;007442F6&quot;/&gt;&lt;wsp:rsid wsp:val=&quot;00744737&quot;/&gt;&lt;wsp:rsid wsp:val=&quot;007454BF&quot;/&gt;&lt;wsp:rsid wsp:val=&quot;00747FD5&quot;/&gt;&lt;wsp:rsid wsp:val=&quot;00750217&quot;/&gt;&lt;wsp:rsid wsp:val=&quot;00750238&quot;/&gt;&lt;wsp:rsid wsp:val=&quot;00750F59&quot;/&gt;&lt;wsp:rsid wsp:val=&quot;0075341C&quot;/&gt;&lt;wsp:rsid wsp:val=&quot;00756A76&quot;/&gt;&lt;wsp:rsid wsp:val=&quot;007625F9&quot;/&gt;&lt;wsp:rsid wsp:val=&quot;00762D2C&quot;/&gt;&lt;wsp:rsid wsp:val=&quot;0076304E&quot;/&gt;&lt;wsp:rsid wsp:val=&quot;007640C2&quot;/&gt;&lt;wsp:rsid wsp:val=&quot;00764DEF&quot;/&gt;&lt;wsp:rsid wsp:val=&quot;00765507&quot;/&gt;&lt;wsp:rsid wsp:val=&quot;007660B7&quot;/&gt;&lt;wsp:rsid wsp:val=&quot;00766D62&quot;/&gt;&lt;wsp:rsid wsp:val=&quot;00766FE4&quot;/&gt;&lt;wsp:rsid wsp:val=&quot;00767241&quot;/&gt;&lt;wsp:rsid wsp:val=&quot;00770C0F&quot;/&gt;&lt;wsp:rsid wsp:val=&quot;00772C8A&quot;/&gt;&lt;wsp:rsid wsp:val=&quot;007737D6&quot;/&gt;&lt;wsp:rsid wsp:val=&quot;0077694A&quot;/&gt;&lt;wsp:rsid wsp:val=&quot;00780C47&quot;/&gt;&lt;wsp:rsid wsp:val=&quot;00781055&quot;/&gt;&lt;wsp:rsid wsp:val=&quot;00783234&quot;/&gt;&lt;wsp:rsid wsp:val=&quot;007854EA&quot;/&gt;&lt;wsp:rsid wsp:val=&quot;00786544&quot;/&gt;&lt;wsp:rsid wsp:val=&quot;00786F32&quot;/&gt;&lt;wsp:rsid wsp:val=&quot;00787048&quot;/&gt;&lt;wsp:rsid wsp:val=&quot;007928D5&quot;/&gt;&lt;wsp:rsid wsp:val=&quot;00792A1F&quot;/&gt;&lt;wsp:rsid wsp:val=&quot;00796CA1&quot;/&gt;&lt;wsp:rsid wsp:val=&quot;00796EA3&quot;/&gt;&lt;wsp:rsid wsp:val=&quot;007A1485&quot;/&gt;&lt;wsp:rsid wsp:val=&quot;007A31F9&quot;/&gt;&lt;wsp:rsid wsp:val=&quot;007A3D1A&quot;/&gt;&lt;wsp:rsid wsp:val=&quot;007A687D&quot;/&gt;&lt;wsp:rsid wsp:val=&quot;007B07D9&quot;/&gt;&lt;wsp:rsid wsp:val=&quot;007B2B24&quot;/&gt;&lt;wsp:rsid wsp:val=&quot;007B3C2E&quot;/&gt;&lt;wsp:rsid wsp:val=&quot;007B448F&quot;/&gt;&lt;wsp:rsid wsp:val=&quot;007B53F2&quot;/&gt;&lt;wsp:rsid wsp:val=&quot;007B5CC0&quot;/&gt;&lt;wsp:rsid wsp:val=&quot;007B6B9E&quot;/&gt;&lt;wsp:rsid wsp:val=&quot;007C32CF&quot;/&gt;&lt;wsp:rsid wsp:val=&quot;007C47AA&quot;/&gt;&lt;wsp:rsid wsp:val=&quot;007C4D79&quot;/&gt;&lt;wsp:rsid wsp:val=&quot;007C5937&quot;/&gt;&lt;wsp:rsid wsp:val=&quot;007C6934&quot;/&gt;&lt;wsp:rsid wsp:val=&quot;007C77F5&quot;/&gt;&lt;wsp:rsid wsp:val=&quot;007C7E78&quot;/&gt;&lt;wsp:rsid wsp:val=&quot;007D2AEA&quot;/&gt;&lt;wsp:rsid wsp:val=&quot;007D6D9F&quot;/&gt;&lt;wsp:rsid wsp:val=&quot;007D7DA6&quot;/&gt;&lt;wsp:rsid wsp:val=&quot;007E044E&quot;/&gt;&lt;wsp:rsid wsp:val=&quot;007E2D2E&quot;/&gt;&lt;wsp:rsid wsp:val=&quot;007E478D&quot;/&gt;&lt;wsp:rsid wsp:val=&quot;007E481F&quot;/&gt;&lt;wsp:rsid wsp:val=&quot;007E7715&quot;/&gt;&lt;wsp:rsid wsp:val=&quot;007E7A2A&quot;/&gt;&lt;wsp:rsid wsp:val=&quot;007E7E5A&quot;/&gt;&lt;wsp:rsid wsp:val=&quot;007E7F90&quot;/&gt;&lt;wsp:rsid wsp:val=&quot;007F046E&quot;/&gt;&lt;wsp:rsid wsp:val=&quot;007F33B8&quot;/&gt;&lt;wsp:rsid wsp:val=&quot;007F3DB6&quot;/&gt;&lt;wsp:rsid wsp:val=&quot;007F41AC&quot;/&gt;&lt;wsp:rsid wsp:val=&quot;007F54A7&quot;/&gt;&lt;wsp:rsid wsp:val=&quot;007F5864&quot;/&gt;&lt;wsp:rsid wsp:val=&quot;007F655D&quot;/&gt;&lt;wsp:rsid wsp:val=&quot;007F7367&quot;/&gt;&lt;wsp:rsid wsp:val=&quot;00800D7D&quot;/&gt;&lt;wsp:rsid wsp:val=&quot;00801042&quot;/&gt;&lt;wsp:rsid wsp:val=&quot;00802A83&quot;/&gt;&lt;wsp:rsid wsp:val=&quot;00803003&quot;/&gt;&lt;wsp:rsid wsp:val=&quot;00804847&quot;/&gt;&lt;wsp:rsid wsp:val=&quot;00804F40&quot;/&gt;&lt;wsp:rsid wsp:val=&quot;008077D5&quot;/&gt;&lt;wsp:rsid wsp:val=&quot;00810867&quot;/&gt;&lt;wsp:rsid wsp:val=&quot;00811B56&quot;/&gt;&lt;wsp:rsid wsp:val=&quot;00811E4E&quot;/&gt;&lt;wsp:rsid wsp:val=&quot;008122A7&quot;/&gt;&lt;wsp:rsid wsp:val=&quot;00816A30&quot;/&gt;&lt;wsp:rsid wsp:val=&quot;0081754C&quot;/&gt;&lt;wsp:rsid wsp:val=&quot;008200E9&quot;/&gt;&lt;wsp:rsid wsp:val=&quot;00821132&quot;/&gt;&lt;wsp:rsid wsp:val=&quot;00822DC8&quot;/&gt;&lt;wsp:rsid wsp:val=&quot;00823BA9&quot;/&gt;&lt;wsp:rsid wsp:val=&quot;00827B79&quot;/&gt;&lt;wsp:rsid wsp:val=&quot;008301F8&quot;/&gt;&lt;wsp:rsid wsp:val=&quot;00830567&quot;/&gt;&lt;wsp:rsid wsp:val=&quot;00834FCF&quot;/&gt;&lt;wsp:rsid wsp:val=&quot;00836B46&quot;/&gt;&lt;wsp:rsid wsp:val=&quot;00836F01&quot;/&gt;&lt;wsp:rsid wsp:val=&quot;00840C78&quot;/&gt;&lt;wsp:rsid wsp:val=&quot;00844C1B&quot;/&gt;&lt;wsp:rsid wsp:val=&quot;00844E0A&quot;/&gt;&lt;wsp:rsid wsp:val=&quot;008450A5&quot;/&gt;&lt;wsp:rsid wsp:val=&quot;00845CAE&quot;/&gt;&lt;wsp:rsid wsp:val=&quot;00846B7C&quot;/&gt;&lt;wsp:rsid wsp:val=&quot;00846C9D&quot;/&gt;&lt;wsp:rsid wsp:val=&quot;0084730B&quot;/&gt;&lt;wsp:rsid wsp:val=&quot;00852A58&quot;/&gt;&lt;wsp:rsid wsp:val=&quot;00853FEB&quot;/&gt;&lt;wsp:rsid wsp:val=&quot;008576CE&quot;/&gt;&lt;wsp:rsid wsp:val=&quot;00862658&quot;/&gt;&lt;wsp:rsid wsp:val=&quot;008634C1&quot;/&gt;&lt;wsp:rsid wsp:val=&quot;00864AE1&quot;/&gt;&lt;wsp:rsid wsp:val=&quot;00865CDE&quot;/&gt;&lt;wsp:rsid wsp:val=&quot;00866DEA&quot;/&gt;&lt;wsp:rsid wsp:val=&quot;0087161C&quot;/&gt;&lt;wsp:rsid wsp:val=&quot;008725DB&quot;/&gt;&lt;wsp:rsid wsp:val=&quot;00872EDB&quot;/&gt;&lt;wsp:rsid wsp:val=&quot;008733BF&quot;/&gt;&lt;wsp:rsid wsp:val=&quot;0087422E&quot;/&gt;&lt;wsp:rsid wsp:val=&quot;0087547B&quot;/&gt;&lt;wsp:rsid wsp:val=&quot;008765FB&quot;/&gt;&lt;wsp:rsid wsp:val=&quot;00877430&quot;/&gt;&lt;wsp:rsid wsp:val=&quot;00877FBD&quot;/&gt;&lt;wsp:rsid wsp:val=&quot;00882954&quot;/&gt;&lt;wsp:rsid wsp:val=&quot;0088516B&quot;/&gt;&lt;wsp:rsid wsp:val=&quot;008855C3&quot;/&gt;&lt;wsp:rsid wsp:val=&quot;008901B4&quot;/&gt;&lt;wsp:rsid wsp:val=&quot;00890E1E&quot;/&gt;&lt;wsp:rsid wsp:val=&quot;00892C2C&quot;/&gt;&lt;wsp:rsid wsp:val=&quot;00893D0F&quot;/&gt;&lt;wsp:rsid wsp:val=&quot;0089697A&quot;/&gt;&lt;wsp:rsid wsp:val=&quot;008969D6&quot;/&gt;&lt;wsp:rsid wsp:val=&quot;00897A9F&quot;/&gt;&lt;wsp:rsid wsp:val=&quot;008A1D56&quot;/&gt;&lt;wsp:rsid wsp:val=&quot;008A2191&quot;/&gt;&lt;wsp:rsid wsp:val=&quot;008A25B1&quot;/&gt;&lt;wsp:rsid wsp:val=&quot;008A2F02&quot;/&gt;&lt;wsp:rsid wsp:val=&quot;008A403A&quot;/&gt;&lt;wsp:rsid wsp:val=&quot;008A5112&quot;/&gt;&lt;wsp:rsid wsp:val=&quot;008B06E7&quot;/&gt;&lt;wsp:rsid wsp:val=&quot;008B1D8F&quot;/&gt;&lt;wsp:rsid wsp:val=&quot;008B763A&quot;/&gt;&lt;wsp:rsid wsp:val=&quot;008B77F4&quot;/&gt;&lt;wsp:rsid wsp:val=&quot;008B789F&quot;/&gt;&lt;wsp:rsid wsp:val=&quot;008B7F5D&quot;/&gt;&lt;wsp:rsid wsp:val=&quot;008C04D4&quot;/&gt;&lt;wsp:rsid wsp:val=&quot;008C2976&quot;/&gt;&lt;wsp:rsid wsp:val=&quot;008C2FF1&quot;/&gt;&lt;wsp:rsid wsp:val=&quot;008C5AA8&quot;/&gt;&lt;wsp:rsid wsp:val=&quot;008C6EC2&quot;/&gt;&lt;wsp:rsid wsp:val=&quot;008C7020&quot;/&gt;&lt;wsp:rsid wsp:val=&quot;008D1C36&quot;/&gt;&lt;wsp:rsid wsp:val=&quot;008D7B4D&quot;/&gt;&lt;wsp:rsid wsp:val=&quot;008E0982&quot;/&gt;&lt;wsp:rsid wsp:val=&quot;008E0DE5&quot;/&gt;&lt;wsp:rsid wsp:val=&quot;008E2D9D&quot;/&gt;&lt;wsp:rsid wsp:val=&quot;008E35DD&quot;/&gt;&lt;wsp:rsid wsp:val=&quot;008E411D&quot;/&gt;&lt;wsp:rsid wsp:val=&quot;008F0C35&quot;/&gt;&lt;wsp:rsid wsp:val=&quot;008F1FB6&quot;/&gt;&lt;wsp:rsid wsp:val=&quot;008F2835&quot;/&gt;&lt;wsp:rsid wsp:val=&quot;008F2AA4&quot;/&gt;&lt;wsp:rsid wsp:val=&quot;008F4890&quot;/&gt;&lt;wsp:rsid wsp:val=&quot;008F5603&quot;/&gt;&lt;wsp:rsid wsp:val=&quot;00900BB1&quot;/&gt;&lt;wsp:rsid wsp:val=&quot;00900EDC&quot;/&gt;&lt;wsp:rsid wsp:val=&quot;00902369&quot;/&gt;&lt;wsp:rsid wsp:val=&quot;00905E8C&quot;/&gt;&lt;wsp:rsid wsp:val=&quot;009115DD&quot;/&gt;&lt;wsp:rsid wsp:val=&quot;0091392E&quot;/&gt;&lt;wsp:rsid wsp:val=&quot;00922214&quot;/&gt;&lt;wsp:rsid wsp:val=&quot;009222EE&quot;/&gt;&lt;wsp:rsid wsp:val=&quot;0092476C&quot;/&gt;&lt;wsp:rsid wsp:val=&quot;009254AD&quot;/&gt;&lt;wsp:rsid wsp:val=&quot;0092730A&quot;/&gt;&lt;wsp:rsid wsp:val=&quot;00927C91&quot;/&gt;&lt;wsp:rsid wsp:val=&quot;00930A3D&quot;/&gt;&lt;wsp:rsid wsp:val=&quot;00934736&quot;/&gt;&lt;wsp:rsid wsp:val=&quot;00935521&quot;/&gt;&lt;wsp:rsid wsp:val=&quot;00936658&quot;/&gt;&lt;wsp:rsid wsp:val=&quot;00937049&quot;/&gt;&lt;wsp:rsid wsp:val=&quot;00940587&quot;/&gt;&lt;wsp:rsid wsp:val=&quot;00940719&quot;/&gt;&lt;wsp:rsid wsp:val=&quot;00945003&quot;/&gt;&lt;wsp:rsid wsp:val=&quot;00945956&quot;/&gt;&lt;wsp:rsid wsp:val=&quot;00945B7E&quot;/&gt;&lt;wsp:rsid wsp:val=&quot;00945F5D&quot;/&gt;&lt;wsp:rsid wsp:val=&quot;00946745&quot;/&gt;&lt;wsp:rsid wsp:val=&quot;00947EF1&quot;/&gt;&lt;wsp:rsid wsp:val=&quot;00950EAB&quot;/&gt;&lt;wsp:rsid wsp:val=&quot;00951F7C&quot;/&gt;&lt;wsp:rsid wsp:val=&quot;00954D9D&quot;/&gt;&lt;wsp:rsid wsp:val=&quot;0096022E&quot;/&gt;&lt;wsp:rsid wsp:val=&quot;00961F81&quot;/&gt;&lt;wsp:rsid wsp:val=&quot;0096760F&quot;/&gt;&lt;wsp:rsid wsp:val=&quot;00971B28&quot;/&gt;&lt;wsp:rsid wsp:val=&quot;00973E2F&quot;/&gt;&lt;wsp:rsid wsp:val=&quot;00973ED6&quot;/&gt;&lt;wsp:rsid wsp:val=&quot;00974290&quot;/&gt;&lt;wsp:rsid wsp:val=&quot;00974786&quot;/&gt;&lt;wsp:rsid wsp:val=&quot;00975330&quot;/&gt;&lt;wsp:rsid wsp:val=&quot;0097705D&quot;/&gt;&lt;wsp:rsid wsp:val=&quot;009813DA&quot;/&gt;&lt;wsp:rsid wsp:val=&quot;00982124&quot;/&gt;&lt;wsp:rsid wsp:val=&quot;00982544&quot;/&gt;&lt;wsp:rsid wsp:val=&quot;00984E48&quot;/&gt;&lt;wsp:rsid wsp:val=&quot;00987435&quot;/&gt;&lt;wsp:rsid wsp:val=&quot;00990DDF&quot;/&gt;&lt;wsp:rsid wsp:val=&quot;009919A0&quot;/&gt;&lt;wsp:rsid wsp:val=&quot;00991BE7&quot;/&gt;&lt;wsp:rsid wsp:val=&quot;00991C72&quot;/&gt;&lt;wsp:rsid wsp:val=&quot;00992C07&quot;/&gt;&lt;wsp:rsid wsp:val=&quot;00994F23&quot;/&gt;&lt;wsp:rsid wsp:val=&quot;00995B74&quot;/&gt;&lt;wsp:rsid wsp:val=&quot;009963A8&quot;/&gt;&lt;wsp:rsid wsp:val=&quot;009A39A8&quot;/&gt;&lt;wsp:rsid wsp:val=&quot;009A48D3&quot;/&gt;&lt;wsp:rsid wsp:val=&quot;009B0323&quot;/&gt;&lt;wsp:rsid wsp:val=&quot;009B0A5A&quot;/&gt;&lt;wsp:rsid wsp:val=&quot;009B0B8D&quot;/&gt;&lt;wsp:rsid wsp:val=&quot;009B4742&quot;/&gt;&lt;wsp:rsid wsp:val=&quot;009B47F0&quot;/&gt;&lt;wsp:rsid wsp:val=&quot;009B4FF7&quot;/&gt;&lt;wsp:rsid wsp:val=&quot;009B62D6&quot;/&gt;&lt;wsp:rsid wsp:val=&quot;009B69ED&quot;/&gt;&lt;wsp:rsid wsp:val=&quot;009B6DE8&quot;/&gt;&lt;wsp:rsid wsp:val=&quot;009C2FFD&quot;/&gt;&lt;wsp:rsid wsp:val=&quot;009C34F7&quot;/&gt;&lt;wsp:rsid wsp:val=&quot;009C3923&quot;/&gt;&lt;wsp:rsid wsp:val=&quot;009C3E41&quot;/&gt;&lt;wsp:rsid wsp:val=&quot;009C635F&quot;/&gt;&lt;wsp:rsid wsp:val=&quot;009C7848&quot;/&gt;&lt;wsp:rsid wsp:val=&quot;009D2BE6&quot;/&gt;&lt;wsp:rsid wsp:val=&quot;009D3F28&quot;/&gt;&lt;wsp:rsid wsp:val=&quot;009D7995&quot;/&gt;&lt;wsp:rsid wsp:val=&quot;009E372B&quot;/&gt;&lt;wsp:rsid wsp:val=&quot;009E4C00&quot;/&gt;&lt;wsp:rsid wsp:val=&quot;009E65C9&quot;/&gt;&lt;wsp:rsid wsp:val=&quot;009E75F0&quot;/&gt;&lt;wsp:rsid wsp:val=&quot;009F018B&quot;/&gt;&lt;wsp:rsid wsp:val=&quot;009F14E3&quot;/&gt;&lt;wsp:rsid wsp:val=&quot;009F36E9&quot;/&gt;&lt;wsp:rsid wsp:val=&quot;009F57C3&quot;/&gt;&lt;wsp:rsid wsp:val=&quot;009F76CF&quot;/&gt;&lt;wsp:rsid wsp:val=&quot;009F7C13&quot;/&gt;&lt;wsp:rsid wsp:val=&quot;00A010DF&quot;/&gt;&lt;wsp:rsid wsp:val=&quot;00A019EB&quot;/&gt;&lt;wsp:rsid wsp:val=&quot;00A033BD&quot;/&gt;&lt;wsp:rsid wsp:val=&quot;00A0417C&quot;/&gt;&lt;wsp:rsid wsp:val=&quot;00A046B9&quot;/&gt;&lt;wsp:rsid wsp:val=&quot;00A04770&quot;/&gt;&lt;wsp:rsid wsp:val=&quot;00A04CFE&quot;/&gt;&lt;wsp:rsid wsp:val=&quot;00A07258&quot;/&gt;&lt;wsp:rsid wsp:val=&quot;00A10E3D&quot;/&gt;&lt;wsp:rsid wsp:val=&quot;00A11F0C&quot;/&gt;&lt;wsp:rsid wsp:val=&quot;00A12DBE&quot;/&gt;&lt;wsp:rsid wsp:val=&quot;00A13153&quot;/&gt;&lt;wsp:rsid wsp:val=&quot;00A1521A&quot;/&gt;&lt;wsp:rsid wsp:val=&quot;00A15842&quot;/&gt;&lt;wsp:rsid wsp:val=&quot;00A200BD&quot;/&gt;&lt;wsp:rsid wsp:val=&quot;00A20116&quot;/&gt;&lt;wsp:rsid wsp:val=&quot;00A213D0&quot;/&gt;&lt;wsp:rsid wsp:val=&quot;00A22693&quot;/&gt;&lt;wsp:rsid wsp:val=&quot;00A244EE&quot;/&gt;&lt;wsp:rsid wsp:val=&quot;00A245E7&quot;/&gt;&lt;wsp:rsid wsp:val=&quot;00A249E5&quot;/&gt;&lt;wsp:rsid wsp:val=&quot;00A24A20&quot;/&gt;&lt;wsp:rsid wsp:val=&quot;00A27A7D&quot;/&gt;&lt;wsp:rsid wsp:val=&quot;00A27E15&quot;/&gt;&lt;wsp:rsid wsp:val=&quot;00A310D4&quot;/&gt;&lt;wsp:rsid wsp:val=&quot;00A3665B&quot;/&gt;&lt;wsp:rsid wsp:val=&quot;00A402C2&quot;/&gt;&lt;wsp:rsid wsp:val=&quot;00A4207B&quot;/&gt;&lt;wsp:rsid wsp:val=&quot;00A42947&quot;/&gt;&lt;wsp:rsid wsp:val=&quot;00A42B20&quot;/&gt;&lt;wsp:rsid wsp:val=&quot;00A43E38&quot;/&gt;&lt;wsp:rsid wsp:val=&quot;00A447E8&quot;/&gt;&lt;wsp:rsid wsp:val=&quot;00A509C2&quot;/&gt;&lt;wsp:rsid wsp:val=&quot;00A51B7A&quot;/&gt;&lt;wsp:rsid wsp:val=&quot;00A53331&quot;/&gt;&lt;wsp:rsid wsp:val=&quot;00A53570&quot;/&gt;&lt;wsp:rsid wsp:val=&quot;00A56889&quot;/&gt;&lt;wsp:rsid wsp:val=&quot;00A5711F&quot;/&gt;&lt;wsp:rsid wsp:val=&quot;00A57859&quot;/&gt;&lt;wsp:rsid wsp:val=&quot;00A60AD0&quot;/&gt;&lt;wsp:rsid wsp:val=&quot;00A64ABC&quot;/&gt;&lt;wsp:rsid wsp:val=&quot;00A65961&quot;/&gt;&lt;wsp:rsid wsp:val=&quot;00A667C1&quot;/&gt;&lt;wsp:rsid wsp:val=&quot;00A66BDD&quot;/&gt;&lt;wsp:rsid wsp:val=&quot;00A72514&quot;/&gt;&lt;wsp:rsid wsp:val=&quot;00A750A5&quot;/&gt;&lt;wsp:rsid wsp:val=&quot;00A7540A&quot;/&gt;&lt;wsp:rsid wsp:val=&quot;00A77132&quot;/&gt;&lt;wsp:rsid wsp:val=&quot;00A81179&quot;/&gt;&lt;wsp:rsid wsp:val=&quot;00A82D50&quot;/&gt;&lt;wsp:rsid wsp:val=&quot;00A911FF&quot;/&gt;&lt;wsp:rsid wsp:val=&quot;00A932AB&quot;/&gt;&lt;wsp:rsid wsp:val=&quot;00A933C7&quot;/&gt;&lt;wsp:rsid wsp:val=&quot;00A94241&quot;/&gt;&lt;wsp:rsid wsp:val=&quot;00A960F5&quot;/&gt;&lt;wsp:rsid wsp:val=&quot;00A972B0&quot;/&gt;&lt;wsp:rsid wsp:val=&quot;00AA399E&quot;/&gt;&lt;wsp:rsid wsp:val=&quot;00AA6233&quot;/&gt;&lt;wsp:rsid wsp:val=&quot;00AB0BE0&quot;/&gt;&lt;wsp:rsid wsp:val=&quot;00AB16A7&quot;/&gt;&lt;wsp:rsid wsp:val=&quot;00AB24E3&quot;/&gt;&lt;wsp:rsid wsp:val=&quot;00AB5AB7&quot;/&gt;&lt;wsp:rsid wsp:val=&quot;00AB6D73&quot;/&gt;&lt;wsp:rsid wsp:val=&quot;00AC09F2&quot;/&gt;&lt;wsp:rsid wsp:val=&quot;00AC19AB&quot;/&gt;&lt;wsp:rsid wsp:val=&quot;00AC3241&quot;/&gt;&lt;wsp:rsid wsp:val=&quot;00AC35E6&quot;/&gt;&lt;wsp:rsid wsp:val=&quot;00AC4F24&quot;/&gt;&lt;wsp:rsid wsp:val=&quot;00AC6E59&quot;/&gt;&lt;wsp:rsid wsp:val=&quot;00AD10C8&quot;/&gt;&lt;wsp:rsid wsp:val=&quot;00AD2A4D&quot;/&gt;&lt;wsp:rsid wsp:val=&quot;00AD5F25&quot;/&gt;&lt;wsp:rsid wsp:val=&quot;00AE2163&quot;/&gt;&lt;wsp:rsid wsp:val=&quot;00AE2986&quot;/&gt;&lt;wsp:rsid wsp:val=&quot;00AE436F&quot;/&gt;&lt;wsp:rsid wsp:val=&quot;00AE4459&quot;/&gt;&lt;wsp:rsid wsp:val=&quot;00AE492A&quot;/&gt;&lt;wsp:rsid wsp:val=&quot;00AE63E2&quot;/&gt;&lt;wsp:rsid wsp:val=&quot;00AE794C&quot;/&gt;&lt;wsp:rsid wsp:val=&quot;00AE7A6F&quot;/&gt;&lt;wsp:rsid wsp:val=&quot;00AF2E29&quot;/&gt;&lt;wsp:rsid wsp:val=&quot;00AF7480&quot;/&gt;&lt;wsp:rsid wsp:val=&quot;00AF7571&quot;/&gt;&lt;wsp:rsid wsp:val=&quot;00B00550&quot;/&gt;&lt;wsp:rsid wsp:val=&quot;00B008CE&quot;/&gt;&lt;wsp:rsid wsp:val=&quot;00B01AD3&quot;/&gt;&lt;wsp:rsid wsp:val=&quot;00B02264&quot;/&gt;&lt;wsp:rsid wsp:val=&quot;00B0412B&quot;/&gt;&lt;wsp:rsid wsp:val=&quot;00B04B33&quot;/&gt;&lt;wsp:rsid wsp:val=&quot;00B04BAC&quot;/&gt;&lt;wsp:rsid wsp:val=&quot;00B060E8&quot;/&gt;&lt;wsp:rsid wsp:val=&quot;00B06B49&quot;/&gt;&lt;wsp:rsid wsp:val=&quot;00B10863&quot;/&gt;&lt;wsp:rsid wsp:val=&quot;00B12E24&quot;/&gt;&lt;wsp:rsid wsp:val=&quot;00B142E4&quot;/&gt;&lt;wsp:rsid wsp:val=&quot;00B14A92&quot;/&gt;&lt;wsp:rsid wsp:val=&quot;00B16E22&quot;/&gt;&lt;wsp:rsid wsp:val=&quot;00B177E0&quot;/&gt;&lt;wsp:rsid wsp:val=&quot;00B17AB7&quot;/&gt;&lt;wsp:rsid wsp:val=&quot;00B17D5E&quot;/&gt;&lt;wsp:rsid wsp:val=&quot;00B20199&quot;/&gt;&lt;wsp:rsid wsp:val=&quot;00B20FC1&quot;/&gt;&lt;wsp:rsid wsp:val=&quot;00B2138C&quot;/&gt;&lt;wsp:rsid wsp:val=&quot;00B216B2&quot;/&gt;&lt;wsp:rsid wsp:val=&quot;00B22792&quot;/&gt;&lt;wsp:rsid wsp:val=&quot;00B27E91&quot;/&gt;&lt;wsp:rsid wsp:val=&quot;00B30307&quot;/&gt;&lt;wsp:rsid wsp:val=&quot;00B30A47&quot;/&gt;&lt;wsp:rsid wsp:val=&quot;00B31359&quot;/&gt;&lt;wsp:rsid wsp:val=&quot;00B323F5&quot;/&gt;&lt;wsp:rsid wsp:val=&quot;00B32F07&quot;/&gt;&lt;wsp:rsid wsp:val=&quot;00B32FA9&quot;/&gt;&lt;wsp:rsid wsp:val=&quot;00B33480&quot;/&gt;&lt;wsp:rsid wsp:val=&quot;00B4103A&quot;/&gt;&lt;wsp:rsid wsp:val=&quot;00B42406&quot;/&gt;&lt;wsp:rsid wsp:val=&quot;00B436B1&quot;/&gt;&lt;wsp:rsid wsp:val=&quot;00B468D9&quot;/&gt;&lt;wsp:rsid wsp:val=&quot;00B47B1C&quot;/&gt;&lt;wsp:rsid wsp:val=&quot;00B50196&quot;/&gt;&lt;wsp:rsid wsp:val=&quot;00B50651&quot;/&gt;&lt;wsp:rsid wsp:val=&quot;00B51A10&quot;/&gt;&lt;wsp:rsid wsp:val=&quot;00B55F5B&quot;/&gt;&lt;wsp:rsid wsp:val=&quot;00B57C1F&quot;/&gt;&lt;wsp:rsid wsp:val=&quot;00B61F14&quot;/&gt;&lt;wsp:rsid wsp:val=&quot;00B61FCE&quot;/&gt;&lt;wsp:rsid wsp:val=&quot;00B65B35&quot;/&gt;&lt;wsp:rsid wsp:val=&quot;00B6619A&quot;/&gt;&lt;wsp:rsid wsp:val=&quot;00B668CF&quot;/&gt;&lt;wsp:rsid wsp:val=&quot;00B70086&quot;/&gt;&lt;wsp:rsid wsp:val=&quot;00B70BA9&quot;/&gt;&lt;wsp:rsid wsp:val=&quot;00B72781&quot;/&gt;&lt;wsp:rsid wsp:val=&quot;00B749FD&quot;/&gt;&lt;wsp:rsid wsp:val=&quot;00B75175&quot;/&gt;&lt;wsp:rsid wsp:val=&quot;00B7694B&quot;/&gt;&lt;wsp:rsid wsp:val=&quot;00B801F5&quot;/&gt;&lt;wsp:rsid wsp:val=&quot;00B807DF&quot;/&gt;&lt;wsp:rsid wsp:val=&quot;00B81C93&quot;/&gt;&lt;wsp:rsid wsp:val=&quot;00B84DA8&quot;/&gt;&lt;wsp:rsid wsp:val=&quot;00B857B6&quot;/&gt;&lt;wsp:rsid wsp:val=&quot;00B8794E&quot;/&gt;&lt;wsp:rsid wsp:val=&quot;00B91A97&quot;/&gt;&lt;wsp:rsid wsp:val=&quot;00B92EAC&quot;/&gt;&lt;wsp:rsid wsp:val=&quot;00B95D68&quot;/&gt;&lt;wsp:rsid wsp:val=&quot;00B95F16&quot;/&gt;&lt;wsp:rsid wsp:val=&quot;00B96D6F&quot;/&gt;&lt;wsp:rsid wsp:val=&quot;00B97900&quot;/&gt;&lt;wsp:rsid wsp:val=&quot;00BA0A5B&quot;/&gt;&lt;wsp:rsid wsp:val=&quot;00BA1BCC&quot;/&gt;&lt;wsp:rsid wsp:val=&quot;00BA21F7&quot;/&gt;&lt;wsp:rsid wsp:val=&quot;00BA220B&quot;/&gt;&lt;wsp:rsid wsp:val=&quot;00BA2582&quot;/&gt;&lt;wsp:rsid wsp:val=&quot;00BA3149&quot;/&gt;&lt;wsp:rsid wsp:val=&quot;00BA35EC&quot;/&gt;&lt;wsp:rsid wsp:val=&quot;00BA3643&quot;/&gt;&lt;wsp:rsid wsp:val=&quot;00BA4993&quot;/&gt;&lt;wsp:rsid wsp:val=&quot;00BA4F6E&quot;/&gt;&lt;wsp:rsid wsp:val=&quot;00BA7835&quot;/&gt;&lt;wsp:rsid wsp:val=&quot;00BB0166&quot;/&gt;&lt;wsp:rsid wsp:val=&quot;00BB0586&quot;/&gt;&lt;wsp:rsid wsp:val=&quot;00BB07A3&quot;/&gt;&lt;wsp:rsid wsp:val=&quot;00BB14A6&quot;/&gt;&lt;wsp:rsid wsp:val=&quot;00BB1983&quot;/&gt;&lt;wsp:rsid wsp:val=&quot;00BB22CB&quot;/&gt;&lt;wsp:rsid wsp:val=&quot;00BB399E&quot;/&gt;&lt;wsp:rsid wsp:val=&quot;00BB423E&quot;/&gt;&lt;wsp:rsid wsp:val=&quot;00BB42B3&quot;/&gt;&lt;wsp:rsid wsp:val=&quot;00BB5518&quot;/&gt;&lt;wsp:rsid wsp:val=&quot;00BB626E&quot;/&gt;&lt;wsp:rsid wsp:val=&quot;00BC0798&quot;/&gt;&lt;wsp:rsid wsp:val=&quot;00BC095B&quot;/&gt;&lt;wsp:rsid wsp:val=&quot;00BC1819&quot;/&gt;&lt;wsp:rsid wsp:val=&quot;00BC1B4C&quot;/&gt;&lt;wsp:rsid wsp:val=&quot;00BC3256&quot;/&gt;&lt;wsp:rsid wsp:val=&quot;00BC6105&quot;/&gt;&lt;wsp:rsid wsp:val=&quot;00BC7120&quot;/&gt;&lt;wsp:rsid wsp:val=&quot;00BC7D68&quot;/&gt;&lt;wsp:rsid wsp:val=&quot;00BD0AC2&quot;/&gt;&lt;wsp:rsid wsp:val=&quot;00BD1F31&quot;/&gt;&lt;wsp:rsid wsp:val=&quot;00BD294A&quot;/&gt;&lt;wsp:rsid wsp:val=&quot;00BE01A4&quot;/&gt;&lt;wsp:rsid wsp:val=&quot;00BE12A4&quot;/&gt;&lt;wsp:rsid wsp:val=&quot;00BE38D6&quot;/&gt;&lt;wsp:rsid wsp:val=&quot;00BE3AAE&quot;/&gt;&lt;wsp:rsid wsp:val=&quot;00BE4309&quot;/&gt;&lt;wsp:rsid wsp:val=&quot;00BE5314&quot;/&gt;&lt;wsp:rsid wsp:val=&quot;00BE642F&quot;/&gt;&lt;wsp:rsid wsp:val=&quot;00BE7723&quot;/&gt;&lt;wsp:rsid wsp:val=&quot;00BF1F7F&quot;/&gt;&lt;wsp:rsid wsp:val=&quot;00BF2780&quot;/&gt;&lt;wsp:rsid wsp:val=&quot;00BF306A&quot;/&gt;&lt;wsp:rsid wsp:val=&quot;00BF6A70&quot;/&gt;&lt;wsp:rsid wsp:val=&quot;00BF6B7B&quot;/&gt;&lt;wsp:rsid wsp:val=&quot;00BF6D4C&quot;/&gt;&lt;wsp:rsid wsp:val=&quot;00BF71C8&quot;/&gt;&lt;wsp:rsid wsp:val=&quot;00C055C9&quot;/&gt;&lt;wsp:rsid wsp:val=&quot;00C10312&quot;/&gt;&lt;wsp:rsid wsp:val=&quot;00C1298D&quot;/&gt;&lt;wsp:rsid wsp:val=&quot;00C13A05&quot;/&gt;&lt;wsp:rsid wsp:val=&quot;00C15294&quot;/&gt;&lt;wsp:rsid wsp:val=&quot;00C1533E&quot;/&gt;&lt;wsp:rsid wsp:val=&quot;00C15E81&quot;/&gt;&lt;wsp:rsid wsp:val=&quot;00C16643&quot;/&gt;&lt;wsp:rsid wsp:val=&quot;00C20332&quot;/&gt;&lt;wsp:rsid wsp:val=&quot;00C22866&quot;/&gt;&lt;wsp:rsid wsp:val=&quot;00C25DA1&quot;/&gt;&lt;wsp:rsid wsp:val=&quot;00C30F73&quot;/&gt;&lt;wsp:rsid wsp:val=&quot;00C315E8&quot;/&gt;&lt;wsp:rsid wsp:val=&quot;00C33090&quot;/&gt;&lt;wsp:rsid wsp:val=&quot;00C40635&quot;/&gt;&lt;wsp:rsid wsp:val=&quot;00C44564&quot;/&gt;&lt;wsp:rsid wsp:val=&quot;00C52F2E&quot;/&gt;&lt;wsp:rsid wsp:val=&quot;00C53DF8&quot;/&gt;&lt;wsp:rsid wsp:val=&quot;00C5473A&quot;/&gt;&lt;wsp:rsid wsp:val=&quot;00C54C24&quot;/&gt;&lt;wsp:rsid wsp:val=&quot;00C55406&quot;/&gt;&lt;wsp:rsid wsp:val=&quot;00C600A0&quot;/&gt;&lt;wsp:rsid wsp:val=&quot;00C606BE&quot;/&gt;&lt;wsp:rsid wsp:val=&quot;00C6398B&quot;/&gt;&lt;wsp:rsid wsp:val=&quot;00C648AE&quot;/&gt;&lt;wsp:rsid wsp:val=&quot;00C64DC1&quot;/&gt;&lt;wsp:rsid wsp:val=&quot;00C64E27&quot;/&gt;&lt;wsp:rsid wsp:val=&quot;00C667DD&quot;/&gt;&lt;wsp:rsid wsp:val=&quot;00C66972&quot;/&gt;&lt;wsp:rsid wsp:val=&quot;00C67B13&quot;/&gt;&lt;wsp:rsid wsp:val=&quot;00C704D5&quot;/&gt;&lt;wsp:rsid wsp:val=&quot;00C70A3F&quot;/&gt;&lt;wsp:rsid wsp:val=&quot;00C7245C&quot;/&gt;&lt;wsp:rsid wsp:val=&quot;00C72837&quot;/&gt;&lt;wsp:rsid wsp:val=&quot;00C753EE&quot;/&gt;&lt;wsp:rsid wsp:val=&quot;00C7723B&quot;/&gt;&lt;wsp:rsid wsp:val=&quot;00C80D5E&quot;/&gt;&lt;wsp:rsid wsp:val=&quot;00C80F9B&quot;/&gt;&lt;wsp:rsid wsp:val=&quot;00C82293&quot;/&gt;&lt;wsp:rsid wsp:val=&quot;00C82E4F&quot;/&gt;&lt;wsp:rsid wsp:val=&quot;00C844D7&quot;/&gt;&lt;wsp:rsid wsp:val=&quot;00C93251&quot;/&gt;&lt;wsp:rsid wsp:val=&quot;00C93B14&quot;/&gt;&lt;wsp:rsid wsp:val=&quot;00C952B9&quot;/&gt;&lt;wsp:rsid wsp:val=&quot;00C96FAE&quot;/&gt;&lt;wsp:rsid wsp:val=&quot;00CA04EE&quot;/&gt;&lt;wsp:rsid wsp:val=&quot;00CA0AF4&quot;/&gt;&lt;wsp:rsid wsp:val=&quot;00CA1D9A&quot;/&gt;&lt;wsp:rsid wsp:val=&quot;00CA1E21&quot;/&gt;&lt;wsp:rsid wsp:val=&quot;00CA27AC&quot;/&gt;&lt;wsp:rsid wsp:val=&quot;00CA404F&quot;/&gt;&lt;wsp:rsid wsp:val=&quot;00CA65FA&quot;/&gt;&lt;wsp:rsid wsp:val=&quot;00CA6B26&quot;/&gt;&lt;wsp:rsid wsp:val=&quot;00CB208D&quot;/&gt;&lt;wsp:rsid wsp:val=&quot;00CB473C&quot;/&gt;&lt;wsp:rsid wsp:val=&quot;00CB5BAD&quot;/&gt;&lt;wsp:rsid wsp:val=&quot;00CB5E7E&quot;/&gt;&lt;wsp:rsid wsp:val=&quot;00CB74D9&quot;/&gt;&lt;wsp:rsid wsp:val=&quot;00CB7D80&quot;/&gt;&lt;wsp:rsid wsp:val=&quot;00CC07D7&quot;/&gt;&lt;wsp:rsid wsp:val=&quot;00CC1040&quot;/&gt;&lt;wsp:rsid wsp:val=&quot;00CC306A&quot;/&gt;&lt;wsp:rsid wsp:val=&quot;00CC3973&quot;/&gt;&lt;wsp:rsid wsp:val=&quot;00CC43C9&quot;/&gt;&lt;wsp:rsid wsp:val=&quot;00CC4BEE&quot;/&gt;&lt;wsp:rsid wsp:val=&quot;00CC641F&quot;/&gt;&lt;wsp:rsid wsp:val=&quot;00CC6C3B&quot;/&gt;&lt;wsp:rsid wsp:val=&quot;00CC7862&quot;/&gt;&lt;wsp:rsid wsp:val=&quot;00CD2A1A&quot;/&gt;&lt;wsp:rsid wsp:val=&quot;00CD3F2F&quot;/&gt;&lt;wsp:rsid wsp:val=&quot;00CD444F&quot;/&gt;&lt;wsp:rsid wsp:val=&quot;00CD4690&quot;/&gt;&lt;wsp:rsid wsp:val=&quot;00CD6F1B&quot;/&gt;&lt;wsp:rsid wsp:val=&quot;00CD7C94&quot;/&gt;&lt;wsp:rsid wsp:val=&quot;00CE0150&quot;/&gt;&lt;wsp:rsid wsp:val=&quot;00CE1B69&quot;/&gt;&lt;wsp:rsid wsp:val=&quot;00CE1D2B&quot;/&gt;&lt;wsp:rsid wsp:val=&quot;00CE3298&quot;/&gt;&lt;wsp:rsid wsp:val=&quot;00CE4682&quot;/&gt;&lt;wsp:rsid wsp:val=&quot;00CE47A3&quot;/&gt;&lt;wsp:rsid wsp:val=&quot;00CE52BC&quot;/&gt;&lt;wsp:rsid wsp:val=&quot;00CF0381&quot;/&gt;&lt;wsp:rsid wsp:val=&quot;00CF4588&quot;/&gt;&lt;wsp:rsid wsp:val=&quot;00CF48C9&quot;/&gt;&lt;wsp:rsid wsp:val=&quot;00CF7A6D&quot;/&gt;&lt;wsp:rsid wsp:val=&quot;00D00E69&quot;/&gt;&lt;wsp:rsid wsp:val=&quot;00D0135A&quot;/&gt;&lt;wsp:rsid wsp:val=&quot;00D01A2B&quot;/&gt;&lt;wsp:rsid wsp:val=&quot;00D036C3&quot;/&gt;&lt;wsp:rsid wsp:val=&quot;00D0396D&quot;/&gt;&lt;wsp:rsid wsp:val=&quot;00D05E68&quot;/&gt;&lt;wsp:rsid wsp:val=&quot;00D068A4&quot;/&gt;&lt;wsp:rsid wsp:val=&quot;00D133B4&quot;/&gt;&lt;wsp:rsid wsp:val=&quot;00D143AF&quot;/&gt;&lt;wsp:rsid wsp:val=&quot;00D158DA&quot;/&gt;&lt;wsp:rsid wsp:val=&quot;00D16364&quot;/&gt;&lt;wsp:rsid wsp:val=&quot;00D16D4A&quot;/&gt;&lt;wsp:rsid wsp:val=&quot;00D17DB8&quot;/&gt;&lt;wsp:rsid wsp:val=&quot;00D20553&quot;/&gt;&lt;wsp:rsid wsp:val=&quot;00D260DC&quot;/&gt;&lt;wsp:rsid wsp:val=&quot;00D26360&quot;/&gt;&lt;wsp:rsid wsp:val=&quot;00D301AD&quot;/&gt;&lt;wsp:rsid wsp:val=&quot;00D30AB3&quot;/&gt;&lt;wsp:rsid wsp:val=&quot;00D3118B&quot;/&gt;&lt;wsp:rsid wsp:val=&quot;00D31443&quot;/&gt;&lt;wsp:rsid wsp:val=&quot;00D3189E&quot;/&gt;&lt;wsp:rsid wsp:val=&quot;00D32027&quot;/&gt;&lt;wsp:rsid wsp:val=&quot;00D3212A&quot;/&gt;&lt;wsp:rsid wsp:val=&quot;00D359F9&quot;/&gt;&lt;wsp:rsid wsp:val=&quot;00D4015F&quot;/&gt;&lt;wsp:rsid wsp:val=&quot;00D404CE&quot;/&gt;&lt;wsp:rsid wsp:val=&quot;00D40ED2&quot;/&gt;&lt;wsp:rsid wsp:val=&quot;00D41885&quot;/&gt;&lt;wsp:rsid wsp:val=&quot;00D424B9&quot;/&gt;&lt;wsp:rsid wsp:val=&quot;00D42E12&quot;/&gt;&lt;wsp:rsid wsp:val=&quot;00D442AE&quot;/&gt;&lt;wsp:rsid wsp:val=&quot;00D45C38&quot;/&gt;&lt;wsp:rsid wsp:val=&quot;00D46BB9&quot;/&gt;&lt;wsp:rsid wsp:val=&quot;00D5137F&quot;/&gt;&lt;wsp:rsid wsp:val=&quot;00D513DB&quot;/&gt;&lt;wsp:rsid wsp:val=&quot;00D51C4D&quot;/&gt;&lt;wsp:rsid wsp:val=&quot;00D53C64&quot;/&gt;&lt;wsp:rsid wsp:val=&quot;00D5791B&quot;/&gt;&lt;wsp:rsid wsp:val=&quot;00D57FE1&quot;/&gt;&lt;wsp:rsid wsp:val=&quot;00D6162B&quot;/&gt;&lt;wsp:rsid wsp:val=&quot;00D667E0&quot;/&gt;&lt;wsp:rsid wsp:val=&quot;00D66D8E&quot;/&gt;&lt;wsp:rsid wsp:val=&quot;00D66E29&quot;/&gt;&lt;wsp:rsid wsp:val=&quot;00D70356&quot;/&gt;&lt;wsp:rsid wsp:val=&quot;00D70505&quot;/&gt;&lt;wsp:rsid wsp:val=&quot;00D71591&quot;/&gt;&lt;wsp:rsid wsp:val=&quot;00D74226&quot;/&gt;&lt;wsp:rsid wsp:val=&quot;00D75425&quot;/&gt;&lt;wsp:rsid wsp:val=&quot;00D76B7B&quot;/&gt;&lt;wsp:rsid wsp:val=&quot;00D80696&quot;/&gt;&lt;wsp:rsid wsp:val=&quot;00D81015&quot;/&gt;&lt;wsp:rsid wsp:val=&quot;00D81736&quot;/&gt;&lt;wsp:rsid wsp:val=&quot;00D82F69&quot;/&gt;&lt;wsp:rsid wsp:val=&quot;00D83036&quot;/&gt;&lt;wsp:rsid wsp:val=&quot;00D8455E&quot;/&gt;&lt;wsp:rsid wsp:val=&quot;00D8480F&quot;/&gt;&lt;wsp:rsid wsp:val=&quot;00D8569C&quot;/&gt;&lt;wsp:rsid wsp:val=&quot;00D8688F&quot;/&gt;&lt;wsp:rsid wsp:val=&quot;00D86F08&quot;/&gt;&lt;wsp:rsid wsp:val=&quot;00D87331&quot;/&gt;&lt;wsp:rsid wsp:val=&quot;00D92ABF&quot;/&gt;&lt;wsp:rsid wsp:val=&quot;00D95C7C&quot;/&gt;&lt;wsp:rsid wsp:val=&quot;00D96E94&quot;/&gt;&lt;wsp:rsid wsp:val=&quot;00D97AE1&quot;/&gt;&lt;wsp:rsid wsp:val=&quot;00D97FB2&quot;/&gt;&lt;wsp:rsid wsp:val=&quot;00DA081D&quot;/&gt;&lt;wsp:rsid wsp:val=&quot;00DA13AD&quot;/&gt;&lt;wsp:rsid wsp:val=&quot;00DA1F10&quot;/&gt;&lt;wsp:rsid wsp:val=&quot;00DA36D1&quot;/&gt;&lt;wsp:rsid wsp:val=&quot;00DA7642&quot;/&gt;&lt;wsp:rsid wsp:val=&quot;00DA7D90&quot;/&gt;&lt;wsp:rsid wsp:val=&quot;00DB06B3&quot;/&gt;&lt;wsp:rsid wsp:val=&quot;00DB51D7&quot;/&gt;&lt;wsp:rsid wsp:val=&quot;00DB527A&quot;/&gt;&lt;wsp:rsid wsp:val=&quot;00DB6C95&quot;/&gt;&lt;wsp:rsid wsp:val=&quot;00DB7C82&quot;/&gt;&lt;wsp:rsid wsp:val=&quot;00DC0A67&quot;/&gt;&lt;wsp:rsid wsp:val=&quot;00DC16B2&quot;/&gt;&lt;wsp:rsid wsp:val=&quot;00DC196A&quot;/&gt;&lt;wsp:rsid wsp:val=&quot;00DC2582&quot;/&gt;&lt;wsp:rsid wsp:val=&quot;00DC3252&quot;/&gt;&lt;wsp:rsid wsp:val=&quot;00DC449A&quot;/&gt;&lt;wsp:rsid wsp:val=&quot;00DC48F9&quot;/&gt;&lt;wsp:rsid wsp:val=&quot;00DC6E36&quot;/&gt;&lt;wsp:rsid wsp:val=&quot;00DD1528&quot;/&gt;&lt;wsp:rsid wsp:val=&quot;00DD1A85&quot;/&gt;&lt;wsp:rsid wsp:val=&quot;00DD2F34&quot;/&gt;&lt;wsp:rsid wsp:val=&quot;00DD34D9&quot;/&gt;&lt;wsp:rsid wsp:val=&quot;00DD3E29&quot;/&gt;&lt;wsp:rsid wsp:val=&quot;00DD549B&quot;/&gt;&lt;wsp:rsid wsp:val=&quot;00DD5B86&quot;/&gt;&lt;wsp:rsid wsp:val=&quot;00DD64BC&quot;/&gt;&lt;wsp:rsid wsp:val=&quot;00DD69C7&quot;/&gt;&lt;wsp:rsid wsp:val=&quot;00DE3A57&quot;/&gt;&lt;wsp:rsid wsp:val=&quot;00DE4221&quot;/&gt;&lt;wsp:rsid wsp:val=&quot;00DE63AB&quot;/&gt;&lt;wsp:rsid wsp:val=&quot;00DE73EA&quot;/&gt;&lt;wsp:rsid wsp:val=&quot;00DF0B93&quot;/&gt;&lt;wsp:rsid wsp:val=&quot;00DF57AD&quot;/&gt;&lt;wsp:rsid wsp:val=&quot;00DF5FFA&quot;/&gt;&lt;wsp:rsid wsp:val=&quot;00DF671C&quot;/&gt;&lt;wsp:rsid wsp:val=&quot;00DF6FF1&quot;/&gt;&lt;wsp:rsid wsp:val=&quot;00E0364B&quot;/&gt;&lt;wsp:rsid wsp:val=&quot;00E04D4D&quot;/&gt;&lt;wsp:rsid wsp:val=&quot;00E058C7&quot;/&gt;&lt;wsp:rsid wsp:val=&quot;00E05E3C&quot;/&gt;&lt;wsp:rsid wsp:val=&quot;00E07826&quot;/&gt;&lt;wsp:rsid wsp:val=&quot;00E07B6C&quot;/&gt;&lt;wsp:rsid wsp:val=&quot;00E132B4&quot;/&gt;&lt;wsp:rsid wsp:val=&quot;00E13769&quot;/&gt;&lt;wsp:rsid wsp:val=&quot;00E13FA8&quot;/&gt;&lt;wsp:rsid wsp:val=&quot;00E17C9A&quot;/&gt;&lt;wsp:rsid wsp:val=&quot;00E21BA7&quot;/&gt;&lt;wsp:rsid wsp:val=&quot;00E2254C&quot;/&gt;&lt;wsp:rsid wsp:val=&quot;00E23585&quot;/&gt;&lt;wsp:rsid wsp:val=&quot;00E238A3&quot;/&gt;&lt;wsp:rsid wsp:val=&quot;00E24130&quot;/&gt;&lt;wsp:rsid wsp:val=&quot;00E25555&quot;/&gt;&lt;wsp:rsid wsp:val=&quot;00E26E67&quot;/&gt;&lt;wsp:rsid wsp:val=&quot;00E26F47&quot;/&gt;&lt;wsp:rsid wsp:val=&quot;00E304B7&quot;/&gt;&lt;wsp:rsid wsp:val=&quot;00E359AA&quot;/&gt;&lt;wsp:rsid wsp:val=&quot;00E363D1&quot;/&gt;&lt;wsp:rsid wsp:val=&quot;00E36869&quot;/&gt;&lt;wsp:rsid wsp:val=&quot;00E40461&quot;/&gt;&lt;wsp:rsid wsp:val=&quot;00E40890&quot;/&gt;&lt;wsp:rsid wsp:val=&quot;00E41655&quot;/&gt;&lt;wsp:rsid wsp:val=&quot;00E440C2&quot;/&gt;&lt;wsp:rsid wsp:val=&quot;00E441FA&quot;/&gt;&lt;wsp:rsid wsp:val=&quot;00E44277&quot;/&gt;&lt;wsp:rsid wsp:val=&quot;00E45B5C&quot;/&gt;&lt;wsp:rsid wsp:val=&quot;00E46510&quot;/&gt;&lt;wsp:rsid wsp:val=&quot;00E46993&quot;/&gt;&lt;wsp:rsid wsp:val=&quot;00E50A0F&quot;/&gt;&lt;wsp:rsid wsp:val=&quot;00E50BE1&quot;/&gt;&lt;wsp:rsid wsp:val=&quot;00E51E15&quot;/&gt;&lt;wsp:rsid wsp:val=&quot;00E51EB6&quot;/&gt;&lt;wsp:rsid wsp:val=&quot;00E522A6&quot;/&gt;&lt;wsp:rsid wsp:val=&quot;00E5372D&quot;/&gt;&lt;wsp:rsid wsp:val=&quot;00E54688&quot;/&gt;&lt;wsp:rsid wsp:val=&quot;00E5544D&quot;/&gt;&lt;wsp:rsid wsp:val=&quot;00E56358&quot;/&gt;&lt;wsp:rsid wsp:val=&quot;00E576EF&quot;/&gt;&lt;wsp:rsid wsp:val=&quot;00E615EC&quot;/&gt;&lt;wsp:rsid wsp:val=&quot;00E63C92&quot;/&gt;&lt;wsp:rsid wsp:val=&quot;00E716CA&quot;/&gt;&lt;wsp:rsid wsp:val=&quot;00E71D78&quot;/&gt;&lt;wsp:rsid wsp:val=&quot;00E724D8&quot;/&gt;&lt;wsp:rsid wsp:val=&quot;00E73D0F&quot;/&gt;&lt;wsp:rsid wsp:val=&quot;00E80E6F&quot;/&gt;&lt;wsp:rsid wsp:val=&quot;00E82BA1&quot;/&gt;&lt;wsp:rsid wsp:val=&quot;00E82F38&quot;/&gt;&lt;wsp:rsid wsp:val=&quot;00E84A69&quot;/&gt;&lt;wsp:rsid wsp:val=&quot;00E91102&quot;/&gt;&lt;wsp:rsid wsp:val=&quot;00E930B6&quot;/&gt;&lt;wsp:rsid wsp:val=&quot;00E97B4F&quot;/&gt;&lt;wsp:rsid wsp:val=&quot;00EA16BC&quot;/&gt;&lt;wsp:rsid wsp:val=&quot;00EA1FFE&quot;/&gt;&lt;wsp:rsid wsp:val=&quot;00EA3655&quot;/&gt;&lt;wsp:rsid wsp:val=&quot;00EA3DA2&quot;/&gt;&lt;wsp:rsid wsp:val=&quot;00EA4132&quot;/&gt;&lt;wsp:rsid wsp:val=&quot;00EA4FA2&quot;/&gt;&lt;wsp:rsid wsp:val=&quot;00EB1AEB&quot;/&gt;&lt;wsp:rsid wsp:val=&quot;00EB50ED&quot;/&gt;&lt;wsp:rsid wsp:val=&quot;00EC050F&quot;/&gt;&lt;wsp:rsid wsp:val=&quot;00EC094C&quot;/&gt;&lt;wsp:rsid wsp:val=&quot;00EC16AC&quot;/&gt;&lt;wsp:rsid wsp:val=&quot;00ED0E8B&quot;/&gt;&lt;wsp:rsid wsp:val=&quot;00ED2FF8&quot;/&gt;&lt;wsp:rsid wsp:val=&quot;00ED46CB&quot;/&gt;&lt;wsp:rsid wsp:val=&quot;00ED6D61&quot;/&gt;&lt;wsp:rsid wsp:val=&quot;00ED7AD7&quot;/&gt;&lt;wsp:rsid wsp:val=&quot;00EE1981&quot;/&gt;&lt;wsp:rsid wsp:val=&quot;00EE1ED2&quot;/&gt;&lt;wsp:rsid wsp:val=&quot;00EE2212&quot;/&gt;&lt;wsp:rsid wsp:val=&quot;00EE2242&quot;/&gt;&lt;wsp:rsid wsp:val=&quot;00EE6E6A&quot;/&gt;&lt;wsp:rsid wsp:val=&quot;00EE739E&quot;/&gt;&lt;wsp:rsid wsp:val=&quot;00EE7ADC&quot;/&gt;&lt;wsp:rsid wsp:val=&quot;00EF15FA&quot;/&gt;&lt;wsp:rsid wsp:val=&quot;00EF1A6C&quot;/&gt;&lt;wsp:rsid wsp:val=&quot;00EF309C&quot;/&gt;&lt;wsp:rsid wsp:val=&quot;00EF4BD5&quot;/&gt;&lt;wsp:rsid wsp:val=&quot;00EF5199&quot;/&gt;&lt;wsp:rsid wsp:val=&quot;00EF5B0E&quot;/&gt;&lt;wsp:rsid wsp:val=&quot;00F00639&quot;/&gt;&lt;wsp:rsid wsp:val=&quot;00F01944&quot;/&gt;&lt;wsp:rsid wsp:val=&quot;00F01E1D&quot;/&gt;&lt;wsp:rsid wsp:val=&quot;00F022E4&quot;/&gt;&lt;wsp:rsid wsp:val=&quot;00F03E44&quot;/&gt;&lt;wsp:rsid wsp:val=&quot;00F058D3&quot;/&gt;&lt;wsp:rsid wsp:val=&quot;00F075D9&quot;/&gt;&lt;wsp:rsid wsp:val=&quot;00F1020F&quot;/&gt;&lt;wsp:rsid wsp:val=&quot;00F16EF0&quot;/&gt;&lt;wsp:rsid wsp:val=&quot;00F21E1C&quot;/&gt;&lt;wsp:rsid wsp:val=&quot;00F26F42&quot;/&gt;&lt;wsp:rsid wsp:val=&quot;00F2764F&quot;/&gt;&lt;wsp:rsid wsp:val=&quot;00F27CA7&quot;/&gt;&lt;wsp:rsid wsp:val=&quot;00F30F44&quot;/&gt;&lt;wsp:rsid wsp:val=&quot;00F3407C&quot;/&gt;&lt;wsp:rsid wsp:val=&quot;00F34943&quot;/&gt;&lt;wsp:rsid wsp:val=&quot;00F35D8A&quot;/&gt;&lt;wsp:rsid wsp:val=&quot;00F40D9B&quot;/&gt;&lt;wsp:rsid wsp:val=&quot;00F40EDB&quot;/&gt;&lt;wsp:rsid wsp:val=&quot;00F42CDD&quot;/&gt;&lt;wsp:rsid wsp:val=&quot;00F42FEA&quot;/&gt;&lt;wsp:rsid wsp:val=&quot;00F43196&quot;/&gt;&lt;wsp:rsid wsp:val=&quot;00F456BD&quot;/&gt;&lt;wsp:rsid wsp:val=&quot;00F4573B&quot;/&gt;&lt;wsp:rsid wsp:val=&quot;00F4578F&quot;/&gt;&lt;wsp:rsid wsp:val=&quot;00F46A41&quot;/&gt;&lt;wsp:rsid wsp:val=&quot;00F53C20&quot;/&gt;&lt;wsp:rsid wsp:val=&quot;00F54554&quot;/&gt;&lt;wsp:rsid wsp:val=&quot;00F553FA&quot;/&gt;&lt;wsp:rsid wsp:val=&quot;00F55FDC&quot;/&gt;&lt;wsp:rsid wsp:val=&quot;00F577F2&quot;/&gt;&lt;wsp:rsid wsp:val=&quot;00F579F5&quot;/&gt;&lt;wsp:rsid wsp:val=&quot;00F60A4A&quot;/&gt;&lt;wsp:rsid wsp:val=&quot;00F610B7&quot;/&gt;&lt;wsp:rsid wsp:val=&quot;00F645C2&quot;/&gt;&lt;wsp:rsid wsp:val=&quot;00F71211&quot;/&gt;&lt;wsp:rsid wsp:val=&quot;00F72197&quot;/&gt;&lt;wsp:rsid wsp:val=&quot;00F7274C&quot;/&gt;&lt;wsp:rsid wsp:val=&quot;00F7319A&quot;/&gt;&lt;wsp:rsid wsp:val=&quot;00F73FC6&quot;/&gt;&lt;wsp:rsid wsp:val=&quot;00F7606B&quot;/&gt;&lt;wsp:rsid wsp:val=&quot;00F76DAA&quot;/&gt;&lt;wsp:rsid wsp:val=&quot;00F77C42&quot;/&gt;&lt;wsp:rsid wsp:val=&quot;00F77DAC&quot;/&gt;&lt;wsp:rsid wsp:val=&quot;00F80FC4&quot;/&gt;&lt;wsp:rsid wsp:val=&quot;00F83973&quot;/&gt;&lt;wsp:rsid wsp:val=&quot;00F855E0&quot;/&gt;&lt;wsp:rsid wsp:val=&quot;00F877E1&quot;/&gt;&lt;wsp:rsid wsp:val=&quot;00F90BC0&quot;/&gt;&lt;wsp:rsid wsp:val=&quot;00F91CDA&quot;/&gt;&lt;wsp:rsid wsp:val=&quot;00F93E63&quot;/&gt;&lt;wsp:rsid wsp:val=&quot;00F95A63&quot;/&gt;&lt;wsp:rsid wsp:val=&quot;00F9739A&quot;/&gt;&lt;wsp:rsid wsp:val=&quot;00FA1017&quot;/&gt;&lt;wsp:rsid wsp:val=&quot;00FA2A8A&quot;/&gt;&lt;wsp:rsid wsp:val=&quot;00FA52EE&quot;/&gt;&lt;wsp:rsid wsp:val=&quot;00FA69EB&quot;/&gt;&lt;wsp:rsid wsp:val=&quot;00FB394C&quot;/&gt;&lt;wsp:rsid wsp:val=&quot;00FB3A3C&quot;/&gt;&lt;wsp:rsid wsp:val=&quot;00FC1796&quot;/&gt;&lt;wsp:rsid wsp:val=&quot;00FC20E3&quot;/&gt;&lt;wsp:rsid wsp:val=&quot;00FC24D3&quot;/&gt;&lt;wsp:rsid wsp:val=&quot;00FC5448&quot;/&gt;&lt;wsp:rsid wsp:val=&quot;00FC6B44&quot;/&gt;&lt;wsp:rsid wsp:val=&quot;00FC6C9C&quot;/&gt;&lt;wsp:rsid wsp:val=&quot;00FD0556&quot;/&gt;&lt;wsp:rsid wsp:val=&quot;00FD28C9&quot;/&gt;&lt;wsp:rsid wsp:val=&quot;00FD40ED&quot;/&gt;&lt;wsp:rsid wsp:val=&quot;00FD4B70&quot;/&gt;&lt;wsp:rsid wsp:val=&quot;00FD6556&quot;/&gt;&lt;wsp:rsid wsp:val=&quot;00FD6814&quot;/&gt;&lt;wsp:rsid wsp:val=&quot;00FD7D70&quot;/&gt;&lt;wsp:rsid wsp:val=&quot;00FE0AA1&quot;/&gt;&lt;wsp:rsid wsp:val=&quot;00FE213E&quot;/&gt;&lt;wsp:rsid wsp:val=&quot;00FE237E&quot;/&gt;&lt;wsp:rsid wsp:val=&quot;00FE2DF9&quot;/&gt;&lt;wsp:rsid wsp:val=&quot;00FE30FB&quot;/&gt;&lt;wsp:rsid wsp:val=&quot;00FE5374&quot;/&gt;&lt;wsp:rsid wsp:val=&quot;00FE5A11&quot;/&gt;&lt;wsp:rsid wsp:val=&quot;00FE6AC3&quot;/&gt;&lt;wsp:rsid wsp:val=&quot;00FE7D23&quot;/&gt;&lt;wsp:rsid wsp:val=&quot;00FF063B&quot;/&gt;&lt;wsp:rsid wsp:val=&quot;00FF28F2&quot;/&gt;&lt;wsp:rsid wsp:val=&quot;00FF2C18&quot;/&gt;&lt;wsp:rsid wsp:val=&quot;00FF311A&quot;/&gt;&lt;wsp:rsid wsp:val=&quot;00FF40D2&quot;/&gt;&lt;wsp:rsid wsp:val=&quot;00FF4683&quot;/&gt;&lt;wsp:rsid wsp:val=&quot;00FF5B6C&quot;/&gt;&lt;wsp:rsid wsp:val=&quot;00FF625F&quot;/&gt;&lt;wsp:rsid wsp:val=&quot;00FF6494&quot;/&gt;&lt;wsp:rsid wsp:val=&quot;00FF665E&quot;/&gt;&lt;wsp:rsid wsp:val=&quot;00FF6FC1&quot;/&gt;&lt;wsp:rsid wsp:val=&quot;029C3A37&quot;/&gt;&lt;wsp:rsid wsp:val=&quot;053311D1&quot;/&gt;&lt;wsp:rsid wsp:val=&quot;09C0795E&quot;/&gt;&lt;wsp:rsid wsp:val=&quot;0C7C732A&quot;/&gt;&lt;wsp:rsid wsp:val=&quot;0E1B31B1&quot;/&gt;&lt;wsp:rsid wsp:val=&quot;0E4C2224&quot;/&gt;&lt;wsp:rsid wsp:val=&quot;125807E5&quot;/&gt;&lt;wsp:rsid wsp:val=&quot;125C571A&quot;/&gt;&lt;wsp:rsid wsp:val=&quot;1341324B&quot;/&gt;&lt;wsp:rsid wsp:val=&quot;172C3EE7&quot;/&gt;&lt;wsp:rsid wsp:val=&quot;17A358BD&quot;/&gt;&lt;wsp:rsid wsp:val=&quot;19A50A48&quot;/&gt;&lt;wsp:rsid wsp:val=&quot;19B50010&quot;/&gt;&lt;wsp:rsid wsp:val=&quot;2174112A&quot;/&gt;&lt;wsp:rsid wsp:val=&quot;226C19EF&quot;/&gt;&lt;wsp:rsid wsp:val=&quot;2969303F&quot;/&gt;&lt;wsp:rsid wsp:val=&quot;2A195FE7&quot;/&gt;&lt;wsp:rsid wsp:val=&quot;2E993FCB&quot;/&gt;&lt;wsp:rsid wsp:val=&quot;2EA80D74&quot;/&gt;&lt;wsp:rsid wsp:val=&quot;32016D51&quot;/&gt;&lt;wsp:rsid wsp:val=&quot;330E2EBE&quot;/&gt;&lt;wsp:rsid wsp:val=&quot;33CD378F&quot;/&gt;&lt;wsp:rsid wsp:val=&quot;34DB02DC&quot;/&gt;&lt;wsp:rsid wsp:val=&quot;36A83122&quot;/&gt;&lt;wsp:rsid wsp:val=&quot;376716E1&quot;/&gt;&lt;wsp:rsid wsp:val=&quot;3BEF24D3&quot;/&gt;&lt;wsp:rsid wsp:val=&quot;3DE0688F&quot;/&gt;&lt;wsp:rsid wsp:val=&quot;3FD604F5&quot;/&gt;&lt;wsp:rsid wsp:val=&quot;43A56394&quot;/&gt;&lt;wsp:rsid wsp:val=&quot;46730CBD&quot;/&gt;&lt;wsp:rsid wsp:val=&quot;4A7F69AB&quot;/&gt;&lt;wsp:rsid wsp:val=&quot;4BC313AD&quot;/&gt;&lt;wsp:rsid wsp:val=&quot;4D511DEF&quot;/&gt;&lt;wsp:rsid wsp:val=&quot;4D896E12&quot;/&gt;&lt;wsp:rsid wsp:val=&quot;4E133850&quot;/&gt;&lt;wsp:rsid wsp:val=&quot;4FE9271B&quot;/&gt;&lt;wsp:rsid wsp:val=&quot;51E60E5E&quot;/&gt;&lt;wsp:rsid wsp:val=&quot;52E535ED&quot;/&gt;&lt;wsp:rsid wsp:val=&quot;554E2E2D&quot;/&gt;&lt;wsp:rsid wsp:val=&quot;559D5EA6&quot;/&gt;&lt;wsp:rsid wsp:val=&quot;5EC33644&quot;/&gt;&lt;wsp:rsid wsp:val=&quot;64920910&quot;/&gt;&lt;wsp:rsid wsp:val=&quot;650858E6&quot;/&gt;&lt;wsp:rsid wsp:val=&quot;661F3FC6&quot;/&gt;&lt;wsp:rsid wsp:val=&quot;6BA92337&quot;/&gt;&lt;wsp:rsid wsp:val=&quot;6D636443&quot;/&gt;&lt;wsp:rsid wsp:val=&quot;6E8B400F&quot;/&gt;&lt;wsp:rsid wsp:val=&quot;72B56FFB&quot;/&gt;&lt;wsp:rsid wsp:val=&quot;73100B9D&quot;/&gt;&lt;wsp:rsid wsp:val=&quot;736A6779&quot;/&gt;&lt;wsp:rsid wsp:val=&quot;78DB06ED&quot;/&gt;&lt;wsp:rsid wsp:val=&quot;794B39E4&quot;/&gt;&lt;wsp:rsid wsp:val=&quot;7A1F1A86&quot;/&gt;&lt;wsp:rsid wsp:val=&quot;7AF315C8&quot;/&gt;&lt;wsp:rsid wsp:val=&quot;7DE15C13&quot;/&gt;&lt;wsp:rsid wsp:val=&quot;7E66247A&quot;/&gt;&lt;wsp:rsid wsp:val=&quot;7F0363BC&quot;/&gt;&lt;wsp:rsid wsp:val=&quot;7F1C3024&quot;/&gt;&lt;/wsp:rsids&gt;&lt;/w:docPr&gt;&lt;w:body&gt;&lt;wx:sect&gt;&lt;w:p wsp:rsidR=&quot;00000000&quot; wsp:rsidRPr=&quot;00882954&quot; wsp:rsidRDefault=&quot;00882954&quot; wsp:rsidP=&quot;00882954&quot;&gt;&lt;m:oMathPara&gt;&lt;m:oMath&gt;&lt;m:r&gt;&lt;w:rPr&gt;&lt;w:rFonts w:ascii=&quot;Cambria Math&quot; w:h-ansi=&quot;Cambria Math&quot;/&gt;&lt;wx:font wx:val=&quot;Cambria Math&quot;/&gt;&lt;w:i/&gt;&lt;w:sz w:val=&quot;32&quot;/&gt;&lt;w:sz-cs w:val=&quot;32&quot;/&gt;&lt;/w:rPr&gt;&lt;m:t&gt;X=N+&lt;/m:t&gt;&lt;/m:r&gt;&lt;m:d&gt;&lt;m:dPr&gt;&lt;m:ctrlPr&gt;&lt;w:rPr&gt;&lt;w:rFonts w:ascii=&quot;Cambria Math&quot; w:h-ansi=&quot;Cambria Math&quot;/&gt;&lt;wx:font wx:val=&quot;Cambria Math&quot;/&gt;&lt;w:i/&gt;&lt;w:sz w:val=&quot;32&quot;/&gt;&lt;w:sz-cs w:val=&quot;32&quot;/&gt;&lt;/w:rPr&gt;&lt;/m:ctrlPr&gt;&lt;/m:dPr&gt;&lt;m:e&gt;&lt;m:r&gt;&lt;w:rPr&gt;&lt;w:rFonts w:ascii=&quot;Cambria Math&quot; w:h-ansi=&quot;Cambria Math&quot;/&gt;&lt;wx:font wx:val=&quot;Cambria Math&quot;/&gt;&lt;w:i/&gt;&lt;w:sz w:val=&quot;32&quot;/&gt;&lt;w:sz-cs w:val=&quot;32&quot;/&gt;&lt;/w:rPr&gt;&lt;m:t&gt;M-N&lt;/m:t&gt;&lt;/m:r&gt;&lt;/m:e&gt;&lt;/m:d&gt;&lt;m:r&gt;&lt;m:rPr&gt;&lt;m:sty m:val=&quot;p&quot;/&gt;&lt;/m:rPr&gt;&lt;w:rPr&gt;&lt;w:rFonts w:ascii=&quot;Cambria Math&quot; w:h-ansi=&quot;Cambria Math&quot;/&gt;&lt;wx:font wx:val=&quot;Cambria Math&quot;/&gt;&lt;w:sz w:val=&quot;32&quot;/&gt;&lt;w:sz-cs w:val=&quot;32&quot;/&gt;&lt;/w:rPr&gt;&lt;m:t&gt;脳&lt;/m:t&gt;&lt;/:m:r&gt;&lt;m:d&gt;&lt;m:dPr&gt;&lt;m:begChr m:val=&quot;[&quot;/&gt;&lt;m:endChr m:val=&quot;]&quot;/&gt;&lt;m:ctrlPr&gt;&lt;w:rPr&gt;&lt;w:rFonts w:ascii=&quot;Cambwria Math&quot; w:fareast=&quot;瀹嬩綋&quot; w:h-ansi=&quot;Cambria Math&quot;mbri w:cs=&quot;Times New Roman&quot;/&gt;&lt;wx:font wx:val=&quot;Cambria Math&quot;/&gt;&lt;w:sz w:val=&quot;32&quot;/&gt;&lt;w:sz-cs w:val=&quot;32&quot;/&gt;&lt;/w:rPr&gt;&lt;/:&lt;/m:ctrlPr&gt;&lt;/m:dPr&gt;&lt;m:e&gt;&lt;m:f&gt;&lt;m:fPr&gt;&lt;m:ctrlPr&gt;&lt;w:rPr&gt;&lt;w:rFonts w:ascii=&quot;Cambria Math&quot; w:fareast=&quot;瀹ambw嬩綋&quot; w:h-ansi=&quot;Cambria Math&quot; w:cs=&quot;Times Newbri Roman&quot;/&gt;&lt;wx:font wx:val=&quot;Cambria Math&quot;/&gt;&lt;w:i/&gt;&lt;w:sz w:val=&quot;32&quot;/&gt;&lt;w:sz-cs w:val=&quot;32&quot;/&gt;&lt;/w:rPr&gt;&lt;/m:ctrlPr&gt;&lt;/&lt;/:m:fPr&gt;&lt;m:num&gt;&lt;m:nary&gt;&lt;m:naryPr&gt;&lt;m:chr m:val=&quot;鈭?/&gt;&lt;m:limLoc m:val=&quot;subSup&quot;/&gt;&lt;m:ctrlPr&gt;&lt;w:rPr&gt;&lt;w:rFontsambw w:ascii=&quot;Cambria Math&quot; w:fareast=&quot;瀹嬩bri綋&quot; w:h-ansi=&quot;Cambria Math&quot; w:cs=&quot;Times New Roman&quot;/&gt;&lt;wx:font wx:val=&quot;Cambria Math&quot;/&gt;&lt;w:i/&gt;&lt;w:sz w:val=&quot;32&quot;/&gt;&lt;w/&lt;/::sz-cs w:val=&quot;32&quot;/&gt;&lt;/w:rPr&gt;&lt;/m:ctrlPr&gt;&lt;/m:naryPr&gt;&lt;m:sub&gt;&lt;m:r&gt;&lt;w:rPr&gt;&lt;w:rFonts w:ascii=&quot;Cambria Math&quot; w:h-ambwnsi=&quot;Cambria Math&quot;/&gt;&lt;wx:font wx:ival=&quot;Cambria Math&quot;/&gt;&lt;w:i/&gt;&lt;w:sz w:val=&quot;32&quot;/&gt;&lt;w:sz-cs w:val=&quot;32&quot;/&gt;&lt;/w:rPr&gt;&lt;m:t&gt;i=1&lt;/m:t&gt;&lt;/m:r&gt;&lt;/m:sub&gt;&lt;m:sup&gt;&lt;m:r&gt;&lt;w:rPr&gt;&lt;w:rFonts w:ascii=&quot;Cambria Math&quot; w:h-ansi=&quot;Cambria Math&quot;/&gt;&lt;wx:font wx:val=&quot;Cambria Math&quot;/&gt;&lt;w:i/&gt;&lt;w:sz w:val=&quot;32&quot;/&gt;&lt;w:sz-cs w:val=&quot;32&quot;/&gt;&lt;/w:rPr&gt;&lt;m:t&gt;m&lt;/m:t&gt;&lt;/m:r&gt;&lt;/m:sup&gt;&lt;m:e&gt;&lt;m:d&gt;&lt;m:dPr&gt;&lt;m:ctrlPr&gt;&lt;w:rPr&gt;&lt;w:rFonts w:ascii=&quot;Cambria Math&quot; w:h-ansi=&quot;Cambria Math&quot;/&gt;&lt;wx:font wx:val=&quot;Cambria Math&quot;/&gt;&lt;w:i/&gt;&lt;w:sz w:val=&quot;32&quot;/&gt;&lt;w:sz-cs w:val=&quot;32&quot;/&gt;&lt;/w:rPr&gt;&lt;/m:ctrlPr&gt;&lt;/m:dPr&gt;&lt;m:e&gt;&lt;m:sSub&gt;&lt;m:sSubPr&gt;&lt;m:ctrlPr&gt;&lt;w:rPr&gt;&lt;w:rFonts w:ascii=&quot;Cambria Math&quot; w:fareast=&quot;瀹嬩綋&quot; w:h-ansi=&quot;Cambria Math&quot; w:cs=&quot;Times New Roman&quot;/Cam&gt;&lt;wx:font wx:val=&quot;Cambria Math&quot;/&gt;&lt;w:i/&gt;&lt;w:sz w:val=&quot;32&quot;/&gt;&lt;w:sz-cs w:val=&quot;32&quot;/&gt;&lt;/w:rPr&gt;&lt;/m:ctrlPr&gt;&lt;/m:sSubPr&gt;&lt;r&gt;&lt;m:e&gt;&lt;m:r&gt;&lt;w:rPr&gt;&lt;w:rFonts &gt;&lt;mw:ascii=&quot;Cambria Math&quot; w:h-ansi=&quot;Cambria Math&quot;/&gt;&lt;wx:font wx:val=&quot;Cambria Math&quot;/&gt;&lt;w:i/&gt;&lt;w:sz w:val=&quot;32&quot;/&gt;&lt;w:sz-cs w:val=&quot;32&quot;/&gt;&lt;/w:rPr&gt;&lt;m:t&gt;A&lt;/m:t&gt;&lt;/m:r&gt;&lt;/m:e&gt;&lt;m:sub&gt;&lt;m:r&gt;&lt;w:rPr&gt;&lt;w:rFonts w:ascii=&quot;Cambria Math&quot; w:h-ansi=&quot;Cambria Math&quot;/&gt;&lt;wx:font wx:val=&quot;Cambria Math&quot;/&gt;&lt;w:i/&gt;&lt;w:sz w:val=&quot;32&quot;/&gt;&lt;w:sz-cs w:val=&quot;32&quot;/&gt;&lt;/w:rPr&gt;&lt;m:t&gt;i&lt;/m:t&gt;&lt;/m:r&gt;&lt;/m:sub&gt;&lt;/m:sSub&gt;&lt;m:r&gt;&lt;w:rPr&gt;&lt;w:rFonts w:ascii=&quot;Cambria Math&quot; w:h-ansi=&quot;Cambria Math&quot;/&gt;&lt;wx:font wx:val=&quot;Cambria Math&quot;/&gt;&lt;w:i/&gt;&lt;w:sz w:val=&quot;32&quot;/&gt;&lt;w:sz-cs w:val=&quot;32&quot;/&gt;&lt;/w:rPr&gt;&lt;m:t&gt;-1&lt;/m:t&gt;&lt;/m:r&gt;&lt;/m:e&gt;&lt;/m:d&gt;&lt;/m:e&gt;&lt;/m:nary&gt;&lt;/m:num&gt;&lt;m:den&gt;&lt;m:r&gt;&lt;w:rPr&gt;&lt;w:rFonts w:ascii=&quot;Cambria Math&quot; w:h-ansi=&quot;Cambria Math&quot;/&gt;&lt;wx:font wx:val=&quot;Cambria Math&quot;/&gt;&lt;w:i/&gt;&lt;w:sz w:val=&quot;32&quot;/&gt;&lt;w:sz-cs w:val=&quot;32&quot;/&gt;&lt;/w:rPr&gt;&lt;m:t&gt;m脳4&lt;/m:ts&gt;&lt;/m:r&gt;&lt;/m:den&gt;&lt;/m:f&gt;&lt;m:r&lt;&gt;&lt;w:rPr&gt;&lt;w:rFonts w:ascii=&quot;Cambria Math&quot; w:h-ansi=&quot;Cambria Math&quot;/&gt;&lt;wx:font wx:val=&quot;Cambria Math&quot;/&gt;&lt;w:i/&gt;&lt;w:sz w:val=&quot;a32&quot;/&gt;&lt;w:sz-cs w:val=&quot;32&quot;/&gt;&lt;/w:rPr&gt;&lt;m:t&gt;+&lt;/m:t&gt;&lt;/m:r&gt;&lt;m:f&gt;&lt;m:fPr&gt;&lt;m:ctrlPr&gt;&lt;w:rPr&gt;&lt;w:rFonts w:ascii=&quot;Cambria Math&quot; w:fareast=&quot;瀹嬩綋&quot; w:h-:r&lt;ansi=&quot;Cambria Math&quot; w:cs=&quot;Times New Roman&quot;/&gt;&lt;wx:font wx:val=&quot;Cambria Math&quot;/&gt;&lt;w:i/&gt;&lt;w:sz w:val=&quot;32&quot;/&gt;&lt;w:sz-cs w:val=&quot;32=&quot;a&quot;/&gt;&lt;/w:rPr&gt;&lt;/m:ctrlPr&gt;&lt;/m:fPr&gt;&lt;m:num&gt;&lt;m:nary&gt;&lt;m:naryPr&gt;&lt;m:chr m:val=&quot;鈭?/&gt;&lt;m:limLoc m:val=&quot;subSup&quot;/&gt;&lt;m:ctrlPr&gt;&lt;wMath&quot;:rPr&gt;&lt;w:rFonts w:&lt;ascii=&quot;Cambria Math&quot; w:fareast=&quot;瀹嬩綋&quot; w:h-ansi=&quot;Cambria Math&quot; w:cs=&quot;Times New Roman&quot;/&gt;&lt;wx:font wx:val=&quot;Cambria Math&quot;/&gt;&lt;2=&quot;aw:i/&gt;&lt;w:sz w:val=&quot;32&quot;/&gt;&lt;w:sz-cs w:val=&quot;32&quot;/&gt;&lt;/w:rPr&gt;&lt;/m:ctrlPr&gt;&lt;/m:naryPr&gt;&lt;m:sub&gt;&lt;m:r&gt;&lt;w:rPr&gt;&lt;w:rFonts w:ascii=&quot;Cambrth&quot;ia Math&quot; ww:&lt;:h-ansi=&quot;Cambria Math&quot;/&gt;&lt;wx:font wx:val=&quot;Cambria Math&quot;/&gt;&lt;w:i/&gt;&lt;w:sz w:val=&quot;32&quot;/&gt;&lt;w:sz-cs w:val=&quot;32&quot;/&gt;&lt;/w:rPr&gt;&lt;m:t&gt;i=1&lt;/m:t&gt;&lt;/m:r&gt;&lt;/m:sub&gt;&lt;m:sup&gt;&lt;m:r&gt;&lt;w:rPr&gt;&lt;w:rFonts w:ascii=&quot;Cambria Math&quot; w:h-ansi=&quot;Cambria Math&quot;/&gt;&lt;wx:font wx:val=&quot;Cambria Math&quot;/&gt;&lt;w:i/&gt;&lt;w:sz w:val=&quot;32&quot;/&gt;&lt;w:sz-cs w:val=&quot;32&quot;/&gt;&lt;/w:rPr&gt;&lt;m:t&gt;n&lt;/m:t&gt;&lt;/m:r&gt;&lt;/m:sup&gt;&lt;m:e&gt;&lt;m:d&gt;&lt;m:dPr&gt;&lt;m:ctrlPr&gt;&lt;w:rPr&gt;&lt;w:rFonts w:ascii=&quot;Cambria Math&quot; w:h-ansi=&quot;Cambria Math&quot;/&gt;&lt;wx:font wx:val=&quot;Cambria Math&quot;/&gt;&lt;w:i/&gt;&lt;w:sz w:val=&quot;32&quot;/&gt;&lt;w:sz-cs w:val=&quot;32&quot;/&gt;&lt;/w:rPr&gt;&lt;/m:ctrlPr&gt;&lt;/m:dPr&gt;&lt;m:e&gt;&lt;m:sSub&gt;&lt;m:sSubPr&gt;&lt;m:ctrlPr&gt;&lt;w:rPr&gt;&lt;w:rFonts w:ascii=&quot;Cambria Math&quot; w:fareast=&quot;瀹嬩綋&quot; w:h-ansi=&quot;Cambria Math&quot;Ca&quot; w:cs=&quot;Times New Roman&quot;/&gt;&lt;wx:font wx:val=&quot;Cambria Math&quot;/&gt;&lt;w:i/&gt;&lt;w:sz w:val=&quot;32&quot;/&gt;&lt;w:sz-cs w:val=&quot;32&quot;/&gt;&lt;/w:rPr&gt;&lt;/m:ctrlP:rPr&gt;&lt;/trlm:sSubPr&gt;&lt;m:e&gt;&lt;m:r&gt;&lt;w:rPr&gt;&lt;w:rFonts w:ascii=&quot;Cambria Math&quot; w:h-ansi=&quot;Cambria Math&quot;/&gt;&lt;wx:font wx:val=&quot;Cambria Math&quot;/&gt;&lt;w:i/&gt;&lt;w:sz w:val=&quot;32&quot;/&gt;&lt;w:sz-cs w:val=&quot;32&quot;/&gt;&lt;/w:rPr&gt;&lt;m:t&gt;B&lt;/m:t&gt;&lt;/m:r&gt;&lt;/m:e&gt;&lt;m:sub&gt;&lt;m:r&gt;&lt;w:rPr&gt;&lt;w:rFonts w:ascii=&quot;Cambria Math&quot; w:h-ansi=&quot;Cambria Math&quot;/&gt;&lt;wx:font wx:val=&quot;Cambria Math&quot;/&gt;&lt;w:i/&gt;&lt;w:sz w:val=&quot;32&quot;/&gt;&lt;w:sz-cs w:val=&quot;32&quot;/&gt;&lt;/w:rPr&gt;&lt;m:t&gt;i&lt;/m:t&gt;&lt;/m:r&gt;&lt;/m:sub&gt;&lt;/m:sSub&gt;&lt;m:r&gt;&lt;w:rPr&gt;&lt;w:rFonts w:ascii=&quot;Cambria Math&quot; w:h-ansi=&quot;Cambria Math&quot;/&gt;&lt;wx:font wx:val=&quot;Cambria Math&quot;/&gt;&lt;w:i/&gt;&lt;w:sz w:val=&quot;32&quot;/&gt;&lt;w:sz-cs w:val=&quot;32&quot;/&gt;&lt;/w:rPr&gt;&lt;m:t&gt;-1&lt;/m:t&gt;&lt;/m:r&gt;&lt;/m:e&gt;&lt;/m:d&gt;&lt;/m:e&gt;&lt;/m:nary&gt;&lt;/m:num&gt;&lt;m:den&gt;&lt;m:r&gt;&lt;w:rPr&gt;&lt;w:rFonts w:ascii=&quot;Cambria Math&quot; w:h-ansi=&quot;Cambria Math&quot;/&gt;&lt;wx:font wx:val=&quot;Cambria Math&quot;/&gt;&lt;w:i/&gt;&lt;w:sz w:val=&quot;32&quot;/&gt;&lt;w:sz-cs w:val=&quot;32&quot;/&gt;&lt;/w:rPr&gt;&lt;m:t&gt;n脳4&lt;/m:t&gt;&lt;/m:r&gt;&lt;/m:den&gt;&lt;/m:f&gt;&lt;/m:e&gt;&lt;/m:d&gt;&lt;m:r&gt;&lt;w:rPr&gt;&lt;w:rFonts w:ascii=&quot;Cambria Math&quot; w:h-ansi=&quot;Cambria Math&quot;/&gt;&lt;wx:font wx:valC=&quot;Cambria Math&quot;/&gt;&lt;w:i/&gt;&lt;w:sz w:val=&quot;32&quot;/&gt;&lt;w:sz-cs w:val=&quot;32&quot;/&gt;&lt;/w:rPr&gt;&lt;m:t&gt;脳50%脳(0.6+C)&lt;/m:t&gt;&lt;/m:r&gt;&lt;/m:oMath&gt;&lt;/m:oMathParPr&gt;m:ta&gt;&lt;/w:p&gt;&lt;w:sectPr wsp:rsidR=&quot;00000000&quot; wsp:rsidRPr=&quot;00882954&quot;&gt;&lt;w:pgSz w:w=&quot;12240&quot; w:h=&quot;15840&quot;/&gt;&lt;w:pgMar w:top=&quot;1440&quot; w:right=&quot;180lC0&quot; w:bottom=&quot;1440&quot; w:left=&quot;1800&quot; w:header=&quot;720&quot; w:footer=&quot;720&quot; w:gutter=&quot;0&quot;/&gt;&lt;w:cols w:space=&quot;720&quot;/&gt;&lt;/w:sectPr&gt;&lt;/wx:sect&gt;&lt;/w:body&gt;&lt;/w:wordDocument&gt;">
            <v:path/>
            <v:fill on="f" focussize="0,0"/>
            <v:stroke on="f" joinstyle="miter"/>
            <v:imagedata r:id="rId8" chromakey="#FFFFFF" o:title=""/>
            <o:lock v:ext="edit" aspectratio="t"/>
          </v:shape>
        </w:pict>
      </w:r>
    </w:p>
    <w:p>
      <w:pPr>
        <w:snapToGrid w:val="0"/>
        <w:spacing w:line="56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X</w:t>
      </w:r>
      <w:r>
        <w:rPr>
          <w:rFonts w:hint="eastAsia" w:ascii="Times New Roman" w:hAnsi="Times New Roman" w:eastAsia="仿宋_GB2312" w:cs="仿宋_GB2312"/>
          <w:color w:val="000000"/>
          <w:sz w:val="32"/>
          <w:szCs w:val="32"/>
          <w:highlight w:val="none"/>
        </w:rPr>
        <w:t>：处罚金额；</w:t>
      </w:r>
    </w:p>
    <w:p>
      <w:pPr>
        <w:snapToGrid w:val="0"/>
        <w:spacing w:line="56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M</w:t>
      </w:r>
      <w:r>
        <w:rPr>
          <w:rFonts w:hint="eastAsia" w:ascii="Times New Roman" w:hAnsi="Times New Roman" w:eastAsia="仿宋_GB2312" w:cs="仿宋_GB2312"/>
          <w:color w:val="000000"/>
          <w:sz w:val="32"/>
          <w:szCs w:val="32"/>
          <w:highlight w:val="none"/>
        </w:rPr>
        <w:t>：法定处罚金额上限；</w:t>
      </w:r>
    </w:p>
    <w:p>
      <w:pPr>
        <w:snapToGrid w:val="0"/>
        <w:spacing w:line="56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N</w:t>
      </w:r>
      <w:r>
        <w:rPr>
          <w:rFonts w:hint="eastAsia" w:ascii="Times New Roman" w:hAnsi="Times New Roman" w:eastAsia="仿宋_GB2312" w:cs="仿宋_GB2312"/>
          <w:color w:val="000000"/>
          <w:sz w:val="32"/>
          <w:szCs w:val="32"/>
          <w:highlight w:val="none"/>
        </w:rPr>
        <w:t>：法定处罚金额下限；</w:t>
      </w:r>
    </w:p>
    <w:p>
      <w:pPr>
        <w:snapToGrid w:val="0"/>
        <w:spacing w:line="56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A</w:t>
      </w:r>
      <w:r>
        <w:rPr>
          <w:rFonts w:hint="eastAsia" w:ascii="Times New Roman" w:hAnsi="Times New Roman" w:eastAsia="仿宋_GB2312" w:cs="仿宋_GB2312"/>
          <w:color w:val="000000"/>
          <w:sz w:val="32"/>
          <w:szCs w:val="32"/>
          <w:highlight w:val="none"/>
        </w:rPr>
        <w:t>：首要裁量因素裁量等级（</w:t>
      </w:r>
      <w:r>
        <w:rPr>
          <w:rFonts w:ascii="Times New Roman" w:hAnsi="Times New Roman" w:eastAsia="仿宋_GB2312" w:cs="仿宋_GB2312"/>
          <w:color w:val="000000"/>
          <w:sz w:val="32"/>
          <w:szCs w:val="32"/>
          <w:highlight w:val="none"/>
        </w:rPr>
        <w:t>首要裁量因素</w:t>
      </w:r>
      <w:r>
        <w:rPr>
          <w:rFonts w:hint="eastAsia" w:ascii="Times New Roman" w:hAnsi="Times New Roman" w:eastAsia="仿宋_GB2312" w:cs="仿宋_GB2312"/>
          <w:color w:val="000000"/>
          <w:sz w:val="32"/>
          <w:szCs w:val="32"/>
          <w:highlight w:val="none"/>
        </w:rPr>
        <w:t>为裁量表</w:t>
      </w:r>
      <w:r>
        <w:rPr>
          <w:rFonts w:ascii="Times New Roman" w:hAnsi="Times New Roman" w:eastAsia="仿宋_GB2312" w:cs="仿宋_GB2312"/>
          <w:color w:val="000000"/>
          <w:sz w:val="32"/>
          <w:szCs w:val="32"/>
          <w:highlight w:val="none"/>
        </w:rPr>
        <w:t>中</w:t>
      </w:r>
      <w:r>
        <w:rPr>
          <w:rFonts w:hint="eastAsia" w:ascii="Times New Roman" w:hAnsi="Times New Roman" w:eastAsia="仿宋_GB2312" w:cs="仿宋_GB2312"/>
          <w:color w:val="000000"/>
          <w:sz w:val="32"/>
          <w:szCs w:val="32"/>
          <w:highlight w:val="none"/>
        </w:rPr>
        <w:t>★号标注的裁量因素）；</w:t>
      </w:r>
    </w:p>
    <w:p>
      <w:pPr>
        <w:snapToGrid w:val="0"/>
        <w:spacing w:line="56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B</w:t>
      </w:r>
      <w:r>
        <w:rPr>
          <w:rFonts w:hint="eastAsia" w:ascii="Times New Roman" w:hAnsi="Times New Roman" w:eastAsia="仿宋_GB2312" w:cs="仿宋_GB2312"/>
          <w:color w:val="000000"/>
          <w:sz w:val="32"/>
          <w:szCs w:val="32"/>
          <w:highlight w:val="none"/>
        </w:rPr>
        <w:t>：其余裁量因素裁量等级</w:t>
      </w:r>
      <w:r>
        <w:rPr>
          <w:rFonts w:hint="eastAsia" w:ascii="Times New Roman" w:hAnsi="Times New Roman" w:eastAsia="仿宋_GB2312" w:cs="仿宋_GB2312"/>
          <w:color w:val="000000"/>
          <w:sz w:val="32"/>
          <w:szCs w:val="32"/>
          <w:highlight w:val="none"/>
        </w:rPr>
        <w:t>（当B只有一个且无法确定裁量等级时，</w:t>
      </w:r>
      <w:r>
        <w:rPr>
          <w:rFonts w:ascii="仿宋_GB2312" w:hAnsi="仿宋_GB2312" w:eastAsia="仿宋_GB2312" w:cs="仿宋_GB2312"/>
          <w:sz w:val="32"/>
          <w:szCs w:val="32"/>
          <w:highlight w:val="none"/>
        </w:rPr>
        <w:t>计算公式</w:t>
      </w:r>
      <w:r>
        <w:rPr>
          <w:rFonts w:hint="eastAsia" w:ascii="仿宋_GB2312" w:hAnsi="仿宋_GB2312" w:eastAsia="仿宋_GB2312" w:cs="仿宋_GB2312"/>
          <w:sz w:val="32"/>
          <w:szCs w:val="32"/>
          <w:highlight w:val="none"/>
        </w:rPr>
        <w:t>中“50%”应调整为“100%”</w:t>
      </w:r>
      <w:r>
        <w:rPr>
          <w:rFonts w:hint="eastAsia" w:ascii="Times New Roman" w:hAnsi="Times New Roman" w:eastAsia="仿宋_GB2312" w:cs="仿宋_GB2312"/>
          <w:color w:val="000000"/>
          <w:sz w:val="32"/>
          <w:szCs w:val="32"/>
          <w:highlight w:val="none"/>
        </w:rPr>
        <w:t>）</w:t>
      </w:r>
      <w:r>
        <w:rPr>
          <w:rFonts w:hint="eastAsia" w:ascii="Times New Roman" w:hAnsi="Times New Roman" w:eastAsia="仿宋_GB2312" w:cs="仿宋_GB2312"/>
          <w:color w:val="000000"/>
          <w:sz w:val="32"/>
          <w:szCs w:val="32"/>
          <w:highlight w:val="none"/>
        </w:rPr>
        <w:t>；</w:t>
      </w:r>
    </w:p>
    <w:p>
      <w:pPr>
        <w:snapToGrid w:val="0"/>
        <w:spacing w:line="560" w:lineRule="exact"/>
        <w:ind w:firstLine="640" w:firstLineChars="200"/>
        <w:rPr>
          <w:rFonts w:ascii="Times New Roman" w:hAnsi="Times New Roman" w:eastAsia="仿宋_GB2312" w:cs="Times New Roman"/>
          <w:color w:val="000000"/>
          <w:sz w:val="32"/>
          <w:szCs w:val="32"/>
          <w:highlight w:val="none"/>
        </w:rPr>
      </w:pPr>
      <w:r>
        <w:rPr>
          <w:rFonts w:hint="eastAsia" w:ascii="Times New Roman" w:hAnsi="Times New Roman" w:eastAsia="仿宋_GB2312" w:cs="仿宋_GB2312"/>
          <w:color w:val="000000"/>
          <w:sz w:val="32"/>
          <w:szCs w:val="32"/>
          <w:highlight w:val="none"/>
        </w:rPr>
        <w:t>m：首要裁量因素个数。</w:t>
      </w:r>
    </w:p>
    <w:p>
      <w:pPr>
        <w:snapToGrid w:val="0"/>
        <w:spacing w:line="56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n</w:t>
      </w:r>
      <w:r>
        <w:rPr>
          <w:rFonts w:hint="eastAsia" w:ascii="Times New Roman" w:hAnsi="Times New Roman" w:eastAsia="仿宋_GB2312" w:cs="仿宋_GB2312"/>
          <w:color w:val="000000"/>
          <w:sz w:val="32"/>
          <w:szCs w:val="32"/>
          <w:highlight w:val="none"/>
        </w:rPr>
        <w:t>：其余裁量因素个数。</w:t>
      </w:r>
    </w:p>
    <w:p>
      <w:pPr>
        <w:snapToGrid w:val="0"/>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C：违法行为</w:t>
      </w:r>
      <w:r>
        <w:rPr>
          <w:rFonts w:ascii="Times New Roman" w:hAnsi="Times New Roman" w:eastAsia="仿宋_GB2312" w:cs="Times New Roman"/>
          <w:sz w:val="32"/>
          <w:szCs w:val="32"/>
          <w:highlight w:val="none"/>
        </w:rPr>
        <w:t>修正系数</w:t>
      </w:r>
      <w:r>
        <w:rPr>
          <w:rFonts w:hint="eastAsia" w:ascii="Times New Roman" w:hAnsi="Times New Roman" w:eastAsia="仿宋_GB2312" w:cs="Times New Roman"/>
          <w:sz w:val="32"/>
          <w:szCs w:val="32"/>
          <w:highlight w:val="none"/>
        </w:rPr>
        <w:t>，包括改正情况、主观过错程度、补救措施、配合调查情况、</w:t>
      </w:r>
      <w:r>
        <w:rPr>
          <w:rFonts w:ascii="Times New Roman" w:hAnsi="Times New Roman" w:eastAsia="仿宋_GB2312" w:cs="Times New Roman"/>
          <w:sz w:val="32"/>
          <w:szCs w:val="32"/>
          <w:highlight w:val="none"/>
        </w:rPr>
        <w:t>企业规模、违法次数</w:t>
      </w:r>
      <w:r>
        <w:rPr>
          <w:rFonts w:hint="eastAsia" w:ascii="Times New Roman" w:hAnsi="Times New Roman" w:eastAsia="仿宋_GB2312" w:cs="Times New Roman"/>
          <w:sz w:val="32"/>
          <w:szCs w:val="32"/>
          <w:highlight w:val="none"/>
        </w:rPr>
        <w:t>等，裁量等级数值从-2到2（见修正裁量基准表）。</w:t>
      </w:r>
    </w:p>
    <w:p>
      <w:pPr>
        <w:snapToGrid w:val="0"/>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C=[修正因子数值之和/(所取修正因子个数×2)]×40%</w:t>
      </w:r>
    </w:p>
    <w:p>
      <w:pPr>
        <w:snapToGrid w:val="0"/>
        <w:spacing w:line="560" w:lineRule="exact"/>
        <w:ind w:firstLine="640" w:firstLineChars="200"/>
        <w:rPr>
          <w:rFonts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生态环境主管部门裁定处罚金额时，首先确定裁量表中各项裁量因素的裁量等级，再通过计算公式确定处罚金额。</w:t>
      </w:r>
      <w:bookmarkStart w:id="8" w:name="OLE_LINK54"/>
      <w:bookmarkStart w:id="9" w:name="OLE_LINK53"/>
      <w:bookmarkStart w:id="10" w:name="OLE_LINK55"/>
      <w:r>
        <w:rPr>
          <w:rFonts w:hint="eastAsia" w:ascii="Times New Roman" w:hAnsi="Times New Roman" w:eastAsia="仿宋_GB2312" w:cs="仿宋_GB2312"/>
          <w:color w:val="000000"/>
          <w:sz w:val="32"/>
          <w:szCs w:val="32"/>
          <w:highlight w:val="none"/>
        </w:rPr>
        <w:t>罚款金额取整到</w:t>
      </w:r>
      <w:r>
        <w:rPr>
          <w:rFonts w:ascii="Times New Roman" w:hAnsi="Times New Roman" w:eastAsia="仿宋_GB2312" w:cs="Times New Roman"/>
          <w:color w:val="000000"/>
          <w:sz w:val="32"/>
          <w:szCs w:val="32"/>
          <w:highlight w:val="none"/>
        </w:rPr>
        <w:t>“</w:t>
      </w:r>
      <w:r>
        <w:rPr>
          <w:rFonts w:hint="eastAsia" w:ascii="Times New Roman" w:hAnsi="Times New Roman" w:eastAsia="仿宋_GB2312" w:cs="仿宋_GB2312"/>
          <w:color w:val="000000"/>
          <w:sz w:val="32"/>
          <w:szCs w:val="32"/>
          <w:highlight w:val="none"/>
        </w:rPr>
        <w:t>元</w:t>
      </w:r>
      <w:r>
        <w:rPr>
          <w:rFonts w:ascii="Times New Roman" w:hAnsi="Times New Roman" w:eastAsia="仿宋_GB2312" w:cs="Times New Roman"/>
          <w:color w:val="000000"/>
          <w:sz w:val="32"/>
          <w:szCs w:val="32"/>
          <w:highlight w:val="none"/>
        </w:rPr>
        <w:t>”</w:t>
      </w:r>
      <w:r>
        <w:rPr>
          <w:rFonts w:hint="eastAsia" w:ascii="Times New Roman" w:hAnsi="Times New Roman" w:eastAsia="仿宋_GB2312" w:cs="仿宋_GB2312"/>
          <w:color w:val="000000"/>
          <w:sz w:val="32"/>
          <w:szCs w:val="32"/>
          <w:highlight w:val="none"/>
        </w:rPr>
        <w:t>，不足</w:t>
      </w:r>
      <w:r>
        <w:rPr>
          <w:rFonts w:ascii="Times New Roman" w:hAnsi="Times New Roman" w:eastAsia="仿宋_GB2312" w:cs="Times New Roman"/>
          <w:color w:val="000000"/>
          <w:sz w:val="32"/>
          <w:szCs w:val="32"/>
          <w:highlight w:val="none"/>
        </w:rPr>
        <w:t>1</w:t>
      </w:r>
      <w:r>
        <w:rPr>
          <w:rFonts w:hint="eastAsia" w:ascii="Times New Roman" w:hAnsi="Times New Roman" w:eastAsia="仿宋_GB2312" w:cs="仿宋_GB2312"/>
          <w:color w:val="000000"/>
          <w:sz w:val="32"/>
          <w:szCs w:val="32"/>
          <w:highlight w:val="none"/>
        </w:rPr>
        <w:t>元的予以舍去</w:t>
      </w:r>
      <w:bookmarkEnd w:id="8"/>
      <w:bookmarkEnd w:id="9"/>
      <w:bookmarkEnd w:id="10"/>
      <w:r>
        <w:rPr>
          <w:rFonts w:hint="eastAsia" w:ascii="Times New Roman" w:hAnsi="Times New Roman" w:eastAsia="仿宋_GB2312" w:cs="仿宋_GB2312"/>
          <w:color w:val="000000"/>
          <w:sz w:val="32"/>
          <w:szCs w:val="32"/>
          <w:highlight w:val="none"/>
        </w:rPr>
        <w:t>。</w:t>
      </w:r>
    </w:p>
    <w:p>
      <w:pPr>
        <w:snapToGrid w:val="0"/>
        <w:spacing w:line="560" w:lineRule="exact"/>
        <w:ind w:firstLine="640" w:firstLineChars="200"/>
        <w:rPr>
          <w:rFonts w:ascii="Times New Roman" w:hAnsi="Times New Roman" w:eastAsia="仿宋_GB2312" w:cs="仿宋_GB2312"/>
          <w:color w:val="000000"/>
          <w:sz w:val="32"/>
          <w:szCs w:val="32"/>
          <w:highlight w:val="none"/>
        </w:rPr>
      </w:pPr>
      <w:r>
        <w:rPr>
          <w:rFonts w:ascii="Times New Roman" w:hAnsi="Times New Roman" w:eastAsia="仿宋_GB2312" w:cs="仿宋_GB2312"/>
          <w:color w:val="000000"/>
          <w:sz w:val="32"/>
          <w:szCs w:val="32"/>
          <w:highlight w:val="none"/>
        </w:rPr>
        <w:t>根据</w:t>
      </w:r>
      <w:r>
        <w:rPr>
          <w:rFonts w:hint="eastAsia" w:ascii="Times New Roman" w:hAnsi="Times New Roman" w:eastAsia="仿宋_GB2312" w:cs="仿宋_GB2312"/>
          <w:color w:val="000000"/>
          <w:sz w:val="32"/>
          <w:szCs w:val="32"/>
          <w:highlight w:val="none"/>
        </w:rPr>
        <w:t>具体</w:t>
      </w:r>
      <w:r>
        <w:rPr>
          <w:rFonts w:ascii="Times New Roman" w:hAnsi="Times New Roman" w:eastAsia="仿宋_GB2312" w:cs="仿宋_GB2312"/>
          <w:color w:val="000000"/>
          <w:sz w:val="32"/>
          <w:szCs w:val="32"/>
          <w:highlight w:val="none"/>
        </w:rPr>
        <w:t>违法行为的特点，生态环境主管部门</w:t>
      </w:r>
      <w:r>
        <w:rPr>
          <w:rFonts w:hint="eastAsia" w:ascii="Times New Roman" w:hAnsi="Times New Roman" w:eastAsia="仿宋_GB2312" w:cs="仿宋_GB2312"/>
          <w:color w:val="000000"/>
          <w:sz w:val="32"/>
          <w:szCs w:val="32"/>
          <w:highlight w:val="none"/>
        </w:rPr>
        <w:t>可以通过案审会集体审议的</w:t>
      </w:r>
      <w:r>
        <w:rPr>
          <w:rFonts w:ascii="Times New Roman" w:hAnsi="Times New Roman" w:eastAsia="仿宋_GB2312" w:cs="仿宋_GB2312"/>
          <w:color w:val="000000"/>
          <w:sz w:val="32"/>
          <w:szCs w:val="32"/>
          <w:highlight w:val="none"/>
        </w:rPr>
        <w:t>方式</w:t>
      </w:r>
      <w:r>
        <w:rPr>
          <w:rFonts w:hint="eastAsia" w:ascii="Times New Roman" w:hAnsi="Times New Roman" w:eastAsia="仿宋_GB2312" w:cs="仿宋_GB2312"/>
          <w:color w:val="000000"/>
          <w:sz w:val="32"/>
          <w:szCs w:val="32"/>
          <w:highlight w:val="none"/>
        </w:rPr>
        <w:t>在</w:t>
      </w:r>
      <w:r>
        <w:rPr>
          <w:rFonts w:ascii="Times New Roman" w:hAnsi="Times New Roman" w:eastAsia="仿宋_GB2312" w:cs="仿宋_GB2312"/>
          <w:color w:val="000000"/>
          <w:sz w:val="32"/>
          <w:szCs w:val="32"/>
          <w:highlight w:val="none"/>
        </w:rPr>
        <w:t>裁量表确定罚款金额的基础上</w:t>
      </w:r>
      <w:r>
        <w:rPr>
          <w:rFonts w:hint="eastAsia" w:ascii="Times New Roman" w:hAnsi="Times New Roman" w:eastAsia="仿宋_GB2312" w:cs="仿宋_GB2312"/>
          <w:color w:val="000000"/>
          <w:sz w:val="32"/>
          <w:szCs w:val="32"/>
          <w:highlight w:val="none"/>
        </w:rPr>
        <w:t>适度</w:t>
      </w:r>
      <w:r>
        <w:rPr>
          <w:rFonts w:ascii="Times New Roman" w:hAnsi="Times New Roman" w:eastAsia="仿宋_GB2312" w:cs="仿宋_GB2312"/>
          <w:color w:val="000000"/>
          <w:sz w:val="32"/>
          <w:szCs w:val="32"/>
          <w:highlight w:val="none"/>
        </w:rPr>
        <w:t>增加或者</w:t>
      </w:r>
      <w:r>
        <w:rPr>
          <w:rFonts w:hint="eastAsia" w:ascii="Times New Roman" w:hAnsi="Times New Roman" w:eastAsia="仿宋_GB2312" w:cs="仿宋_GB2312"/>
          <w:color w:val="000000"/>
          <w:sz w:val="32"/>
          <w:szCs w:val="32"/>
          <w:highlight w:val="none"/>
        </w:rPr>
        <w:t>减少</w:t>
      </w:r>
      <w:r>
        <w:rPr>
          <w:rFonts w:ascii="Times New Roman" w:hAnsi="Times New Roman" w:eastAsia="仿宋_GB2312" w:cs="仿宋_GB2312"/>
          <w:color w:val="000000"/>
          <w:sz w:val="32"/>
          <w:szCs w:val="32"/>
          <w:highlight w:val="none"/>
        </w:rPr>
        <w:t>，增加或者减少后的罚款金额以法定罚款金额为限。</w:t>
      </w:r>
    </w:p>
    <w:p>
      <w:pPr>
        <w:snapToGrid w:val="0"/>
        <w:spacing w:line="560" w:lineRule="exact"/>
        <w:ind w:firstLine="640" w:firstLineChars="200"/>
        <w:rPr>
          <w:rFonts w:ascii="Times New Roman" w:hAnsi="Times New Roman" w:eastAsia="黑体" w:cs="Times New Roman"/>
          <w:bCs/>
          <w:color w:val="000000"/>
          <w:sz w:val="32"/>
          <w:szCs w:val="32"/>
          <w:highlight w:val="none"/>
        </w:rPr>
      </w:pPr>
      <w:r>
        <w:rPr>
          <w:rFonts w:hint="eastAsia" w:ascii="Times New Roman" w:hAnsi="Times New Roman" w:eastAsia="黑体" w:cs="黑体"/>
          <w:bCs/>
          <w:color w:val="000000"/>
          <w:sz w:val="32"/>
          <w:szCs w:val="32"/>
          <w:highlight w:val="none"/>
        </w:rPr>
        <w:t>第六条</w:t>
      </w:r>
      <w:r>
        <w:rPr>
          <w:rFonts w:ascii="Times New Roman" w:hAnsi="Times New Roman" w:eastAsia="黑体" w:cs="Times New Roman"/>
          <w:bCs/>
          <w:color w:val="000000"/>
          <w:sz w:val="32"/>
          <w:szCs w:val="32"/>
          <w:highlight w:val="none"/>
        </w:rPr>
        <w:t xml:space="preserve">  </w:t>
      </w:r>
      <w:r>
        <w:rPr>
          <w:rFonts w:hint="eastAsia" w:ascii="Times New Roman" w:hAnsi="Times New Roman" w:eastAsia="黑体" w:cs="黑体"/>
          <w:bCs/>
          <w:color w:val="000000"/>
          <w:sz w:val="32"/>
          <w:szCs w:val="32"/>
          <w:highlight w:val="none"/>
        </w:rPr>
        <w:t>裁量计算器</w:t>
      </w:r>
    </w:p>
    <w:p>
      <w:pPr>
        <w:snapToGrid w:val="0"/>
        <w:spacing w:line="560" w:lineRule="exact"/>
        <w:ind w:firstLine="640" w:firstLineChars="200"/>
        <w:rPr>
          <w:rFonts w:ascii="Times New Roman" w:hAnsi="Times New Roman" w:eastAsia="仿宋_GB2312" w:cs="Times New Roman"/>
          <w:color w:val="000000"/>
          <w:sz w:val="32"/>
          <w:szCs w:val="32"/>
          <w:highlight w:val="none"/>
        </w:rPr>
      </w:pPr>
      <w:r>
        <w:rPr>
          <w:rFonts w:hint="eastAsia" w:ascii="Times New Roman" w:hAnsi="Times New Roman" w:eastAsia="仿宋_GB2312" w:cs="仿宋_GB2312"/>
          <w:color w:val="000000"/>
          <w:sz w:val="32"/>
          <w:szCs w:val="32"/>
          <w:highlight w:val="none"/>
        </w:rPr>
        <w:t>省生态环境厅将充分运用信息化手段，开发具备</w:t>
      </w:r>
      <w:r>
        <w:rPr>
          <w:rFonts w:ascii="Times New Roman" w:hAnsi="Times New Roman" w:eastAsia="仿宋_GB2312" w:cs="Times New Roman"/>
          <w:color w:val="000000"/>
          <w:sz w:val="32"/>
          <w:szCs w:val="32"/>
          <w:highlight w:val="none"/>
        </w:rPr>
        <w:t>“</w:t>
      </w:r>
      <w:r>
        <w:rPr>
          <w:rFonts w:hint="eastAsia" w:ascii="Times New Roman" w:hAnsi="Times New Roman" w:eastAsia="仿宋_GB2312" w:cs="仿宋_GB2312"/>
          <w:color w:val="000000"/>
          <w:sz w:val="32"/>
          <w:szCs w:val="32"/>
          <w:highlight w:val="none"/>
        </w:rPr>
        <w:t>行政处罚自由裁量计算器</w:t>
      </w:r>
      <w:r>
        <w:rPr>
          <w:rFonts w:ascii="Times New Roman" w:hAnsi="Times New Roman" w:eastAsia="仿宋_GB2312" w:cs="Times New Roman"/>
          <w:color w:val="000000"/>
          <w:sz w:val="32"/>
          <w:szCs w:val="32"/>
          <w:highlight w:val="none"/>
        </w:rPr>
        <w:t>”</w:t>
      </w:r>
      <w:r>
        <w:rPr>
          <w:rFonts w:hint="eastAsia" w:ascii="Times New Roman" w:hAnsi="Times New Roman" w:eastAsia="仿宋_GB2312" w:cs="仿宋_GB2312"/>
          <w:color w:val="000000"/>
          <w:sz w:val="32"/>
          <w:szCs w:val="32"/>
          <w:highlight w:val="none"/>
        </w:rPr>
        <w:t>功能的自由裁量系统，严格按照裁量规则和基准设计并及时更新。裁量计算器通过输入有关裁量因素，自动计算处罚金额，实现金额裁定的高效、便捷、准确。</w:t>
      </w:r>
    </w:p>
    <w:p>
      <w:pPr>
        <w:snapToGrid w:val="0"/>
        <w:spacing w:line="560" w:lineRule="exact"/>
        <w:ind w:firstLine="640" w:firstLineChars="200"/>
        <w:rPr>
          <w:rFonts w:ascii="Times New Roman" w:hAnsi="Times New Roman" w:eastAsia="黑体" w:cs="黑体"/>
          <w:bCs/>
          <w:color w:val="000000"/>
          <w:sz w:val="32"/>
          <w:szCs w:val="32"/>
          <w:highlight w:val="none"/>
        </w:rPr>
      </w:pPr>
      <w:r>
        <w:rPr>
          <w:rFonts w:hint="eastAsia" w:ascii="Times New Roman" w:hAnsi="Times New Roman" w:eastAsia="黑体" w:cs="黑体"/>
          <w:bCs/>
          <w:color w:val="000000"/>
          <w:sz w:val="32"/>
          <w:szCs w:val="32"/>
          <w:highlight w:val="none"/>
        </w:rPr>
        <w:t>第七条  免予处罚情形</w:t>
      </w:r>
    </w:p>
    <w:p>
      <w:pPr>
        <w:snapToGrid w:val="0"/>
        <w:spacing w:line="560" w:lineRule="exact"/>
        <w:ind w:firstLine="640" w:firstLineChars="200"/>
        <w:rPr>
          <w:rFonts w:ascii="Times New Roman" w:hAnsi="Times New Roman" w:eastAsia="仿宋_GB2312" w:cs="Times New Roman"/>
          <w:color w:val="000000"/>
          <w:sz w:val="32"/>
          <w:szCs w:val="32"/>
          <w:highlight w:val="none"/>
        </w:rPr>
      </w:pPr>
      <w:r>
        <w:rPr>
          <w:rFonts w:hint="eastAsia" w:ascii="Times New Roman" w:hAnsi="Times New Roman" w:eastAsia="仿宋_GB2312" w:cs="仿宋_GB2312"/>
          <w:color w:val="000000"/>
          <w:sz w:val="32"/>
          <w:szCs w:val="32"/>
          <w:highlight w:val="none"/>
        </w:rPr>
        <w:t>有下列情形之一的，没有造成污染并及时改正的，应当免予处罚：</w:t>
      </w:r>
    </w:p>
    <w:p>
      <w:pPr>
        <w:snapToGrid w:val="0"/>
        <w:spacing w:line="560" w:lineRule="exact"/>
        <w:ind w:firstLine="640" w:firstLineChars="200"/>
        <w:rPr>
          <w:rFonts w:ascii="Times New Roman" w:hAnsi="Times New Roman" w:eastAsia="仿宋_GB2312" w:cs="Times New Roman"/>
          <w:color w:val="000000"/>
          <w:sz w:val="32"/>
          <w:szCs w:val="32"/>
          <w:highlight w:val="none"/>
        </w:rPr>
      </w:pPr>
      <w:r>
        <w:rPr>
          <w:rFonts w:hint="eastAsia" w:ascii="Times New Roman" w:hAnsi="Times New Roman" w:eastAsia="仿宋_GB2312" w:cs="仿宋_GB2312"/>
          <w:color w:val="000000"/>
          <w:sz w:val="32"/>
          <w:szCs w:val="32"/>
          <w:highlight w:val="none"/>
        </w:rPr>
        <w:t>（一）因突发故障等非主观故意因素导致污染防治设施不正常运行，</w:t>
      </w:r>
      <w:r>
        <w:rPr>
          <w:rFonts w:ascii="Times New Roman" w:hAnsi="Times New Roman" w:eastAsia="仿宋_GB2312" w:cs="Times New Roman"/>
          <w:color w:val="000000"/>
          <w:sz w:val="32"/>
          <w:szCs w:val="32"/>
          <w:highlight w:val="none"/>
        </w:rPr>
        <w:t>24</w:t>
      </w:r>
      <w:r>
        <w:rPr>
          <w:rFonts w:hint="eastAsia" w:ascii="Times New Roman" w:hAnsi="Times New Roman" w:eastAsia="仿宋_GB2312" w:cs="仿宋_GB2312"/>
          <w:color w:val="000000"/>
          <w:sz w:val="32"/>
          <w:szCs w:val="32"/>
          <w:highlight w:val="none"/>
        </w:rPr>
        <w:t>小时内及时报告并采取停、限产措施减少污染物排放，且日均值未超标的。</w:t>
      </w:r>
    </w:p>
    <w:p>
      <w:pPr>
        <w:snapToGrid w:val="0"/>
        <w:spacing w:line="560" w:lineRule="exact"/>
        <w:ind w:firstLine="640" w:firstLineChars="200"/>
        <w:rPr>
          <w:rFonts w:ascii="Times New Roman" w:hAnsi="Times New Roman" w:eastAsia="仿宋_GB2312" w:cs="仿宋_GB2312"/>
          <w:color w:val="FF0000"/>
          <w:sz w:val="32"/>
          <w:szCs w:val="32"/>
          <w:highlight w:val="none"/>
        </w:rPr>
      </w:pPr>
      <w:r>
        <w:rPr>
          <w:rFonts w:hint="eastAsia" w:ascii="Times New Roman" w:hAnsi="Times New Roman" w:eastAsia="仿宋_GB2312" w:cs="仿宋_GB2312"/>
          <w:color w:val="000000"/>
          <w:sz w:val="32"/>
          <w:szCs w:val="32"/>
          <w:highlight w:val="none"/>
        </w:rPr>
        <w:t>（二）超标排放污染物，常规污染物单因子超标倍数</w:t>
      </w:r>
      <w:r>
        <w:rPr>
          <w:rFonts w:ascii="Times New Roman" w:hAnsi="Times New Roman" w:eastAsia="仿宋_GB2312" w:cs="Times New Roman"/>
          <w:color w:val="000000"/>
          <w:sz w:val="32"/>
          <w:szCs w:val="32"/>
          <w:highlight w:val="none"/>
        </w:rPr>
        <w:t>≤0.1</w:t>
      </w:r>
      <w:r>
        <w:rPr>
          <w:rFonts w:hint="eastAsia" w:ascii="Times New Roman" w:hAnsi="Times New Roman" w:eastAsia="仿宋_GB2312" w:cs="仿宋_GB2312"/>
          <w:color w:val="000000"/>
          <w:sz w:val="32"/>
          <w:szCs w:val="32"/>
          <w:highlight w:val="none"/>
        </w:rPr>
        <w:t>倍，次日完成整改并达标排放的。</w:t>
      </w:r>
    </w:p>
    <w:p>
      <w:pPr>
        <w:snapToGrid w:val="0"/>
        <w:spacing w:line="560" w:lineRule="exact"/>
        <w:ind w:firstLine="640" w:firstLineChars="200"/>
        <w:rPr>
          <w:rFonts w:ascii="Times New Roman" w:hAnsi="Times New Roman" w:eastAsia="仿宋_GB2312" w:cs="Times New Roman"/>
          <w:color w:val="000000"/>
          <w:sz w:val="32"/>
          <w:szCs w:val="32"/>
          <w:highlight w:val="none"/>
        </w:rPr>
      </w:pPr>
      <w:r>
        <w:rPr>
          <w:rFonts w:hint="eastAsia" w:ascii="Times New Roman" w:hAnsi="Times New Roman" w:eastAsia="仿宋_GB2312" w:cs="仿宋_GB2312"/>
          <w:color w:val="000000"/>
          <w:sz w:val="32"/>
          <w:szCs w:val="32"/>
          <w:highlight w:val="none"/>
        </w:rPr>
        <w:t>（三）</w:t>
      </w:r>
      <w:r>
        <w:rPr>
          <w:rFonts w:hint="eastAsia" w:ascii="Times New Roman" w:hAnsi="Times New Roman" w:eastAsia="仿宋_GB2312" w:cs="仿宋_GB2312"/>
          <w:sz w:val="32"/>
          <w:szCs w:val="32"/>
          <w:highlight w:val="none"/>
        </w:rPr>
        <w:t>建设项目</w:t>
      </w:r>
      <w:r>
        <w:rPr>
          <w:rFonts w:hint="eastAsia" w:ascii="Times New Roman" w:hAnsi="Times New Roman" w:eastAsia="仿宋_GB2312" w:cs="仿宋_GB2312"/>
          <w:color w:val="000000"/>
          <w:sz w:val="32"/>
          <w:szCs w:val="32"/>
          <w:highlight w:val="none"/>
        </w:rPr>
        <w:t>未依法备案环境影响登记表，首次被发现，经责令改正后及时改正的。</w:t>
      </w:r>
    </w:p>
    <w:p>
      <w:pPr>
        <w:snapToGrid w:val="0"/>
        <w:spacing w:line="560" w:lineRule="exact"/>
        <w:ind w:firstLine="640" w:firstLineChars="200"/>
        <w:rPr>
          <w:rFonts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（四）未按照规定对所排放的污染物自行监测、未保存原始监测记录等行为，首次被发现，经责令改正后及时改正的。</w:t>
      </w:r>
    </w:p>
    <w:p>
      <w:pPr>
        <w:snapToGrid w:val="0"/>
        <w:spacing w:line="560" w:lineRule="exact"/>
        <w:ind w:firstLine="640" w:firstLineChars="200"/>
        <w:rPr>
          <w:rFonts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（五）已核发排污许可证的，未按要求</w:t>
      </w:r>
      <w:r>
        <w:rPr>
          <w:rFonts w:ascii="Times New Roman" w:hAnsi="Times New Roman" w:eastAsia="仿宋_GB2312" w:cs="仿宋_GB2312"/>
          <w:color w:val="000000"/>
          <w:sz w:val="32"/>
          <w:szCs w:val="32"/>
          <w:highlight w:val="none"/>
        </w:rPr>
        <w:t>(</w:t>
      </w:r>
      <w:r>
        <w:rPr>
          <w:rFonts w:hint="eastAsia" w:ascii="Times New Roman" w:hAnsi="Times New Roman" w:eastAsia="仿宋_GB2312" w:cs="仿宋_GB2312"/>
          <w:color w:val="000000"/>
          <w:sz w:val="32"/>
          <w:szCs w:val="32"/>
          <w:highlight w:val="none"/>
        </w:rPr>
        <w:t>时间或者内容</w:t>
      </w:r>
      <w:r>
        <w:rPr>
          <w:rFonts w:ascii="Times New Roman" w:hAnsi="Times New Roman" w:eastAsia="仿宋_GB2312" w:cs="仿宋_GB2312"/>
          <w:color w:val="000000"/>
          <w:sz w:val="32"/>
          <w:szCs w:val="32"/>
          <w:highlight w:val="none"/>
        </w:rPr>
        <w:t>)</w:t>
      </w:r>
      <w:r>
        <w:rPr>
          <w:rFonts w:hint="eastAsia" w:ascii="Times New Roman" w:hAnsi="Times New Roman" w:eastAsia="仿宋_GB2312" w:cs="仿宋_GB2312"/>
          <w:color w:val="000000"/>
          <w:sz w:val="32"/>
          <w:szCs w:val="32"/>
          <w:highlight w:val="none"/>
        </w:rPr>
        <w:t>提交执行报告，自检查发现之日起</w:t>
      </w:r>
      <w:r>
        <w:rPr>
          <w:rFonts w:ascii="Times New Roman" w:hAnsi="Times New Roman" w:eastAsia="仿宋_GB2312" w:cs="仿宋_GB2312"/>
          <w:color w:val="000000"/>
          <w:sz w:val="32"/>
          <w:szCs w:val="32"/>
          <w:highlight w:val="none"/>
        </w:rPr>
        <w:t>10</w:t>
      </w:r>
      <w:r>
        <w:rPr>
          <w:rFonts w:hint="eastAsia" w:ascii="Times New Roman" w:hAnsi="Times New Roman" w:eastAsia="仿宋_GB2312" w:cs="仿宋_GB2312"/>
          <w:color w:val="000000"/>
          <w:sz w:val="32"/>
          <w:szCs w:val="32"/>
          <w:highlight w:val="none"/>
        </w:rPr>
        <w:t>日内按要求完成整改的；</w:t>
      </w:r>
    </w:p>
    <w:p>
      <w:pPr>
        <w:snapToGrid w:val="0"/>
        <w:spacing w:line="560" w:lineRule="exact"/>
        <w:ind w:firstLine="640" w:firstLineChars="200"/>
        <w:rPr>
          <w:rFonts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（六）未建立环境管理台账记录制度，或者未按照排污许可证规定记录，首次被发现，经责令改正后及时改正的。</w:t>
      </w:r>
    </w:p>
    <w:p>
      <w:pPr>
        <w:snapToGrid w:val="0"/>
        <w:spacing w:line="560" w:lineRule="exact"/>
        <w:ind w:firstLine="640" w:firstLineChars="200"/>
        <w:rPr>
          <w:rFonts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（七）未密闭易产生扬尘的物料，或者未采取有效措施防治扬尘污染，占地面积在20平方米以下，未造成环境污染后果，首次被发现，经责令改正后及时改正的。</w:t>
      </w:r>
    </w:p>
    <w:p>
      <w:pPr>
        <w:snapToGrid w:val="0"/>
        <w:spacing w:line="560" w:lineRule="exact"/>
        <w:ind w:firstLine="640" w:firstLineChars="200"/>
        <w:rPr>
          <w:rFonts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（八）一般工业固废露天堆放，堆放面积在10平方米以下，未造成环境污染后果，首次被发现，经责令改正后及时改的。</w:t>
      </w:r>
    </w:p>
    <w:p>
      <w:pPr>
        <w:snapToGrid w:val="0"/>
        <w:spacing w:line="560" w:lineRule="exact"/>
        <w:ind w:firstLine="640" w:firstLineChars="200"/>
        <w:rPr>
          <w:rFonts w:ascii="Times New Roman" w:hAnsi="Times New Roman" w:eastAsia="仿宋_GB2312" w:cs="Times New Roman"/>
          <w:color w:val="000000"/>
          <w:sz w:val="32"/>
          <w:szCs w:val="32"/>
          <w:highlight w:val="none"/>
        </w:rPr>
      </w:pPr>
      <w:r>
        <w:rPr>
          <w:rFonts w:hint="eastAsia" w:ascii="Times New Roman" w:hAnsi="Times New Roman" w:eastAsia="仿宋_GB2312" w:cs="仿宋_GB2312"/>
          <w:color w:val="000000"/>
          <w:sz w:val="32"/>
          <w:szCs w:val="32"/>
          <w:highlight w:val="none"/>
        </w:rPr>
        <w:t>（九）不正常使用焊烟收集处理设施，首次被发现，焊机不超</w:t>
      </w:r>
      <w:r>
        <w:rPr>
          <w:rFonts w:ascii="Times New Roman" w:hAnsi="Times New Roman" w:eastAsia="仿宋_GB2312" w:cs="Times New Roman"/>
          <w:color w:val="000000"/>
          <w:sz w:val="32"/>
          <w:szCs w:val="32"/>
          <w:highlight w:val="none"/>
        </w:rPr>
        <w:t>2</w:t>
      </w:r>
      <w:r>
        <w:rPr>
          <w:rFonts w:hint="eastAsia" w:ascii="Times New Roman" w:hAnsi="Times New Roman" w:eastAsia="仿宋_GB2312" w:cs="仿宋_GB2312"/>
          <w:color w:val="000000"/>
          <w:sz w:val="32"/>
          <w:szCs w:val="32"/>
          <w:highlight w:val="none"/>
        </w:rPr>
        <w:t>台，经现场检查指出后立即整改的。</w:t>
      </w:r>
    </w:p>
    <w:p>
      <w:pPr>
        <w:snapToGrid w:val="0"/>
        <w:spacing w:line="560" w:lineRule="exact"/>
        <w:ind w:firstLine="640" w:firstLineChars="200"/>
        <w:rPr>
          <w:rFonts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（十）重点排污单位环境信息未及时公开或者公开内容不全，首次被发现，经责令改正后及时改正的（不含公开内容弄虚作假行为）。</w:t>
      </w:r>
    </w:p>
    <w:p>
      <w:pPr>
        <w:snapToGrid w:val="0"/>
        <w:spacing w:line="560" w:lineRule="exact"/>
        <w:ind w:firstLine="640" w:firstLineChars="200"/>
        <w:rPr>
          <w:rFonts w:ascii="Times New Roman" w:hAnsi="Times New Roman" w:eastAsia="仿宋_GB2312" w:cs="Times New Roman"/>
          <w:color w:val="000000"/>
          <w:sz w:val="32"/>
          <w:szCs w:val="32"/>
          <w:highlight w:val="none"/>
        </w:rPr>
      </w:pPr>
      <w:r>
        <w:rPr>
          <w:rFonts w:hint="eastAsia" w:ascii="Times New Roman" w:hAnsi="Times New Roman" w:eastAsia="仿宋_GB2312" w:cs="仿宋_GB2312"/>
          <w:color w:val="000000"/>
          <w:sz w:val="32"/>
          <w:szCs w:val="32"/>
          <w:highlight w:val="none"/>
        </w:rPr>
        <w:t>对适用免予行政处罚情形的案件，应当在执法档案中附具理由和证据材料。省级将根据情况，适时调整发布轻微生态环境违法免罚清单。市级生态环境主管部门可以根据情况确定本地区轻微生态环境违法免罚清单，向社会公布并实施。</w:t>
      </w:r>
    </w:p>
    <w:p>
      <w:pPr>
        <w:snapToGrid w:val="0"/>
        <w:spacing w:line="560" w:lineRule="exact"/>
        <w:ind w:firstLine="640" w:firstLineChars="200"/>
        <w:rPr>
          <w:rFonts w:ascii="Times New Roman" w:hAnsi="Times New Roman" w:eastAsia="黑体" w:cs="Times New Roman"/>
          <w:bCs/>
          <w:color w:val="000000"/>
          <w:sz w:val="32"/>
          <w:szCs w:val="32"/>
          <w:highlight w:val="none"/>
        </w:rPr>
      </w:pPr>
      <w:r>
        <w:rPr>
          <w:rFonts w:ascii="Times New Roman" w:hAnsi="Times New Roman" w:eastAsia="黑体" w:cs="Times New Roman"/>
          <w:bCs/>
          <w:color w:val="000000"/>
          <w:sz w:val="32"/>
          <w:szCs w:val="32"/>
          <w:highlight w:val="none"/>
        </w:rPr>
        <w:t>第八条 不予处罚</w:t>
      </w:r>
    </w:p>
    <w:p>
      <w:pPr>
        <w:snapToGrid w:val="0"/>
        <w:spacing w:line="560" w:lineRule="exact"/>
        <w:ind w:firstLine="640" w:firstLineChars="200"/>
        <w:rPr>
          <w:rFonts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违法行为在二年内未被发现的，不再给予行政处罚。法律另有规定的除外。前款规定的期限，从违法行为发生之日起计算；违法行为有连续或者继续状态的，从行为终了之日起计算。</w:t>
      </w:r>
    </w:p>
    <w:p>
      <w:pPr>
        <w:snapToGrid w:val="0"/>
        <w:spacing w:line="560" w:lineRule="exact"/>
        <w:ind w:firstLine="640" w:firstLineChars="200"/>
        <w:rPr>
          <w:rFonts w:ascii="Times New Roman" w:hAnsi="Times New Roman" w:eastAsia="仿宋_GB2312" w:cs="Times New Roman"/>
          <w:color w:val="000000"/>
          <w:sz w:val="32"/>
          <w:szCs w:val="32"/>
          <w:highlight w:val="none"/>
        </w:rPr>
      </w:pPr>
      <w:r>
        <w:rPr>
          <w:rFonts w:hint="eastAsia" w:ascii="Times New Roman" w:hAnsi="Times New Roman" w:eastAsia="黑体" w:cs="黑体"/>
          <w:bCs/>
          <w:color w:val="000000"/>
          <w:sz w:val="32"/>
          <w:szCs w:val="32"/>
          <w:highlight w:val="none"/>
        </w:rPr>
        <w:t>第九条</w:t>
      </w:r>
      <w:r>
        <w:rPr>
          <w:rFonts w:ascii="Times New Roman" w:hAnsi="Times New Roman" w:eastAsia="黑体" w:cs="Times New Roman"/>
          <w:bCs/>
          <w:color w:val="000000"/>
          <w:sz w:val="32"/>
          <w:szCs w:val="32"/>
          <w:highlight w:val="none"/>
        </w:rPr>
        <w:t xml:space="preserve">  </w:t>
      </w:r>
      <w:r>
        <w:rPr>
          <w:rFonts w:hint="eastAsia" w:ascii="Times New Roman" w:hAnsi="Times New Roman" w:eastAsia="黑体" w:cs="黑体"/>
          <w:bCs/>
          <w:color w:val="000000"/>
          <w:sz w:val="32"/>
          <w:szCs w:val="32"/>
          <w:highlight w:val="none"/>
        </w:rPr>
        <w:t>法律适用</w:t>
      </w:r>
    </w:p>
    <w:p>
      <w:pPr>
        <w:snapToGrid w:val="0"/>
        <w:spacing w:line="560" w:lineRule="exact"/>
        <w:ind w:firstLine="640" w:firstLineChars="200"/>
        <w:rPr>
          <w:rFonts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一个违法行为同时违反两个以上法律、法规或者规章条款，应当适用效力等级较高的法律、法规或者规章，效力等级相同的，可以适用处罚较重的条款；实施了两个以上生态环境违法行为，若违法行为之间存在必然牵连关系的，应当选择处罚较重的违法行为予以认定，并给予处罚；若违法行为之间不存在必然牵连关系的，应当对每个违法行为分别依法给予处罚。</w:t>
      </w:r>
    </w:p>
    <w:p>
      <w:pPr>
        <w:snapToGrid w:val="0"/>
        <w:spacing w:line="560" w:lineRule="exact"/>
        <w:ind w:firstLine="640" w:firstLineChars="200"/>
        <w:rPr>
          <w:rFonts w:ascii="Times New Roman" w:hAnsi="Times New Roman" w:eastAsia="仿宋_GB2312" w:cs="Times New Roman"/>
          <w:bCs/>
          <w:color w:val="000000"/>
          <w:sz w:val="32"/>
          <w:szCs w:val="32"/>
          <w:highlight w:val="none"/>
        </w:rPr>
      </w:pPr>
      <w:r>
        <w:rPr>
          <w:rFonts w:hint="eastAsia" w:ascii="Times New Roman" w:hAnsi="Times New Roman" w:eastAsia="黑体" w:cs="黑体"/>
          <w:bCs/>
          <w:color w:val="000000"/>
          <w:sz w:val="32"/>
          <w:szCs w:val="32"/>
          <w:highlight w:val="none"/>
        </w:rPr>
        <w:t>第十条</w:t>
      </w:r>
      <w:r>
        <w:rPr>
          <w:rFonts w:ascii="Times New Roman" w:hAnsi="Times New Roman" w:eastAsia="黑体" w:cs="Times New Roman"/>
          <w:bCs/>
          <w:color w:val="000000"/>
          <w:sz w:val="32"/>
          <w:szCs w:val="32"/>
          <w:highlight w:val="none"/>
        </w:rPr>
        <w:t xml:space="preserve">  </w:t>
      </w:r>
      <w:r>
        <w:rPr>
          <w:rFonts w:hint="eastAsia" w:ascii="Times New Roman" w:hAnsi="Times New Roman" w:eastAsia="黑体" w:cs="黑体"/>
          <w:bCs/>
          <w:color w:val="000000"/>
          <w:sz w:val="32"/>
          <w:szCs w:val="32"/>
          <w:highlight w:val="none"/>
        </w:rPr>
        <w:t>裁量规则和基准使用</w:t>
      </w:r>
    </w:p>
    <w:p>
      <w:pPr>
        <w:snapToGrid w:val="0"/>
        <w:spacing w:line="560" w:lineRule="exact"/>
        <w:ind w:firstLine="640" w:firstLineChars="200"/>
        <w:rPr>
          <w:rFonts w:ascii="Times New Roman" w:hAnsi="Times New Roman" w:eastAsia="仿宋_GB2312" w:cs="Times New Roman"/>
          <w:color w:val="000000"/>
          <w:sz w:val="32"/>
          <w:szCs w:val="32"/>
          <w:highlight w:val="none"/>
        </w:rPr>
      </w:pPr>
      <w:r>
        <w:rPr>
          <w:rFonts w:hint="eastAsia" w:ascii="Times New Roman" w:hAnsi="Times New Roman" w:eastAsia="仿宋_GB2312" w:cs="仿宋_GB2312"/>
          <w:color w:val="000000"/>
          <w:sz w:val="32"/>
          <w:szCs w:val="32"/>
          <w:highlight w:val="none"/>
        </w:rPr>
        <w:t>案件调查取证中，执法人员应当以裁量规则和基准为指导，全面调取有关违法行为和情节的证据；在提交行政处罚案件调查报告时，不仅要附有违法行为的定性证据，还应根据裁量因素提供定量证据。若执法人员在案件调查取证中确因客观因素未能调取到裁量表中部分裁量因素的情节和证据，在案件调查报告中应注明，则计算处罚金额时不考虑该项裁量因素。</w:t>
      </w:r>
    </w:p>
    <w:p>
      <w:pPr>
        <w:snapToGrid w:val="0"/>
        <w:spacing w:line="560" w:lineRule="exact"/>
        <w:ind w:firstLine="640" w:firstLineChars="200"/>
        <w:rPr>
          <w:rFonts w:ascii="Times New Roman" w:hAnsi="Times New Roman" w:eastAsia="仿宋_GB2312" w:cs="Times New Roman"/>
          <w:color w:val="000000"/>
          <w:sz w:val="32"/>
          <w:szCs w:val="32"/>
          <w:highlight w:val="none"/>
        </w:rPr>
      </w:pPr>
      <w:r>
        <w:rPr>
          <w:rFonts w:hint="eastAsia" w:ascii="Times New Roman" w:hAnsi="Times New Roman" w:eastAsia="仿宋_GB2312" w:cs="仿宋_GB2312"/>
          <w:color w:val="000000"/>
          <w:sz w:val="32"/>
          <w:szCs w:val="32"/>
          <w:highlight w:val="none"/>
        </w:rPr>
        <w:t>案件审查过程中，审查人员应当严格遵守裁量规则和基准</w:t>
      </w:r>
      <w:r>
        <w:rPr>
          <w:rFonts w:ascii="Times New Roman" w:hAnsi="Times New Roman" w:eastAsia="仿宋_GB2312" w:cs="Times New Roman"/>
          <w:color w:val="000000"/>
          <w:sz w:val="32"/>
          <w:szCs w:val="32"/>
          <w:highlight w:val="none"/>
        </w:rPr>
        <w:t>,</w:t>
      </w:r>
      <w:r>
        <w:rPr>
          <w:rFonts w:hint="eastAsia" w:ascii="Times New Roman" w:hAnsi="Times New Roman" w:eastAsia="仿宋_GB2312" w:cs="仿宋_GB2312"/>
          <w:color w:val="000000"/>
          <w:sz w:val="32"/>
          <w:szCs w:val="32"/>
          <w:highlight w:val="none"/>
        </w:rPr>
        <w:t>对具体案件违法行为和情节的定量证据进行审查；重大执法决定法制审核时，应当对案件的裁量情况和证据进行法制审核，并出具书面的法制审核意见；经集体审议的案件应当专门对案件的裁量情况进行审议，书面记录审议结果，并随案卷归档。</w:t>
      </w:r>
    </w:p>
    <w:p>
      <w:pPr>
        <w:snapToGrid w:val="0"/>
        <w:spacing w:line="560" w:lineRule="exact"/>
        <w:ind w:firstLine="640" w:firstLineChars="200"/>
        <w:rPr>
          <w:rFonts w:ascii="Times New Roman" w:hAnsi="Times New Roman" w:eastAsia="仿宋_GB2312" w:cs="Times New Roman"/>
          <w:color w:val="000000"/>
          <w:sz w:val="32"/>
          <w:szCs w:val="32"/>
          <w:highlight w:val="none"/>
        </w:rPr>
      </w:pPr>
      <w:r>
        <w:rPr>
          <w:rFonts w:hint="eastAsia" w:ascii="Times New Roman" w:hAnsi="Times New Roman" w:eastAsia="仿宋_GB2312" w:cs="仿宋_GB2312"/>
          <w:color w:val="000000"/>
          <w:sz w:val="32"/>
          <w:szCs w:val="32"/>
          <w:highlight w:val="none"/>
        </w:rPr>
        <w:t>裁量基准一般不得突破，对确需突破裁量基准进行处罚的案件，应当经过案件办理机关集体审议决定，并在案卷中附具理由、案件集体讨论笔录和证据材料。</w:t>
      </w:r>
    </w:p>
    <w:p>
      <w:pPr>
        <w:snapToGrid w:val="0"/>
        <w:spacing w:line="560" w:lineRule="exact"/>
        <w:ind w:firstLine="640" w:firstLineChars="200"/>
        <w:rPr>
          <w:rFonts w:ascii="Times New Roman" w:hAnsi="Times New Roman" w:eastAsia="黑体" w:cs="Times New Roman"/>
          <w:bCs/>
          <w:color w:val="000000"/>
          <w:sz w:val="32"/>
          <w:szCs w:val="32"/>
          <w:highlight w:val="none"/>
        </w:rPr>
      </w:pPr>
      <w:r>
        <w:rPr>
          <w:rFonts w:hint="eastAsia" w:ascii="Times New Roman" w:hAnsi="Times New Roman" w:eastAsia="黑体" w:cs="黑体"/>
          <w:bCs/>
          <w:color w:val="000000"/>
          <w:sz w:val="32"/>
          <w:szCs w:val="32"/>
          <w:highlight w:val="none"/>
        </w:rPr>
        <w:t>第十一条</w:t>
      </w:r>
      <w:r>
        <w:rPr>
          <w:rFonts w:ascii="Times New Roman" w:hAnsi="Times New Roman" w:eastAsia="黑体" w:cs="Times New Roman"/>
          <w:bCs/>
          <w:color w:val="000000"/>
          <w:sz w:val="32"/>
          <w:szCs w:val="32"/>
          <w:highlight w:val="none"/>
        </w:rPr>
        <w:t xml:space="preserve">  </w:t>
      </w:r>
      <w:r>
        <w:rPr>
          <w:rFonts w:hint="eastAsia" w:ascii="Times New Roman" w:hAnsi="Times New Roman" w:eastAsia="黑体" w:cs="黑体"/>
          <w:bCs/>
          <w:color w:val="000000"/>
          <w:sz w:val="32"/>
          <w:szCs w:val="32"/>
          <w:highlight w:val="none"/>
        </w:rPr>
        <w:t>备案管理</w:t>
      </w:r>
    </w:p>
    <w:p>
      <w:pPr>
        <w:snapToGrid w:val="0"/>
        <w:spacing w:line="560" w:lineRule="exact"/>
        <w:ind w:firstLine="640" w:firstLineChars="200"/>
        <w:rPr>
          <w:rFonts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生态环境主管部门制定的裁量规则和基准规范性文件，应当以政府网站公开等方式向社会发布，接受社会监督。生态环境主管部门应当在裁量规则和基准制发或者变更后</w:t>
      </w:r>
      <w:r>
        <w:rPr>
          <w:rFonts w:ascii="Times New Roman" w:hAnsi="Times New Roman" w:eastAsia="仿宋_GB2312" w:cs="Times New Roman"/>
          <w:color w:val="000000"/>
          <w:sz w:val="32"/>
          <w:szCs w:val="32"/>
          <w:highlight w:val="none"/>
        </w:rPr>
        <w:t>15</w:t>
      </w:r>
      <w:r>
        <w:rPr>
          <w:rFonts w:hint="eastAsia" w:ascii="Times New Roman" w:hAnsi="Times New Roman" w:eastAsia="仿宋_GB2312" w:cs="仿宋_GB2312"/>
          <w:color w:val="000000"/>
          <w:sz w:val="32"/>
          <w:szCs w:val="32"/>
          <w:highlight w:val="none"/>
        </w:rPr>
        <w:t>日内报上一级生态环境主管部门备案。对不按裁量规则和基准进行裁量，不规范行使行政处罚自由裁量权构成违纪违法的，依规依纪依法追究责任。</w:t>
      </w:r>
    </w:p>
    <w:p>
      <w:pPr>
        <w:snapToGrid w:val="0"/>
        <w:spacing w:line="560" w:lineRule="exact"/>
        <w:ind w:left="641"/>
        <w:rPr>
          <w:rFonts w:ascii="Times New Roman" w:hAnsi="Times New Roman" w:eastAsia="仿宋_GB2312" w:cs="Times New Roman"/>
          <w:color w:val="000000"/>
          <w:sz w:val="32"/>
          <w:szCs w:val="32"/>
          <w:highlight w:val="none"/>
        </w:rPr>
      </w:pPr>
      <w:r>
        <w:rPr>
          <w:rFonts w:hint="eastAsia" w:ascii="Times New Roman" w:hAnsi="Times New Roman" w:eastAsia="黑体" w:cs="黑体"/>
          <w:bCs/>
          <w:color w:val="000000"/>
          <w:sz w:val="32"/>
          <w:szCs w:val="32"/>
          <w:highlight w:val="none"/>
        </w:rPr>
        <w:t>第十二条</w:t>
      </w:r>
      <w:r>
        <w:rPr>
          <w:rFonts w:ascii="Times New Roman" w:hAnsi="Times New Roman" w:eastAsia="黑体" w:cs="Times New Roman"/>
          <w:bCs/>
          <w:color w:val="000000"/>
          <w:sz w:val="32"/>
          <w:szCs w:val="32"/>
          <w:highlight w:val="none"/>
        </w:rPr>
        <w:t xml:space="preserve">  </w:t>
      </w:r>
      <w:r>
        <w:rPr>
          <w:rFonts w:hint="eastAsia" w:ascii="Times New Roman" w:hAnsi="Times New Roman" w:eastAsia="黑体" w:cs="黑体"/>
          <w:bCs/>
          <w:color w:val="000000"/>
          <w:sz w:val="32"/>
          <w:szCs w:val="32"/>
          <w:highlight w:val="none"/>
        </w:rPr>
        <w:t>有关术语</w:t>
      </w:r>
    </w:p>
    <w:p>
      <w:pPr>
        <w:widowControl/>
        <w:snapToGrid w:val="0"/>
        <w:spacing w:line="56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w:t>
      </w:r>
      <w:r>
        <w:rPr>
          <w:rFonts w:hint="eastAsia" w:ascii="Times New Roman" w:hAnsi="Times New Roman" w:eastAsia="仿宋_GB2312" w:cs="仿宋_GB2312"/>
          <w:color w:val="000000"/>
          <w:sz w:val="32"/>
          <w:szCs w:val="32"/>
          <w:highlight w:val="none"/>
        </w:rPr>
        <w:t>首次被发现</w:t>
      </w:r>
      <w:r>
        <w:rPr>
          <w:rFonts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rPr>
        <w:t>中的</w:t>
      </w:r>
      <w:r>
        <w:rPr>
          <w:rFonts w:ascii="Times New Roman" w:hAnsi="Times New Roman" w:eastAsia="仿宋_GB2312" w:cs="Times New Roman"/>
          <w:color w:val="000000"/>
          <w:sz w:val="32"/>
          <w:szCs w:val="32"/>
          <w:highlight w:val="none"/>
        </w:rPr>
        <w:t>“</w:t>
      </w:r>
      <w:r>
        <w:rPr>
          <w:rFonts w:hint="eastAsia" w:ascii="Times New Roman" w:hAnsi="Times New Roman" w:eastAsia="仿宋_GB2312" w:cs="仿宋_GB2312"/>
          <w:color w:val="000000"/>
          <w:sz w:val="32"/>
          <w:szCs w:val="32"/>
          <w:highlight w:val="none"/>
        </w:rPr>
        <w:t>首次</w:t>
      </w:r>
      <w:r>
        <w:rPr>
          <w:rFonts w:ascii="Times New Roman" w:hAnsi="Times New Roman" w:eastAsia="仿宋_GB2312" w:cs="Times New Roman"/>
          <w:color w:val="000000"/>
          <w:sz w:val="32"/>
          <w:szCs w:val="32"/>
          <w:highlight w:val="none"/>
        </w:rPr>
        <w:t>”</w:t>
      </w:r>
      <w:r>
        <w:rPr>
          <w:rFonts w:hint="eastAsia" w:ascii="Times New Roman" w:hAnsi="Times New Roman" w:eastAsia="仿宋_GB2312" w:cs="仿宋_GB2312"/>
          <w:color w:val="000000"/>
          <w:sz w:val="32"/>
          <w:szCs w:val="32"/>
          <w:highlight w:val="none"/>
        </w:rPr>
        <w:t>，是指违法行为第一次被发现或者以当次行为被发现之日为起算点往前追溯</w:t>
      </w:r>
      <w:r>
        <w:rPr>
          <w:rFonts w:hint="eastAsia" w:ascii="Times New Roman" w:hAnsi="Times New Roman" w:eastAsia="仿宋_GB2312" w:cs="Times New Roman"/>
          <w:color w:val="000000"/>
          <w:sz w:val="32"/>
          <w:szCs w:val="32"/>
          <w:highlight w:val="none"/>
        </w:rPr>
        <w:t>2</w:t>
      </w:r>
      <w:r>
        <w:rPr>
          <w:rFonts w:hint="eastAsia" w:ascii="Times New Roman" w:hAnsi="Times New Roman" w:eastAsia="仿宋_GB2312" w:cs="仿宋_GB2312"/>
          <w:color w:val="000000"/>
          <w:sz w:val="32"/>
          <w:szCs w:val="32"/>
          <w:highlight w:val="none"/>
        </w:rPr>
        <w:t>年内无此种违法行为。</w:t>
      </w:r>
    </w:p>
    <w:p>
      <w:pPr>
        <w:ind w:firstLine="56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rPr>
        <w:t>两年内未受到过其他处罚</w:t>
      </w:r>
      <w:r>
        <w:rPr>
          <w:rFonts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rPr>
        <w:t>是指以当次违法行为发生之日为起算点往前追溯两年，未受到生态环境部门作出的其他行政处罚，不只限定为同类型的违法行为。</w:t>
      </w:r>
    </w:p>
    <w:p>
      <w:pPr>
        <w:widowControl/>
        <w:snapToGrid w:val="0"/>
        <w:spacing w:line="560" w:lineRule="exact"/>
        <w:ind w:firstLine="640" w:firstLineChars="200"/>
        <w:rPr>
          <w:rFonts w:ascii="Times New Roman" w:hAnsi="Times New Roman" w:eastAsia="仿宋_GB2312" w:cs="仿宋_GB2312"/>
          <w:color w:val="000000"/>
          <w:sz w:val="32"/>
          <w:szCs w:val="32"/>
          <w:highlight w:val="none"/>
        </w:rPr>
      </w:pPr>
      <w:r>
        <w:rPr>
          <w:rFonts w:ascii="Times New Roman" w:hAnsi="Times New Roman" w:eastAsia="仿宋_GB2312" w:cs="Times New Roman"/>
          <w:color w:val="000000"/>
          <w:sz w:val="32"/>
          <w:szCs w:val="32"/>
          <w:highlight w:val="none"/>
        </w:rPr>
        <w:t>“3</w:t>
      </w:r>
      <w:r>
        <w:rPr>
          <w:rFonts w:hint="eastAsia" w:ascii="Times New Roman" w:hAnsi="Times New Roman" w:eastAsia="仿宋_GB2312" w:cs="仿宋_GB2312"/>
          <w:color w:val="000000"/>
          <w:sz w:val="32"/>
          <w:szCs w:val="32"/>
          <w:highlight w:val="none"/>
        </w:rPr>
        <w:t>个月以内或</w:t>
      </w:r>
      <w:r>
        <w:rPr>
          <w:rFonts w:ascii="Times New Roman" w:hAnsi="Times New Roman" w:eastAsia="仿宋_GB2312" w:cs="Times New Roman"/>
          <w:color w:val="000000"/>
          <w:sz w:val="32"/>
          <w:szCs w:val="32"/>
          <w:highlight w:val="none"/>
        </w:rPr>
        <w:t>2</w:t>
      </w:r>
      <w:r>
        <w:rPr>
          <w:rFonts w:hint="eastAsia" w:ascii="Times New Roman" w:hAnsi="Times New Roman" w:eastAsia="仿宋_GB2312" w:cs="仿宋_GB2312"/>
          <w:color w:val="000000"/>
          <w:sz w:val="32"/>
          <w:szCs w:val="32"/>
          <w:highlight w:val="none"/>
        </w:rPr>
        <w:t>次以下</w:t>
      </w:r>
      <w:r>
        <w:rPr>
          <w:rFonts w:ascii="Times New Roman" w:hAnsi="Times New Roman" w:eastAsia="仿宋_GB2312" w:cs="Times New Roman"/>
          <w:color w:val="000000"/>
          <w:sz w:val="32"/>
          <w:szCs w:val="32"/>
          <w:highlight w:val="none"/>
        </w:rPr>
        <w:t>”</w:t>
      </w:r>
      <w:r>
        <w:rPr>
          <w:rFonts w:hint="eastAsia" w:ascii="Times New Roman" w:hAnsi="Times New Roman" w:eastAsia="仿宋_GB2312" w:cs="仿宋_GB2312"/>
          <w:color w:val="000000"/>
          <w:sz w:val="32"/>
          <w:szCs w:val="32"/>
          <w:highlight w:val="none"/>
        </w:rPr>
        <w:t>等违法行为持续时间或者发生频次信息中的次数是指以当次行为发生之日为起算点往前追溯</w:t>
      </w:r>
      <w:r>
        <w:rPr>
          <w:rFonts w:ascii="Times New Roman" w:hAnsi="Times New Roman" w:eastAsia="仿宋_GB2312" w:cs="Times New Roman"/>
          <w:color w:val="000000"/>
          <w:sz w:val="32"/>
          <w:szCs w:val="32"/>
          <w:highlight w:val="none"/>
        </w:rPr>
        <w:t>2</w:t>
      </w:r>
      <w:r>
        <w:rPr>
          <w:rFonts w:hint="eastAsia" w:ascii="Times New Roman" w:hAnsi="Times New Roman" w:eastAsia="仿宋_GB2312" w:cs="仿宋_GB2312"/>
          <w:color w:val="000000"/>
          <w:sz w:val="32"/>
          <w:szCs w:val="32"/>
          <w:highlight w:val="none"/>
        </w:rPr>
        <w:t>年</w:t>
      </w:r>
    </w:p>
    <w:p>
      <w:pPr>
        <w:widowControl/>
        <w:snapToGrid w:val="0"/>
        <w:spacing w:line="560" w:lineRule="exact"/>
        <w:rPr>
          <w:rFonts w:ascii="Times New Roman" w:hAnsi="Times New Roman" w:eastAsia="仿宋_GB2312" w:cs="Times New Roman"/>
          <w:color w:val="000000"/>
          <w:sz w:val="32"/>
          <w:szCs w:val="32"/>
          <w:highlight w:val="none"/>
        </w:rPr>
      </w:pPr>
      <w:r>
        <w:rPr>
          <w:rFonts w:hint="eastAsia" w:ascii="Times New Roman" w:hAnsi="Times New Roman" w:eastAsia="仿宋_GB2312" w:cs="仿宋_GB2312"/>
          <w:color w:val="000000"/>
          <w:sz w:val="32"/>
          <w:szCs w:val="32"/>
          <w:highlight w:val="none"/>
        </w:rPr>
        <w:t>内此种违法行为的发生次数。</w:t>
      </w:r>
    </w:p>
    <w:p>
      <w:pPr>
        <w:snapToGrid w:val="0"/>
        <w:spacing w:line="56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w:t>
      </w:r>
      <w:r>
        <w:rPr>
          <w:rFonts w:hint="eastAsia" w:ascii="Times New Roman" w:hAnsi="Times New Roman" w:eastAsia="仿宋_GB2312" w:cs="仿宋_GB2312"/>
          <w:color w:val="000000"/>
          <w:sz w:val="32"/>
          <w:szCs w:val="32"/>
          <w:highlight w:val="none"/>
        </w:rPr>
        <w:t>企业规模</w:t>
      </w:r>
      <w:r>
        <w:rPr>
          <w:rFonts w:ascii="Times New Roman" w:hAnsi="Times New Roman" w:eastAsia="仿宋_GB2312" w:cs="Times New Roman"/>
          <w:color w:val="000000"/>
          <w:sz w:val="32"/>
          <w:szCs w:val="32"/>
          <w:highlight w:val="none"/>
        </w:rPr>
        <w:t>”</w:t>
      </w:r>
      <w:r>
        <w:rPr>
          <w:rFonts w:hint="eastAsia" w:ascii="Times New Roman" w:hAnsi="Times New Roman" w:eastAsia="仿宋_GB2312" w:cs="仿宋_GB2312"/>
          <w:color w:val="000000"/>
          <w:sz w:val="32"/>
          <w:szCs w:val="32"/>
          <w:highlight w:val="none"/>
        </w:rPr>
        <w:t>中的</w:t>
      </w:r>
      <w:r>
        <w:rPr>
          <w:rFonts w:ascii="Times New Roman" w:hAnsi="Times New Roman" w:eastAsia="仿宋_GB2312" w:cs="Times New Roman"/>
          <w:color w:val="000000"/>
          <w:sz w:val="32"/>
          <w:szCs w:val="32"/>
          <w:highlight w:val="none"/>
        </w:rPr>
        <w:t>“</w:t>
      </w:r>
      <w:r>
        <w:rPr>
          <w:rFonts w:hint="eastAsia" w:ascii="Times New Roman" w:hAnsi="Times New Roman" w:eastAsia="仿宋_GB2312" w:cs="仿宋_GB2312"/>
          <w:color w:val="000000"/>
          <w:sz w:val="32"/>
          <w:szCs w:val="32"/>
          <w:highlight w:val="none"/>
        </w:rPr>
        <w:t>大中小微型企业</w:t>
      </w:r>
      <w:r>
        <w:rPr>
          <w:rFonts w:ascii="Times New Roman" w:hAnsi="Times New Roman" w:eastAsia="仿宋_GB2312" w:cs="Times New Roman"/>
          <w:color w:val="000000"/>
          <w:sz w:val="32"/>
          <w:szCs w:val="32"/>
          <w:highlight w:val="none"/>
        </w:rPr>
        <w:t>”</w:t>
      </w:r>
      <w:r>
        <w:rPr>
          <w:rFonts w:hint="eastAsia" w:ascii="Times New Roman" w:hAnsi="Times New Roman" w:eastAsia="仿宋_GB2312" w:cs="仿宋_GB2312"/>
          <w:color w:val="000000"/>
          <w:sz w:val="32"/>
          <w:szCs w:val="32"/>
          <w:highlight w:val="none"/>
        </w:rPr>
        <w:t>参照国家统计局《统计上大中小微型企业划分办法（</w:t>
      </w:r>
      <w:r>
        <w:rPr>
          <w:rFonts w:ascii="Times New Roman" w:hAnsi="Times New Roman" w:eastAsia="仿宋_GB2312" w:cs="Times New Roman"/>
          <w:color w:val="000000"/>
          <w:sz w:val="32"/>
          <w:szCs w:val="32"/>
          <w:highlight w:val="none"/>
        </w:rPr>
        <w:t>2017</w:t>
      </w:r>
      <w:r>
        <w:rPr>
          <w:rFonts w:hint="eastAsia" w:ascii="Times New Roman" w:hAnsi="Times New Roman" w:eastAsia="仿宋_GB2312" w:cs="仿宋_GB2312"/>
          <w:color w:val="000000"/>
          <w:sz w:val="32"/>
          <w:szCs w:val="32"/>
          <w:highlight w:val="none"/>
        </w:rPr>
        <w:t>）》认定，如有更新，按最新版本认定。企业既属于央企、省属国企及上市公司，</w:t>
      </w:r>
      <w:r>
        <w:rPr>
          <w:rFonts w:ascii="Times New Roman" w:hAnsi="Times New Roman" w:eastAsia="仿宋_GB2312" w:cs="仿宋_GB2312"/>
          <w:color w:val="000000"/>
          <w:sz w:val="32"/>
          <w:szCs w:val="32"/>
          <w:highlight w:val="none"/>
        </w:rPr>
        <w:t>又属于大</w:t>
      </w:r>
      <w:r>
        <w:rPr>
          <w:rFonts w:hint="eastAsia" w:ascii="Times New Roman" w:hAnsi="Times New Roman" w:eastAsia="仿宋_GB2312" w:cs="仿宋_GB2312"/>
          <w:color w:val="000000"/>
          <w:sz w:val="32"/>
          <w:szCs w:val="32"/>
          <w:highlight w:val="none"/>
        </w:rPr>
        <w:t>、</w:t>
      </w:r>
      <w:r>
        <w:rPr>
          <w:rFonts w:ascii="Times New Roman" w:hAnsi="Times New Roman" w:eastAsia="仿宋_GB2312" w:cs="仿宋_GB2312"/>
          <w:color w:val="000000"/>
          <w:sz w:val="32"/>
          <w:szCs w:val="32"/>
          <w:highlight w:val="none"/>
        </w:rPr>
        <w:t>中</w:t>
      </w:r>
      <w:r>
        <w:rPr>
          <w:rFonts w:hint="eastAsia" w:ascii="Times New Roman" w:hAnsi="Times New Roman" w:eastAsia="仿宋_GB2312" w:cs="仿宋_GB2312"/>
          <w:color w:val="000000"/>
          <w:sz w:val="32"/>
          <w:szCs w:val="32"/>
          <w:highlight w:val="none"/>
        </w:rPr>
        <w:t>或者</w:t>
      </w:r>
      <w:r>
        <w:rPr>
          <w:rFonts w:ascii="Times New Roman" w:hAnsi="Times New Roman" w:eastAsia="仿宋_GB2312" w:cs="仿宋_GB2312"/>
          <w:color w:val="000000"/>
          <w:sz w:val="32"/>
          <w:szCs w:val="32"/>
          <w:highlight w:val="none"/>
        </w:rPr>
        <w:t>小型企业时</w:t>
      </w:r>
      <w:r>
        <w:rPr>
          <w:rFonts w:hint="eastAsia" w:ascii="Times New Roman" w:hAnsi="Times New Roman" w:eastAsia="仿宋_GB2312" w:cs="仿宋_GB2312"/>
          <w:color w:val="000000"/>
          <w:sz w:val="32"/>
          <w:szCs w:val="32"/>
          <w:highlight w:val="none"/>
        </w:rPr>
        <w:t>，</w:t>
      </w:r>
      <w:r>
        <w:rPr>
          <w:rFonts w:ascii="Times New Roman" w:hAnsi="Times New Roman" w:eastAsia="仿宋_GB2312" w:cs="仿宋_GB2312"/>
          <w:color w:val="000000"/>
          <w:sz w:val="32"/>
          <w:szCs w:val="32"/>
          <w:highlight w:val="none"/>
        </w:rPr>
        <w:t>按</w:t>
      </w:r>
      <w:r>
        <w:rPr>
          <w:rFonts w:hint="eastAsia" w:ascii="Times New Roman" w:hAnsi="Times New Roman" w:eastAsia="仿宋_GB2312" w:cs="仿宋_GB2312"/>
          <w:color w:val="000000"/>
          <w:sz w:val="32"/>
          <w:szCs w:val="32"/>
          <w:highlight w:val="none"/>
        </w:rPr>
        <w:t>央企、省属国企及上市公司确定裁量等级</w:t>
      </w:r>
      <w:r>
        <w:rPr>
          <w:rFonts w:ascii="Times New Roman" w:hAnsi="Times New Roman" w:eastAsia="仿宋_GB2312" w:cs="仿宋_GB2312"/>
          <w:color w:val="000000"/>
          <w:sz w:val="32"/>
          <w:szCs w:val="32"/>
          <w:highlight w:val="none"/>
        </w:rPr>
        <w:t>。</w:t>
      </w:r>
    </w:p>
    <w:p>
      <w:pPr>
        <w:snapToGrid w:val="0"/>
        <w:spacing w:line="56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w:t>
      </w:r>
      <w:r>
        <w:rPr>
          <w:rFonts w:hint="eastAsia" w:ascii="Times New Roman" w:hAnsi="Times New Roman" w:eastAsia="仿宋_GB2312" w:cs="仿宋_GB2312"/>
          <w:color w:val="000000"/>
          <w:sz w:val="32"/>
          <w:szCs w:val="32"/>
          <w:highlight w:val="none"/>
        </w:rPr>
        <w:t>排污超标状况</w:t>
      </w:r>
      <w:r>
        <w:rPr>
          <w:rFonts w:ascii="Times New Roman" w:hAnsi="Times New Roman" w:eastAsia="仿宋_GB2312" w:cs="Times New Roman"/>
          <w:color w:val="000000"/>
          <w:sz w:val="32"/>
          <w:szCs w:val="32"/>
          <w:highlight w:val="none"/>
        </w:rPr>
        <w:t>”</w:t>
      </w:r>
      <w:r>
        <w:rPr>
          <w:rFonts w:hint="eastAsia" w:ascii="Times New Roman" w:hAnsi="Times New Roman" w:eastAsia="仿宋_GB2312" w:cs="仿宋_GB2312"/>
          <w:color w:val="000000"/>
          <w:sz w:val="32"/>
          <w:szCs w:val="32"/>
          <w:highlight w:val="none"/>
        </w:rPr>
        <w:t>存在多个污染因子超标的，以超标倍数最高的污染因子进行等级裁量；</w:t>
      </w:r>
      <w:r>
        <w:rPr>
          <w:rFonts w:hint="eastAsia" w:ascii="Times New Roman" w:hAnsi="Times New Roman" w:eastAsia="仿宋_GB2312" w:cs="Times New Roman"/>
          <w:color w:val="000000"/>
          <w:sz w:val="32"/>
          <w:szCs w:val="32"/>
          <w:highlight w:val="none"/>
        </w:rPr>
        <w:t>烟气</w:t>
      </w:r>
      <w:r>
        <w:rPr>
          <w:rFonts w:ascii="Times New Roman" w:hAnsi="Times New Roman" w:eastAsia="仿宋_GB2312" w:cs="Times New Roman"/>
          <w:color w:val="000000"/>
          <w:sz w:val="32"/>
          <w:szCs w:val="32"/>
          <w:highlight w:val="none"/>
        </w:rPr>
        <w:t>流量的裁量等级以超标当日在线烟气流量认定</w:t>
      </w:r>
      <w:r>
        <w:rPr>
          <w:rFonts w:hint="eastAsia" w:ascii="Times New Roman" w:hAnsi="Times New Roman" w:eastAsia="仿宋_GB2312" w:cs="仿宋_GB2312"/>
          <w:color w:val="000000"/>
          <w:sz w:val="32"/>
          <w:szCs w:val="32"/>
          <w:highlight w:val="none"/>
        </w:rPr>
        <w:t>；</w:t>
      </w:r>
      <w:r>
        <w:rPr>
          <w:rFonts w:ascii="Times New Roman" w:hAnsi="Times New Roman" w:eastAsia="仿宋_GB2312" w:cs="Times New Roman"/>
          <w:color w:val="000000"/>
          <w:sz w:val="32"/>
          <w:szCs w:val="32"/>
          <w:highlight w:val="none"/>
        </w:rPr>
        <w:t>“</w:t>
      </w:r>
      <w:r>
        <w:rPr>
          <w:rFonts w:hint="eastAsia" w:ascii="Times New Roman" w:hAnsi="Times New Roman" w:eastAsia="仿宋_GB2312" w:cs="仿宋_GB2312"/>
          <w:color w:val="000000"/>
          <w:sz w:val="32"/>
          <w:szCs w:val="32"/>
          <w:highlight w:val="none"/>
        </w:rPr>
        <w:t>水日排放量</w:t>
      </w:r>
      <w:r>
        <w:rPr>
          <w:rFonts w:ascii="Times New Roman" w:hAnsi="Times New Roman" w:eastAsia="仿宋_GB2312" w:cs="Times New Roman"/>
          <w:color w:val="000000"/>
          <w:sz w:val="32"/>
          <w:szCs w:val="32"/>
          <w:highlight w:val="none"/>
        </w:rPr>
        <w:t>”</w:t>
      </w:r>
      <w:r>
        <w:rPr>
          <w:rFonts w:hint="eastAsia" w:ascii="Times New Roman" w:hAnsi="Times New Roman" w:eastAsia="仿宋_GB2312" w:cs="仿宋_GB2312"/>
          <w:color w:val="000000"/>
          <w:sz w:val="32"/>
          <w:szCs w:val="32"/>
          <w:highlight w:val="none"/>
        </w:rPr>
        <w:t>以超标当日在线污水排放量认定。</w:t>
      </w:r>
    </w:p>
    <w:p>
      <w:pPr>
        <w:snapToGrid w:val="0"/>
        <w:spacing w:line="560" w:lineRule="exact"/>
        <w:ind w:firstLine="640" w:firstLineChars="200"/>
        <w:rPr>
          <w:rFonts w:ascii="Times New Roman" w:hAnsi="Times New Roman" w:eastAsia="仿宋_GB2312" w:cs="仿宋_GB2312"/>
          <w:color w:val="000000"/>
          <w:sz w:val="32"/>
          <w:szCs w:val="32"/>
          <w:highlight w:val="none"/>
        </w:rPr>
      </w:pPr>
      <w:r>
        <w:rPr>
          <w:rFonts w:ascii="Times New Roman" w:hAnsi="Times New Roman" w:eastAsia="仿宋_GB2312" w:cs="Times New Roman"/>
          <w:color w:val="000000"/>
          <w:sz w:val="32"/>
          <w:szCs w:val="32"/>
          <w:highlight w:val="none"/>
        </w:rPr>
        <w:t>“</w:t>
      </w:r>
      <w:r>
        <w:rPr>
          <w:rFonts w:hint="eastAsia" w:ascii="Times New Roman" w:hAnsi="Times New Roman" w:eastAsia="仿宋_GB2312" w:cs="仿宋_GB2312"/>
          <w:color w:val="000000"/>
          <w:sz w:val="32"/>
          <w:szCs w:val="32"/>
          <w:highlight w:val="none"/>
        </w:rPr>
        <w:t>突发环境事件分级</w:t>
      </w:r>
      <w:r>
        <w:rPr>
          <w:rFonts w:ascii="Times New Roman" w:hAnsi="Times New Roman" w:eastAsia="仿宋_GB2312" w:cs="Times New Roman"/>
          <w:color w:val="000000"/>
          <w:sz w:val="32"/>
          <w:szCs w:val="32"/>
          <w:highlight w:val="none"/>
        </w:rPr>
        <w:t>”</w:t>
      </w:r>
      <w:r>
        <w:rPr>
          <w:rFonts w:hint="eastAsia" w:ascii="Times New Roman" w:hAnsi="Times New Roman" w:eastAsia="仿宋_GB2312" w:cs="仿宋_GB2312"/>
          <w:color w:val="000000"/>
          <w:sz w:val="32"/>
          <w:szCs w:val="32"/>
          <w:highlight w:val="none"/>
        </w:rPr>
        <w:t>以《国家突发环境事件应急预案》中的</w:t>
      </w:r>
      <w:r>
        <w:rPr>
          <w:rFonts w:ascii="Times New Roman" w:hAnsi="Times New Roman" w:eastAsia="仿宋_GB2312" w:cs="Times New Roman"/>
          <w:color w:val="000000"/>
          <w:sz w:val="32"/>
          <w:szCs w:val="32"/>
          <w:highlight w:val="none"/>
        </w:rPr>
        <w:t>“</w:t>
      </w:r>
      <w:r>
        <w:rPr>
          <w:rFonts w:hint="eastAsia" w:ascii="Times New Roman" w:hAnsi="Times New Roman" w:eastAsia="仿宋_GB2312" w:cs="仿宋_GB2312"/>
          <w:color w:val="000000"/>
          <w:sz w:val="32"/>
          <w:szCs w:val="32"/>
          <w:highlight w:val="none"/>
        </w:rPr>
        <w:t>突发环境事件分级标准</w:t>
      </w:r>
      <w:r>
        <w:rPr>
          <w:rFonts w:ascii="Times New Roman" w:hAnsi="Times New Roman" w:eastAsia="仿宋_GB2312" w:cs="Times New Roman"/>
          <w:color w:val="000000"/>
          <w:sz w:val="32"/>
          <w:szCs w:val="32"/>
          <w:highlight w:val="none"/>
        </w:rPr>
        <w:t>”</w:t>
      </w:r>
      <w:r>
        <w:rPr>
          <w:rFonts w:hint="eastAsia" w:ascii="Times New Roman" w:hAnsi="Times New Roman" w:eastAsia="仿宋_GB2312" w:cs="仿宋_GB2312"/>
          <w:color w:val="000000"/>
          <w:sz w:val="32"/>
          <w:szCs w:val="32"/>
          <w:highlight w:val="none"/>
        </w:rPr>
        <w:t>认定；</w:t>
      </w:r>
      <w:r>
        <w:rPr>
          <w:rFonts w:ascii="Times New Roman" w:hAnsi="Times New Roman" w:eastAsia="仿宋_GB2312" w:cs="Times New Roman"/>
          <w:color w:val="000000"/>
          <w:sz w:val="32"/>
          <w:szCs w:val="32"/>
          <w:highlight w:val="none"/>
        </w:rPr>
        <w:t>“</w:t>
      </w:r>
      <w:r>
        <w:rPr>
          <w:rFonts w:hint="eastAsia" w:ascii="Times New Roman" w:hAnsi="Times New Roman" w:eastAsia="仿宋_GB2312" w:cs="仿宋_GB2312"/>
          <w:color w:val="000000"/>
          <w:sz w:val="32"/>
          <w:szCs w:val="32"/>
          <w:highlight w:val="none"/>
        </w:rPr>
        <w:t>辐射事故等级</w:t>
      </w:r>
      <w:r>
        <w:rPr>
          <w:rFonts w:ascii="Times New Roman" w:hAnsi="Times New Roman" w:eastAsia="仿宋_GB2312" w:cs="Times New Roman"/>
          <w:color w:val="000000"/>
          <w:sz w:val="32"/>
          <w:szCs w:val="32"/>
          <w:highlight w:val="none"/>
        </w:rPr>
        <w:t>”</w:t>
      </w:r>
      <w:r>
        <w:rPr>
          <w:rFonts w:hint="eastAsia" w:ascii="Times New Roman" w:hAnsi="Times New Roman" w:eastAsia="仿宋_GB2312" w:cs="仿宋_GB2312"/>
          <w:color w:val="000000"/>
          <w:sz w:val="32"/>
          <w:szCs w:val="32"/>
          <w:highlight w:val="none"/>
        </w:rPr>
        <w:t>按照《放射性同位素与射线装置安全和防护条例》第四十条进行认定。</w:t>
      </w:r>
    </w:p>
    <w:p>
      <w:pPr>
        <w:snapToGrid w:val="0"/>
        <w:spacing w:line="560" w:lineRule="exact"/>
        <w:ind w:firstLine="640" w:firstLineChars="200"/>
        <w:jc w:val="left"/>
        <w:rPr>
          <w:rFonts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本基准中的</w:t>
      </w:r>
      <w:r>
        <w:rPr>
          <w:rFonts w:ascii="Times New Roman" w:hAnsi="Times New Roman" w:eastAsia="仿宋_GB2312" w:cs="Times New Roman"/>
          <w:color w:val="000000"/>
          <w:sz w:val="32"/>
          <w:szCs w:val="32"/>
          <w:highlight w:val="none"/>
        </w:rPr>
        <w:t>“</w:t>
      </w:r>
      <w:r>
        <w:rPr>
          <w:rFonts w:hint="eastAsia" w:ascii="Times New Roman" w:hAnsi="Times New Roman" w:eastAsia="仿宋_GB2312" w:cs="仿宋_GB2312"/>
          <w:color w:val="000000"/>
          <w:sz w:val="32"/>
          <w:szCs w:val="32"/>
          <w:highlight w:val="none"/>
        </w:rPr>
        <w:t>以上</w:t>
      </w:r>
      <w:r>
        <w:rPr>
          <w:rFonts w:ascii="Times New Roman" w:hAnsi="Times New Roman" w:eastAsia="仿宋_GB2312" w:cs="Times New Roman"/>
          <w:color w:val="000000"/>
          <w:sz w:val="32"/>
          <w:szCs w:val="32"/>
          <w:highlight w:val="none"/>
        </w:rPr>
        <w:t>”</w:t>
      </w:r>
      <w:r>
        <w:rPr>
          <w:rFonts w:hint="eastAsia" w:ascii="Times New Roman" w:hAnsi="Times New Roman" w:eastAsia="仿宋_GB2312" w:cs="仿宋_GB2312"/>
          <w:color w:val="000000"/>
          <w:sz w:val="32"/>
          <w:szCs w:val="32"/>
          <w:highlight w:val="none"/>
        </w:rPr>
        <w:t>含本数，</w:t>
      </w:r>
      <w:r>
        <w:rPr>
          <w:rFonts w:ascii="Times New Roman" w:hAnsi="Times New Roman" w:eastAsia="仿宋_GB2312" w:cs="Times New Roman"/>
          <w:color w:val="000000"/>
          <w:sz w:val="32"/>
          <w:szCs w:val="32"/>
          <w:highlight w:val="none"/>
        </w:rPr>
        <w:t>“</w:t>
      </w:r>
      <w:r>
        <w:rPr>
          <w:rFonts w:hint="eastAsia" w:ascii="Times New Roman" w:hAnsi="Times New Roman" w:eastAsia="仿宋_GB2312" w:cs="仿宋_GB2312"/>
          <w:color w:val="000000"/>
          <w:sz w:val="32"/>
          <w:szCs w:val="32"/>
          <w:highlight w:val="none"/>
        </w:rPr>
        <w:t>以下</w:t>
      </w:r>
      <w:r>
        <w:rPr>
          <w:rFonts w:ascii="Times New Roman" w:hAnsi="Times New Roman" w:eastAsia="仿宋_GB2312" w:cs="Times New Roman"/>
          <w:color w:val="000000"/>
          <w:sz w:val="32"/>
          <w:szCs w:val="32"/>
          <w:highlight w:val="none"/>
        </w:rPr>
        <w:t>”</w:t>
      </w:r>
      <w:r>
        <w:rPr>
          <w:rFonts w:hint="eastAsia" w:ascii="Times New Roman" w:hAnsi="Times New Roman" w:eastAsia="仿宋_GB2312" w:cs="仿宋_GB2312"/>
          <w:color w:val="000000"/>
          <w:sz w:val="32"/>
          <w:szCs w:val="32"/>
          <w:highlight w:val="none"/>
        </w:rPr>
        <w:t>不含本数。</w:t>
      </w:r>
    </w:p>
    <w:p>
      <w:pPr>
        <w:snapToGrid w:val="0"/>
        <w:spacing w:line="560" w:lineRule="exact"/>
        <w:ind w:firstLine="640" w:firstLineChars="200"/>
        <w:jc w:val="center"/>
        <w:outlineLvl w:val="0"/>
        <w:rPr>
          <w:rFonts w:ascii="Times New Roman" w:hAnsi="Times New Roman" w:eastAsia="仿宋_GB2312" w:cs="仿宋_GB2312"/>
          <w:color w:val="000000"/>
          <w:sz w:val="32"/>
          <w:szCs w:val="32"/>
          <w:highlight w:val="none"/>
        </w:rPr>
      </w:pPr>
      <w:r>
        <w:rPr>
          <w:rFonts w:ascii="Times New Roman" w:hAnsi="Times New Roman" w:eastAsia="仿宋_GB2312" w:cs="仿宋_GB2312"/>
          <w:color w:val="000000"/>
          <w:sz w:val="32"/>
          <w:szCs w:val="32"/>
          <w:highlight w:val="none"/>
        </w:rPr>
        <w:br w:type="page"/>
      </w:r>
      <w:bookmarkStart w:id="11" w:name="_Toc91081265"/>
      <w:r>
        <w:rPr>
          <w:rFonts w:hint="eastAsia" w:ascii="Times New Roman" w:hAnsi="Times New Roman" w:eastAsia="方正小标宋简体" w:cs="方正小标宋简体"/>
          <w:b/>
          <w:bCs/>
          <w:sz w:val="44"/>
          <w:szCs w:val="44"/>
          <w:highlight w:val="none"/>
        </w:rPr>
        <w:t>违法行为修正裁量表</w:t>
      </w:r>
      <w:bookmarkEnd w:id="11"/>
    </w:p>
    <w:p>
      <w:pPr>
        <w:snapToGrid w:val="0"/>
        <w:spacing w:line="560" w:lineRule="exact"/>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下列表格用数值表示裁量因子不同的裁量等级，-2-2代表了可予减轻或者加重处罚的不同情形。其中，具有从轻或从重处罚情形为非必选项，也可以根据实际情况进行多选，对于作出从重、从轻或减轻处罚的案件，应当有充足的证据材料和理由，并附卷备案。所有生态环境违法行为均适用此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6"/>
        <w:gridCol w:w="5453"/>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25" w:type="dxa"/>
            <w:vAlign w:val="center"/>
          </w:tcPr>
          <w:p>
            <w:pPr>
              <w:jc w:val="center"/>
              <w:rPr>
                <w:rFonts w:ascii="宋体" w:hAnsi="宋体" w:cs="黑体"/>
                <w:b/>
                <w:highlight w:val="none"/>
              </w:rPr>
            </w:pPr>
            <w:r>
              <w:rPr>
                <w:rFonts w:hint="eastAsia" w:ascii="宋体" w:hAnsi="宋体" w:cs="黑体"/>
                <w:b/>
                <w:highlight w:val="none"/>
              </w:rPr>
              <w:t>修正因素</w:t>
            </w:r>
          </w:p>
        </w:tc>
        <w:tc>
          <w:tcPr>
            <w:tcW w:w="5129" w:type="dxa"/>
            <w:vAlign w:val="center"/>
          </w:tcPr>
          <w:p>
            <w:pPr>
              <w:jc w:val="center"/>
              <w:rPr>
                <w:rFonts w:ascii="宋体" w:hAnsi="宋体" w:cs="黑体"/>
                <w:b/>
                <w:highlight w:val="none"/>
              </w:rPr>
            </w:pPr>
            <w:r>
              <w:rPr>
                <w:rFonts w:hint="eastAsia" w:ascii="宋体" w:hAnsi="宋体" w:cs="黑体"/>
                <w:b/>
                <w:highlight w:val="none"/>
              </w:rPr>
              <w:t>裁量因子</w:t>
            </w:r>
          </w:p>
        </w:tc>
        <w:tc>
          <w:tcPr>
            <w:tcW w:w="1468" w:type="dxa"/>
            <w:vAlign w:val="center"/>
          </w:tcPr>
          <w:p>
            <w:pPr>
              <w:jc w:val="center"/>
              <w:rPr>
                <w:rFonts w:ascii="宋体" w:hAnsi="宋体" w:cs="黑体"/>
                <w:b/>
                <w:highlight w:val="none"/>
              </w:rPr>
            </w:pPr>
            <w:r>
              <w:rPr>
                <w:rFonts w:hint="eastAsia" w:ascii="宋体" w:hAnsi="宋体" w:cs="黑体"/>
                <w:b/>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25" w:type="dxa"/>
            <w:vMerge w:val="restart"/>
            <w:vAlign w:val="center"/>
          </w:tcPr>
          <w:p>
            <w:pPr>
              <w:ind w:firstLine="422" w:firstLineChars="200"/>
              <w:jc w:val="left"/>
              <w:rPr>
                <w:rFonts w:ascii="宋体" w:hAnsi="宋体" w:cs="Times New Roman"/>
                <w:b/>
                <w:highlight w:val="none"/>
              </w:rPr>
            </w:pPr>
            <w:r>
              <w:rPr>
                <w:rFonts w:ascii="宋体" w:hAnsi="宋体" w:cs="Times New Roman"/>
                <w:b/>
                <w:highlight w:val="none"/>
              </w:rPr>
              <w:t>改正态度</w:t>
            </w:r>
          </w:p>
        </w:tc>
        <w:tc>
          <w:tcPr>
            <w:tcW w:w="5129" w:type="dxa"/>
            <w:vAlign w:val="center"/>
          </w:tcPr>
          <w:p>
            <w:pPr>
              <w:ind w:firstLine="420" w:firstLineChars="200"/>
              <w:jc w:val="left"/>
              <w:rPr>
                <w:rFonts w:ascii="Times New Roman" w:hAnsi="Times New Roman" w:eastAsia="仿宋_GB2312" w:cs="Times New Roman"/>
                <w:highlight w:val="none"/>
              </w:rPr>
            </w:pPr>
            <w:r>
              <w:rPr>
                <w:rFonts w:hint="eastAsia" w:ascii="Times New Roman" w:hAnsi="Times New Roman" w:eastAsia="仿宋_GB2312" w:cs="Times New Roman"/>
                <w:highlight w:val="none"/>
              </w:rPr>
              <w:t>立即改正</w:t>
            </w:r>
          </w:p>
        </w:tc>
        <w:tc>
          <w:tcPr>
            <w:tcW w:w="1468" w:type="dxa"/>
            <w:vAlign w:val="center"/>
          </w:tcPr>
          <w:p>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25" w:type="dxa"/>
            <w:vMerge w:val="continue"/>
          </w:tcPr>
          <w:p>
            <w:pPr>
              <w:ind w:firstLine="422" w:firstLineChars="200"/>
              <w:rPr>
                <w:rFonts w:ascii="宋体" w:hAnsi="宋体" w:cs="Times New Roman"/>
                <w:b/>
                <w:highlight w:val="none"/>
              </w:rPr>
            </w:pPr>
          </w:p>
        </w:tc>
        <w:tc>
          <w:tcPr>
            <w:tcW w:w="5129" w:type="dxa"/>
            <w:vAlign w:val="center"/>
          </w:tcPr>
          <w:p>
            <w:pPr>
              <w:ind w:firstLine="420" w:firstLineChars="200"/>
              <w:jc w:val="left"/>
              <w:rPr>
                <w:rFonts w:ascii="Times New Roman" w:hAnsi="Times New Roman" w:eastAsia="仿宋_GB2312" w:cs="Times New Roman"/>
                <w:highlight w:val="none"/>
              </w:rPr>
            </w:pPr>
            <w:r>
              <w:rPr>
                <w:rFonts w:hint="eastAsia" w:ascii="Times New Roman" w:hAnsi="Times New Roman" w:eastAsia="仿宋_GB2312" w:cs="Times New Roman"/>
                <w:highlight w:val="none"/>
              </w:rPr>
              <w:t>在规定期限内改正</w:t>
            </w:r>
          </w:p>
        </w:tc>
        <w:tc>
          <w:tcPr>
            <w:tcW w:w="1468" w:type="dxa"/>
            <w:vAlign w:val="center"/>
          </w:tcPr>
          <w:p>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25" w:type="dxa"/>
            <w:vMerge w:val="continue"/>
          </w:tcPr>
          <w:p>
            <w:pPr>
              <w:ind w:firstLine="422" w:firstLineChars="200"/>
              <w:rPr>
                <w:rFonts w:ascii="宋体" w:hAnsi="宋体" w:cs="Times New Roman"/>
                <w:b/>
                <w:highlight w:val="none"/>
              </w:rPr>
            </w:pPr>
          </w:p>
        </w:tc>
        <w:tc>
          <w:tcPr>
            <w:tcW w:w="5129" w:type="dxa"/>
            <w:vAlign w:val="center"/>
          </w:tcPr>
          <w:p>
            <w:pPr>
              <w:ind w:firstLine="420" w:firstLineChars="200"/>
              <w:jc w:val="left"/>
              <w:rPr>
                <w:rFonts w:ascii="Times New Roman" w:hAnsi="Times New Roman" w:eastAsia="仿宋_GB2312" w:cs="Times New Roman"/>
                <w:highlight w:val="none"/>
              </w:rPr>
            </w:pPr>
            <w:r>
              <w:rPr>
                <w:rFonts w:hint="eastAsia" w:ascii="Times New Roman" w:hAnsi="Times New Roman" w:eastAsia="仿宋_GB2312" w:cs="Times New Roman"/>
                <w:highlight w:val="none"/>
              </w:rPr>
              <w:t>超过整改期限完成整改</w:t>
            </w:r>
          </w:p>
        </w:tc>
        <w:tc>
          <w:tcPr>
            <w:tcW w:w="1468" w:type="dxa"/>
            <w:vAlign w:val="center"/>
          </w:tcPr>
          <w:p>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25" w:type="dxa"/>
            <w:vMerge w:val="continue"/>
          </w:tcPr>
          <w:p>
            <w:pPr>
              <w:ind w:firstLine="422" w:firstLineChars="200"/>
              <w:rPr>
                <w:rFonts w:ascii="宋体" w:hAnsi="宋体" w:cs="Times New Roman"/>
                <w:b/>
                <w:highlight w:val="none"/>
              </w:rPr>
            </w:pPr>
          </w:p>
        </w:tc>
        <w:tc>
          <w:tcPr>
            <w:tcW w:w="5129" w:type="dxa"/>
            <w:vAlign w:val="center"/>
          </w:tcPr>
          <w:p>
            <w:pPr>
              <w:ind w:firstLine="420" w:firstLineChars="200"/>
              <w:jc w:val="left"/>
              <w:rPr>
                <w:rFonts w:ascii="Times New Roman" w:hAnsi="Times New Roman" w:eastAsia="仿宋_GB2312" w:cs="Times New Roman"/>
                <w:highlight w:val="none"/>
              </w:rPr>
            </w:pPr>
            <w:r>
              <w:rPr>
                <w:rFonts w:hint="eastAsia" w:ascii="Times New Roman" w:hAnsi="Times New Roman" w:eastAsia="仿宋_GB2312" w:cs="Times New Roman"/>
                <w:highlight w:val="none"/>
              </w:rPr>
              <w:t>拒不改正</w:t>
            </w:r>
          </w:p>
        </w:tc>
        <w:tc>
          <w:tcPr>
            <w:tcW w:w="1468" w:type="dxa"/>
            <w:vAlign w:val="center"/>
          </w:tcPr>
          <w:p>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25" w:type="dxa"/>
            <w:vMerge w:val="restart"/>
            <w:vAlign w:val="center"/>
          </w:tcPr>
          <w:p>
            <w:pPr>
              <w:ind w:firstLine="422" w:firstLineChars="200"/>
              <w:jc w:val="left"/>
              <w:rPr>
                <w:rFonts w:ascii="宋体" w:hAnsi="宋体" w:cs="Times New Roman"/>
                <w:b/>
                <w:highlight w:val="none"/>
              </w:rPr>
            </w:pPr>
            <w:r>
              <w:rPr>
                <w:rFonts w:ascii="宋体" w:hAnsi="宋体" w:cs="Times New Roman"/>
                <w:b/>
                <w:highlight w:val="none"/>
              </w:rPr>
              <w:t>主观过错程度</w:t>
            </w:r>
          </w:p>
        </w:tc>
        <w:tc>
          <w:tcPr>
            <w:tcW w:w="5129" w:type="dxa"/>
            <w:vAlign w:val="center"/>
          </w:tcPr>
          <w:p>
            <w:pPr>
              <w:ind w:firstLine="420" w:firstLineChars="200"/>
              <w:jc w:val="left"/>
              <w:rPr>
                <w:rFonts w:ascii="Times New Roman" w:hAnsi="Times New Roman" w:eastAsia="仿宋_GB2312" w:cs="Times New Roman"/>
                <w:highlight w:val="none"/>
              </w:rPr>
            </w:pPr>
            <w:r>
              <w:rPr>
                <w:rFonts w:hint="eastAsia" w:ascii="Times New Roman" w:hAnsi="Times New Roman" w:eastAsia="仿宋_GB2312" w:cs="Times New Roman"/>
                <w:highlight w:val="none"/>
              </w:rPr>
              <w:t>非主观故意</w:t>
            </w:r>
          </w:p>
        </w:tc>
        <w:tc>
          <w:tcPr>
            <w:tcW w:w="1468" w:type="dxa"/>
            <w:vAlign w:val="center"/>
          </w:tcPr>
          <w:p>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25" w:type="dxa"/>
            <w:vMerge w:val="continue"/>
          </w:tcPr>
          <w:p>
            <w:pPr>
              <w:ind w:firstLine="422" w:firstLineChars="200"/>
              <w:rPr>
                <w:rFonts w:ascii="宋体" w:hAnsi="宋体" w:cs="Times New Roman"/>
                <w:b/>
                <w:highlight w:val="none"/>
              </w:rPr>
            </w:pPr>
          </w:p>
        </w:tc>
        <w:tc>
          <w:tcPr>
            <w:tcW w:w="5129" w:type="dxa"/>
            <w:vAlign w:val="center"/>
          </w:tcPr>
          <w:p>
            <w:pPr>
              <w:ind w:firstLine="420" w:firstLineChars="200"/>
              <w:jc w:val="left"/>
              <w:rPr>
                <w:rFonts w:ascii="Times New Roman" w:hAnsi="Times New Roman" w:eastAsia="仿宋_GB2312" w:cs="Times New Roman"/>
                <w:highlight w:val="none"/>
              </w:rPr>
            </w:pPr>
            <w:r>
              <w:rPr>
                <w:rFonts w:hint="eastAsia" w:ascii="Times New Roman" w:hAnsi="Times New Roman" w:eastAsia="仿宋_GB2312" w:cs="Times New Roman"/>
                <w:highlight w:val="none"/>
              </w:rPr>
              <w:t>无明显证据判断</w:t>
            </w:r>
          </w:p>
        </w:tc>
        <w:tc>
          <w:tcPr>
            <w:tcW w:w="1468" w:type="dxa"/>
            <w:vAlign w:val="center"/>
          </w:tcPr>
          <w:p>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25" w:type="dxa"/>
            <w:vMerge w:val="continue"/>
          </w:tcPr>
          <w:p>
            <w:pPr>
              <w:ind w:firstLine="422" w:firstLineChars="200"/>
              <w:rPr>
                <w:rFonts w:ascii="宋体" w:hAnsi="宋体" w:cs="Times New Roman"/>
                <w:b/>
                <w:highlight w:val="none"/>
              </w:rPr>
            </w:pPr>
          </w:p>
        </w:tc>
        <w:tc>
          <w:tcPr>
            <w:tcW w:w="5129" w:type="dxa"/>
            <w:vAlign w:val="center"/>
          </w:tcPr>
          <w:p>
            <w:pPr>
              <w:ind w:firstLine="420" w:firstLineChars="200"/>
              <w:jc w:val="left"/>
              <w:rPr>
                <w:rFonts w:ascii="Times New Roman" w:hAnsi="Times New Roman" w:eastAsia="仿宋_GB2312" w:cs="Times New Roman"/>
                <w:highlight w:val="none"/>
              </w:rPr>
            </w:pPr>
            <w:r>
              <w:rPr>
                <w:rFonts w:hint="eastAsia" w:ascii="Times New Roman" w:hAnsi="Times New Roman" w:eastAsia="仿宋_GB2312" w:cs="Times New Roman"/>
                <w:highlight w:val="none"/>
              </w:rPr>
              <w:t>故意</w:t>
            </w:r>
          </w:p>
        </w:tc>
        <w:tc>
          <w:tcPr>
            <w:tcW w:w="1468" w:type="dxa"/>
            <w:vAlign w:val="center"/>
          </w:tcPr>
          <w:p>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25" w:type="dxa"/>
            <w:vMerge w:val="restart"/>
            <w:vAlign w:val="center"/>
          </w:tcPr>
          <w:p>
            <w:pPr>
              <w:ind w:firstLine="422" w:firstLineChars="200"/>
              <w:jc w:val="left"/>
              <w:rPr>
                <w:rFonts w:ascii="宋体" w:hAnsi="宋体" w:cs="Times New Roman"/>
                <w:b/>
                <w:highlight w:val="none"/>
              </w:rPr>
            </w:pPr>
            <w:r>
              <w:rPr>
                <w:rFonts w:ascii="宋体" w:hAnsi="宋体" w:cs="Times New Roman"/>
                <w:b/>
                <w:highlight w:val="none"/>
              </w:rPr>
              <w:t>补救措施</w:t>
            </w:r>
          </w:p>
        </w:tc>
        <w:tc>
          <w:tcPr>
            <w:tcW w:w="5129" w:type="dxa"/>
            <w:vAlign w:val="center"/>
          </w:tcPr>
          <w:p>
            <w:pPr>
              <w:ind w:firstLine="420" w:firstLineChars="200"/>
              <w:jc w:val="left"/>
              <w:rPr>
                <w:rFonts w:ascii="Times New Roman" w:hAnsi="Times New Roman" w:eastAsia="仿宋_GB2312" w:cs="Times New Roman"/>
                <w:highlight w:val="none"/>
              </w:rPr>
            </w:pPr>
            <w:r>
              <w:rPr>
                <w:rFonts w:hint="eastAsia" w:ascii="Times New Roman" w:hAnsi="Times New Roman" w:eastAsia="仿宋_GB2312" w:cs="Times New Roman"/>
                <w:highlight w:val="none"/>
              </w:rPr>
              <w:t>积极采取补救措施，消除环境影响/恢复原状</w:t>
            </w:r>
          </w:p>
        </w:tc>
        <w:tc>
          <w:tcPr>
            <w:tcW w:w="1468" w:type="dxa"/>
            <w:vAlign w:val="center"/>
          </w:tcPr>
          <w:p>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25" w:type="dxa"/>
            <w:vMerge w:val="continue"/>
          </w:tcPr>
          <w:p>
            <w:pPr>
              <w:ind w:firstLine="422" w:firstLineChars="200"/>
              <w:rPr>
                <w:rFonts w:ascii="宋体" w:hAnsi="宋体" w:cs="Times New Roman"/>
                <w:b/>
                <w:highlight w:val="none"/>
              </w:rPr>
            </w:pPr>
          </w:p>
        </w:tc>
        <w:tc>
          <w:tcPr>
            <w:tcW w:w="5129" w:type="dxa"/>
            <w:vAlign w:val="center"/>
          </w:tcPr>
          <w:p>
            <w:pPr>
              <w:ind w:firstLine="420" w:firstLineChars="200"/>
              <w:jc w:val="left"/>
              <w:rPr>
                <w:rFonts w:ascii="Times New Roman" w:hAnsi="Times New Roman" w:eastAsia="仿宋_GB2312" w:cs="Times New Roman"/>
                <w:highlight w:val="none"/>
              </w:rPr>
            </w:pPr>
            <w:r>
              <w:rPr>
                <w:rFonts w:hint="eastAsia" w:ascii="Times New Roman" w:hAnsi="Times New Roman" w:eastAsia="仿宋_GB2312" w:cs="Times New Roman"/>
                <w:highlight w:val="none"/>
              </w:rPr>
              <w:t>主动采取补救措施，减轻环境影响</w:t>
            </w:r>
          </w:p>
        </w:tc>
        <w:tc>
          <w:tcPr>
            <w:tcW w:w="1468" w:type="dxa"/>
            <w:vAlign w:val="center"/>
          </w:tcPr>
          <w:p>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25" w:type="dxa"/>
            <w:vMerge w:val="continue"/>
          </w:tcPr>
          <w:p>
            <w:pPr>
              <w:ind w:firstLine="422" w:firstLineChars="200"/>
              <w:rPr>
                <w:rFonts w:ascii="宋体" w:hAnsi="宋体" w:cs="Times New Roman"/>
                <w:b/>
                <w:highlight w:val="none"/>
              </w:rPr>
            </w:pPr>
          </w:p>
        </w:tc>
        <w:tc>
          <w:tcPr>
            <w:tcW w:w="5129" w:type="dxa"/>
            <w:vAlign w:val="center"/>
          </w:tcPr>
          <w:p>
            <w:pPr>
              <w:ind w:firstLine="420" w:firstLineChars="200"/>
              <w:jc w:val="left"/>
              <w:rPr>
                <w:rFonts w:ascii="Times New Roman" w:hAnsi="Times New Roman" w:eastAsia="仿宋_GB2312" w:cs="Times New Roman"/>
                <w:highlight w:val="none"/>
              </w:rPr>
            </w:pPr>
            <w:r>
              <w:rPr>
                <w:rFonts w:hint="eastAsia" w:ascii="Times New Roman" w:hAnsi="Times New Roman" w:eastAsia="仿宋_GB2312" w:cs="Times New Roman"/>
                <w:highlight w:val="none"/>
              </w:rPr>
              <w:t>未采取补救措施，环境影响未扩大</w:t>
            </w:r>
          </w:p>
        </w:tc>
        <w:tc>
          <w:tcPr>
            <w:tcW w:w="1468" w:type="dxa"/>
            <w:vAlign w:val="center"/>
          </w:tcPr>
          <w:p>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25" w:type="dxa"/>
            <w:vMerge w:val="continue"/>
          </w:tcPr>
          <w:p>
            <w:pPr>
              <w:ind w:firstLine="422" w:firstLineChars="200"/>
              <w:rPr>
                <w:rFonts w:ascii="宋体" w:hAnsi="宋体" w:cs="Times New Roman"/>
                <w:b/>
                <w:highlight w:val="none"/>
              </w:rPr>
            </w:pPr>
          </w:p>
        </w:tc>
        <w:tc>
          <w:tcPr>
            <w:tcW w:w="5129" w:type="dxa"/>
            <w:vAlign w:val="center"/>
          </w:tcPr>
          <w:p>
            <w:pPr>
              <w:ind w:firstLine="420" w:firstLineChars="200"/>
              <w:jc w:val="left"/>
              <w:rPr>
                <w:rFonts w:ascii="Times New Roman" w:hAnsi="Times New Roman" w:eastAsia="仿宋_GB2312" w:cs="Times New Roman"/>
                <w:highlight w:val="none"/>
              </w:rPr>
            </w:pPr>
            <w:r>
              <w:rPr>
                <w:rFonts w:hint="eastAsia" w:ascii="Times New Roman" w:hAnsi="Times New Roman" w:eastAsia="仿宋_GB2312" w:cs="Times New Roman"/>
                <w:highlight w:val="none"/>
              </w:rPr>
              <w:t>未采取补救措施，环境影响持续恶化</w:t>
            </w:r>
          </w:p>
        </w:tc>
        <w:tc>
          <w:tcPr>
            <w:tcW w:w="1468" w:type="dxa"/>
            <w:vAlign w:val="center"/>
          </w:tcPr>
          <w:p>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25" w:type="dxa"/>
            <w:vMerge w:val="restart"/>
            <w:vAlign w:val="center"/>
          </w:tcPr>
          <w:p>
            <w:pPr>
              <w:ind w:firstLine="422" w:firstLineChars="200"/>
              <w:jc w:val="left"/>
              <w:rPr>
                <w:rFonts w:ascii="宋体" w:hAnsi="宋体" w:cs="Times New Roman"/>
                <w:b/>
                <w:highlight w:val="none"/>
              </w:rPr>
            </w:pPr>
            <w:r>
              <w:rPr>
                <w:rFonts w:ascii="宋体" w:hAnsi="宋体" w:cs="Times New Roman"/>
                <w:b/>
                <w:highlight w:val="none"/>
              </w:rPr>
              <w:t>配合调查情况</w:t>
            </w:r>
          </w:p>
        </w:tc>
        <w:tc>
          <w:tcPr>
            <w:tcW w:w="5129" w:type="dxa"/>
            <w:vAlign w:val="center"/>
          </w:tcPr>
          <w:p>
            <w:pPr>
              <w:ind w:firstLine="420" w:firstLineChars="200"/>
              <w:jc w:val="left"/>
              <w:rPr>
                <w:rFonts w:ascii="Times New Roman" w:hAnsi="Times New Roman" w:eastAsia="仿宋_GB2312" w:cs="Times New Roman"/>
                <w:highlight w:val="none"/>
              </w:rPr>
            </w:pPr>
            <w:r>
              <w:rPr>
                <w:rFonts w:hint="eastAsia" w:ascii="Times New Roman" w:hAnsi="Times New Roman" w:eastAsia="仿宋_GB2312" w:cs="Times New Roman"/>
                <w:highlight w:val="none"/>
              </w:rPr>
              <w:t>提前报备，主动配合调查</w:t>
            </w:r>
          </w:p>
        </w:tc>
        <w:tc>
          <w:tcPr>
            <w:tcW w:w="1468" w:type="dxa"/>
            <w:vAlign w:val="center"/>
          </w:tcPr>
          <w:p>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25" w:type="dxa"/>
            <w:vMerge w:val="continue"/>
            <w:vAlign w:val="center"/>
          </w:tcPr>
          <w:p>
            <w:pPr>
              <w:ind w:firstLine="422" w:firstLineChars="200"/>
              <w:jc w:val="left"/>
              <w:rPr>
                <w:rFonts w:ascii="宋体" w:hAnsi="宋体" w:cs="Times New Roman"/>
                <w:b/>
                <w:highlight w:val="none"/>
              </w:rPr>
            </w:pPr>
          </w:p>
        </w:tc>
        <w:tc>
          <w:tcPr>
            <w:tcW w:w="5129" w:type="dxa"/>
            <w:vAlign w:val="center"/>
          </w:tcPr>
          <w:p>
            <w:pPr>
              <w:ind w:firstLine="420" w:firstLineChars="200"/>
              <w:jc w:val="left"/>
              <w:rPr>
                <w:rFonts w:ascii="Times New Roman" w:hAnsi="Times New Roman" w:eastAsia="仿宋_GB2312" w:cs="Times New Roman"/>
                <w:highlight w:val="none"/>
              </w:rPr>
            </w:pPr>
            <w:r>
              <w:rPr>
                <w:rFonts w:hint="eastAsia" w:ascii="Times New Roman" w:hAnsi="Times New Roman" w:eastAsia="仿宋_GB2312" w:cs="Times New Roman"/>
                <w:highlight w:val="none"/>
              </w:rPr>
              <w:t>依法配合调查</w:t>
            </w:r>
          </w:p>
        </w:tc>
        <w:tc>
          <w:tcPr>
            <w:tcW w:w="1468" w:type="dxa"/>
            <w:vAlign w:val="center"/>
          </w:tcPr>
          <w:p>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25" w:type="dxa"/>
            <w:vMerge w:val="continue"/>
          </w:tcPr>
          <w:p>
            <w:pPr>
              <w:ind w:firstLine="422" w:firstLineChars="200"/>
              <w:rPr>
                <w:rFonts w:ascii="宋体" w:hAnsi="宋体" w:cs="Times New Roman"/>
                <w:b/>
                <w:highlight w:val="none"/>
              </w:rPr>
            </w:pPr>
          </w:p>
        </w:tc>
        <w:tc>
          <w:tcPr>
            <w:tcW w:w="5129" w:type="dxa"/>
            <w:vAlign w:val="center"/>
          </w:tcPr>
          <w:p>
            <w:pPr>
              <w:ind w:firstLine="420" w:firstLineChars="200"/>
              <w:jc w:val="left"/>
              <w:rPr>
                <w:rFonts w:ascii="Times New Roman" w:hAnsi="Times New Roman" w:eastAsia="仿宋_GB2312" w:cs="Times New Roman"/>
                <w:highlight w:val="none"/>
              </w:rPr>
            </w:pPr>
            <w:r>
              <w:rPr>
                <w:rFonts w:hint="eastAsia" w:ascii="Times New Roman" w:hAnsi="Times New Roman" w:eastAsia="仿宋_GB2312" w:cs="Times New Roman"/>
                <w:highlight w:val="none"/>
              </w:rPr>
              <w:t>不配合调查</w:t>
            </w:r>
          </w:p>
        </w:tc>
        <w:tc>
          <w:tcPr>
            <w:tcW w:w="1468" w:type="dxa"/>
            <w:vAlign w:val="center"/>
          </w:tcPr>
          <w:p>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25" w:type="dxa"/>
            <w:vMerge w:val="restart"/>
            <w:vAlign w:val="center"/>
          </w:tcPr>
          <w:p>
            <w:pPr>
              <w:ind w:firstLine="422" w:firstLineChars="200"/>
              <w:jc w:val="left"/>
              <w:rPr>
                <w:rFonts w:ascii="宋体" w:hAnsi="宋体" w:cs="Times New Roman"/>
                <w:b/>
                <w:highlight w:val="none"/>
              </w:rPr>
            </w:pPr>
            <w:r>
              <w:rPr>
                <w:rFonts w:ascii="宋体" w:hAnsi="宋体" w:cs="Times New Roman"/>
                <w:b/>
                <w:highlight w:val="none"/>
              </w:rPr>
              <w:t>企业规模</w:t>
            </w:r>
          </w:p>
        </w:tc>
        <w:tc>
          <w:tcPr>
            <w:tcW w:w="5129" w:type="dxa"/>
            <w:vAlign w:val="center"/>
          </w:tcPr>
          <w:p>
            <w:pPr>
              <w:snapToGrid w:val="0"/>
              <w:ind w:firstLine="420" w:firstLineChars="200"/>
              <w:jc w:val="left"/>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微型企业、个体工商户及一般自然人</w:t>
            </w:r>
          </w:p>
        </w:tc>
        <w:tc>
          <w:tcPr>
            <w:tcW w:w="1468"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25" w:type="dxa"/>
            <w:vMerge w:val="continue"/>
            <w:vAlign w:val="center"/>
          </w:tcPr>
          <w:p>
            <w:pPr>
              <w:ind w:firstLine="422" w:firstLineChars="200"/>
              <w:jc w:val="left"/>
              <w:rPr>
                <w:rFonts w:ascii="宋体" w:hAnsi="宋体" w:cs="Times New Roman"/>
                <w:b/>
                <w:highlight w:val="none"/>
              </w:rPr>
            </w:pPr>
          </w:p>
        </w:tc>
        <w:tc>
          <w:tcPr>
            <w:tcW w:w="5129" w:type="dxa"/>
            <w:vAlign w:val="center"/>
          </w:tcPr>
          <w:p>
            <w:pPr>
              <w:snapToGrid w:val="0"/>
              <w:ind w:firstLine="420" w:firstLineChars="200"/>
              <w:jc w:val="left"/>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小型企业</w:t>
            </w:r>
          </w:p>
        </w:tc>
        <w:tc>
          <w:tcPr>
            <w:tcW w:w="1468"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25" w:type="dxa"/>
            <w:vMerge w:val="continue"/>
            <w:vAlign w:val="center"/>
          </w:tcPr>
          <w:p>
            <w:pPr>
              <w:ind w:firstLine="422" w:firstLineChars="200"/>
              <w:jc w:val="left"/>
              <w:rPr>
                <w:rFonts w:ascii="宋体" w:hAnsi="宋体" w:cs="Times New Roman"/>
                <w:b/>
                <w:highlight w:val="none"/>
              </w:rPr>
            </w:pPr>
          </w:p>
        </w:tc>
        <w:tc>
          <w:tcPr>
            <w:tcW w:w="5129" w:type="dxa"/>
            <w:vAlign w:val="center"/>
          </w:tcPr>
          <w:p>
            <w:pPr>
              <w:snapToGrid w:val="0"/>
              <w:ind w:firstLine="420" w:firstLineChars="200"/>
              <w:jc w:val="left"/>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中型企业</w:t>
            </w:r>
          </w:p>
        </w:tc>
        <w:tc>
          <w:tcPr>
            <w:tcW w:w="1468"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25" w:type="dxa"/>
            <w:vMerge w:val="continue"/>
            <w:vAlign w:val="center"/>
          </w:tcPr>
          <w:p>
            <w:pPr>
              <w:ind w:firstLine="422" w:firstLineChars="200"/>
              <w:jc w:val="left"/>
              <w:rPr>
                <w:rFonts w:ascii="宋体" w:hAnsi="宋体" w:cs="Times New Roman"/>
                <w:b/>
                <w:highlight w:val="none"/>
              </w:rPr>
            </w:pPr>
          </w:p>
        </w:tc>
        <w:tc>
          <w:tcPr>
            <w:tcW w:w="5129" w:type="dxa"/>
            <w:vAlign w:val="center"/>
          </w:tcPr>
          <w:p>
            <w:pPr>
              <w:snapToGrid w:val="0"/>
              <w:ind w:firstLine="420" w:firstLineChars="200"/>
              <w:jc w:val="left"/>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大型企业</w:t>
            </w:r>
          </w:p>
        </w:tc>
        <w:tc>
          <w:tcPr>
            <w:tcW w:w="1468"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25" w:type="dxa"/>
            <w:vMerge w:val="continue"/>
            <w:vAlign w:val="center"/>
          </w:tcPr>
          <w:p>
            <w:pPr>
              <w:ind w:firstLine="422" w:firstLineChars="200"/>
              <w:jc w:val="left"/>
              <w:rPr>
                <w:rFonts w:ascii="宋体" w:hAnsi="宋体" w:cs="Times New Roman"/>
                <w:b/>
                <w:highlight w:val="none"/>
              </w:rPr>
            </w:pPr>
          </w:p>
        </w:tc>
        <w:tc>
          <w:tcPr>
            <w:tcW w:w="5129" w:type="dxa"/>
            <w:vAlign w:val="center"/>
          </w:tcPr>
          <w:p>
            <w:pPr>
              <w:snapToGrid w:val="0"/>
              <w:ind w:firstLine="420" w:firstLineChars="200"/>
              <w:jc w:val="left"/>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央企、省属国企及上市公司</w:t>
            </w:r>
          </w:p>
        </w:tc>
        <w:tc>
          <w:tcPr>
            <w:tcW w:w="1468"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25" w:type="dxa"/>
            <w:vMerge w:val="restart"/>
            <w:vAlign w:val="center"/>
          </w:tcPr>
          <w:p>
            <w:pPr>
              <w:ind w:firstLine="422" w:firstLineChars="200"/>
              <w:jc w:val="left"/>
              <w:rPr>
                <w:rFonts w:ascii="宋体" w:hAnsi="宋体" w:cs="Times New Roman"/>
                <w:b/>
                <w:color w:val="000000"/>
                <w:highlight w:val="none"/>
              </w:rPr>
            </w:pPr>
            <w:r>
              <w:rPr>
                <w:rFonts w:ascii="宋体" w:hAnsi="宋体" w:cs="Times New Roman"/>
                <w:b/>
                <w:color w:val="000000"/>
                <w:highlight w:val="none"/>
              </w:rPr>
              <w:t>违法次数</w:t>
            </w:r>
          </w:p>
          <w:p>
            <w:pPr>
              <w:jc w:val="left"/>
              <w:rPr>
                <w:rFonts w:ascii="宋体" w:hAnsi="宋体" w:cs="Times New Roman"/>
                <w:b/>
                <w:bCs/>
                <w:color w:val="000000"/>
                <w:highlight w:val="none"/>
              </w:rPr>
            </w:pPr>
            <w:r>
              <w:rPr>
                <w:rFonts w:ascii="宋体" w:hAnsi="宋体" w:cs="Times New Roman"/>
                <w:b/>
                <w:color w:val="000000"/>
                <w:highlight w:val="none"/>
              </w:rPr>
              <w:t>（两年内，含本次）</w:t>
            </w:r>
          </w:p>
        </w:tc>
        <w:tc>
          <w:tcPr>
            <w:tcW w:w="5129" w:type="dxa"/>
            <w:vAlign w:val="center"/>
          </w:tcPr>
          <w:p>
            <w:pPr>
              <w:snapToGrid w:val="0"/>
              <w:ind w:firstLine="420" w:firstLineChars="200"/>
              <w:jc w:val="left"/>
              <w:rPr>
                <w:rFonts w:ascii="Times New Roman" w:hAnsi="Times New Roman" w:eastAsia="仿宋_GB2312" w:cs="Times New Roman"/>
                <w:color w:val="000000"/>
                <w:highlight w:val="none"/>
              </w:rPr>
            </w:pPr>
            <w:r>
              <w:rPr>
                <w:rFonts w:ascii="Times New Roman" w:hAnsi="Times New Roman" w:eastAsia="仿宋_GB2312" w:cs="仿宋_GB2312"/>
                <w:color w:val="000000"/>
                <w:highlight w:val="none"/>
              </w:rPr>
              <w:t>1</w:t>
            </w:r>
            <w:r>
              <w:rPr>
                <w:rFonts w:hint="eastAsia" w:ascii="Times New Roman" w:hAnsi="Times New Roman" w:eastAsia="仿宋_GB2312" w:cs="仿宋_GB2312"/>
                <w:color w:val="000000"/>
                <w:highlight w:val="none"/>
              </w:rPr>
              <w:t>次</w:t>
            </w:r>
          </w:p>
        </w:tc>
        <w:tc>
          <w:tcPr>
            <w:tcW w:w="1468"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25" w:type="dxa"/>
            <w:vMerge w:val="continue"/>
            <w:vAlign w:val="center"/>
          </w:tcPr>
          <w:p>
            <w:pPr>
              <w:ind w:firstLine="422" w:firstLineChars="200"/>
              <w:rPr>
                <w:rFonts w:ascii="宋体" w:hAnsi="宋体" w:cs="Times New Roman"/>
                <w:b/>
                <w:color w:val="000000"/>
                <w:highlight w:val="none"/>
              </w:rPr>
            </w:pPr>
          </w:p>
        </w:tc>
        <w:tc>
          <w:tcPr>
            <w:tcW w:w="5129" w:type="dxa"/>
            <w:vAlign w:val="center"/>
          </w:tcPr>
          <w:p>
            <w:pPr>
              <w:ind w:firstLine="420" w:firstLineChars="200"/>
              <w:jc w:val="left"/>
              <w:rPr>
                <w:rFonts w:ascii="Times New Roman" w:hAnsi="Times New Roman" w:eastAsia="仿宋_GB2312" w:cs="Times New Roman"/>
                <w:color w:val="000000"/>
                <w:highlight w:val="none"/>
              </w:rPr>
            </w:pPr>
            <w:r>
              <w:rPr>
                <w:rFonts w:ascii="Times New Roman" w:hAnsi="Times New Roman" w:eastAsia="仿宋_GB2312" w:cs="仿宋_GB2312"/>
                <w:color w:val="000000"/>
                <w:highlight w:val="none"/>
              </w:rPr>
              <w:t>2</w:t>
            </w:r>
            <w:r>
              <w:rPr>
                <w:rFonts w:hint="eastAsia" w:ascii="Times New Roman" w:hAnsi="Times New Roman" w:eastAsia="仿宋_GB2312" w:cs="仿宋_GB2312"/>
                <w:color w:val="000000"/>
                <w:highlight w:val="none"/>
              </w:rPr>
              <w:t>次</w:t>
            </w:r>
          </w:p>
        </w:tc>
        <w:tc>
          <w:tcPr>
            <w:tcW w:w="1468" w:type="dxa"/>
            <w:vAlign w:val="center"/>
          </w:tcPr>
          <w:p>
            <w:pPr>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25" w:type="dxa"/>
            <w:vMerge w:val="continue"/>
            <w:vAlign w:val="center"/>
          </w:tcPr>
          <w:p>
            <w:pPr>
              <w:ind w:firstLine="422" w:firstLineChars="200"/>
              <w:rPr>
                <w:rFonts w:ascii="宋体" w:hAnsi="宋体" w:cs="Times New Roman"/>
                <w:b/>
                <w:color w:val="000000"/>
                <w:highlight w:val="none"/>
              </w:rPr>
            </w:pPr>
          </w:p>
        </w:tc>
        <w:tc>
          <w:tcPr>
            <w:tcW w:w="5129" w:type="dxa"/>
            <w:vAlign w:val="center"/>
          </w:tcPr>
          <w:p>
            <w:pPr>
              <w:ind w:firstLine="420" w:firstLineChars="200"/>
              <w:jc w:val="left"/>
              <w:rPr>
                <w:rFonts w:ascii="Times New Roman" w:hAnsi="Times New Roman" w:eastAsia="仿宋_GB2312" w:cs="Times New Roman"/>
                <w:color w:val="000000"/>
                <w:highlight w:val="none"/>
              </w:rPr>
            </w:pPr>
            <w:r>
              <w:rPr>
                <w:rFonts w:ascii="Times New Roman" w:hAnsi="Times New Roman" w:eastAsia="仿宋_GB2312" w:cs="仿宋_GB2312"/>
                <w:color w:val="000000"/>
                <w:highlight w:val="none"/>
              </w:rPr>
              <w:t>3</w:t>
            </w:r>
            <w:r>
              <w:rPr>
                <w:rFonts w:hint="eastAsia" w:ascii="Times New Roman" w:hAnsi="Times New Roman" w:eastAsia="仿宋_GB2312" w:cs="仿宋_GB2312"/>
                <w:color w:val="000000"/>
                <w:highlight w:val="none"/>
              </w:rPr>
              <w:t>次</w:t>
            </w:r>
          </w:p>
        </w:tc>
        <w:tc>
          <w:tcPr>
            <w:tcW w:w="1468" w:type="dxa"/>
            <w:vAlign w:val="center"/>
          </w:tcPr>
          <w:p>
            <w:pPr>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25" w:type="dxa"/>
            <w:vMerge w:val="continue"/>
            <w:vAlign w:val="center"/>
          </w:tcPr>
          <w:p>
            <w:pPr>
              <w:ind w:firstLine="422" w:firstLineChars="200"/>
              <w:rPr>
                <w:rFonts w:ascii="宋体" w:hAnsi="宋体" w:cs="Times New Roman"/>
                <w:b/>
                <w:color w:val="000000"/>
                <w:highlight w:val="none"/>
              </w:rPr>
            </w:pPr>
          </w:p>
        </w:tc>
        <w:tc>
          <w:tcPr>
            <w:tcW w:w="5129" w:type="dxa"/>
            <w:vAlign w:val="center"/>
          </w:tcPr>
          <w:p>
            <w:pPr>
              <w:ind w:firstLine="420" w:firstLineChars="200"/>
              <w:jc w:val="left"/>
              <w:rPr>
                <w:rFonts w:ascii="Times New Roman" w:hAnsi="Times New Roman" w:eastAsia="仿宋_GB2312" w:cs="Times New Roman"/>
                <w:color w:val="000000"/>
                <w:highlight w:val="none"/>
              </w:rPr>
            </w:pPr>
            <w:r>
              <w:rPr>
                <w:rFonts w:ascii="Times New Roman" w:hAnsi="Times New Roman" w:eastAsia="仿宋_GB2312" w:cs="仿宋_GB2312"/>
                <w:color w:val="000000"/>
                <w:highlight w:val="none"/>
              </w:rPr>
              <w:t>4</w:t>
            </w:r>
            <w:r>
              <w:rPr>
                <w:rFonts w:hint="eastAsia" w:ascii="Times New Roman" w:hAnsi="Times New Roman" w:eastAsia="仿宋_GB2312" w:cs="仿宋_GB2312"/>
                <w:color w:val="000000"/>
                <w:highlight w:val="none"/>
              </w:rPr>
              <w:t>次</w:t>
            </w:r>
          </w:p>
        </w:tc>
        <w:tc>
          <w:tcPr>
            <w:tcW w:w="1468" w:type="dxa"/>
            <w:vAlign w:val="center"/>
          </w:tcPr>
          <w:p>
            <w:pPr>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25" w:type="dxa"/>
            <w:vMerge w:val="continue"/>
            <w:vAlign w:val="center"/>
          </w:tcPr>
          <w:p>
            <w:pPr>
              <w:ind w:firstLine="422" w:firstLineChars="200"/>
              <w:rPr>
                <w:rFonts w:ascii="宋体" w:hAnsi="宋体" w:cs="Times New Roman"/>
                <w:b/>
                <w:color w:val="000000"/>
                <w:highlight w:val="none"/>
              </w:rPr>
            </w:pPr>
          </w:p>
        </w:tc>
        <w:tc>
          <w:tcPr>
            <w:tcW w:w="5129" w:type="dxa"/>
            <w:vAlign w:val="center"/>
          </w:tcPr>
          <w:p>
            <w:pPr>
              <w:ind w:firstLine="420" w:firstLineChars="200"/>
              <w:jc w:val="left"/>
              <w:rPr>
                <w:rFonts w:ascii="Times New Roman" w:hAnsi="Times New Roman" w:eastAsia="仿宋_GB2312" w:cs="Times New Roman"/>
                <w:color w:val="000000"/>
                <w:highlight w:val="none"/>
              </w:rPr>
            </w:pPr>
            <w:r>
              <w:rPr>
                <w:rFonts w:ascii="Times New Roman" w:hAnsi="Times New Roman" w:eastAsia="仿宋_GB2312" w:cs="仿宋_GB2312"/>
                <w:color w:val="000000"/>
                <w:highlight w:val="none"/>
              </w:rPr>
              <w:t>5</w:t>
            </w:r>
            <w:r>
              <w:rPr>
                <w:rFonts w:hint="eastAsia" w:ascii="Times New Roman" w:hAnsi="Times New Roman" w:eastAsia="仿宋_GB2312" w:cs="仿宋_GB2312"/>
                <w:color w:val="000000"/>
                <w:highlight w:val="none"/>
              </w:rPr>
              <w:t>次及以上</w:t>
            </w:r>
          </w:p>
        </w:tc>
        <w:tc>
          <w:tcPr>
            <w:tcW w:w="1468" w:type="dxa"/>
            <w:vAlign w:val="center"/>
          </w:tcPr>
          <w:p>
            <w:pPr>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25" w:type="dxa"/>
            <w:vMerge w:val="restart"/>
            <w:vAlign w:val="center"/>
          </w:tcPr>
          <w:p>
            <w:pPr>
              <w:snapToGrid w:val="0"/>
              <w:jc w:val="center"/>
              <w:rPr>
                <w:rFonts w:ascii="宋体" w:hAnsi="宋体" w:cs="Times New Roman"/>
                <w:b/>
                <w:bCs/>
                <w:color w:val="000000"/>
                <w:highlight w:val="none"/>
              </w:rPr>
            </w:pPr>
            <w:r>
              <w:rPr>
                <w:rFonts w:ascii="宋体" w:hAnsi="宋体" w:cs="Times New Roman"/>
                <w:b/>
                <w:highlight w:val="none"/>
              </w:rPr>
              <w:t>对环境污染、生态环境破坏程度</w:t>
            </w:r>
          </w:p>
        </w:tc>
        <w:tc>
          <w:tcPr>
            <w:tcW w:w="5129" w:type="dxa"/>
            <w:vAlign w:val="center"/>
          </w:tcPr>
          <w:p>
            <w:pPr>
              <w:adjustRightInd w:val="0"/>
              <w:snapToGrid w:val="0"/>
              <w:ind w:firstLine="420" w:firstLineChars="200"/>
              <w:jc w:val="left"/>
              <w:rPr>
                <w:rFonts w:ascii="Times New Roman" w:hAnsi="Times New Roman" w:eastAsia="仿宋_GB2312" w:cs="Times New Roman"/>
                <w:color w:val="000000"/>
                <w:highlight w:val="none"/>
              </w:rPr>
            </w:pPr>
            <w:r>
              <w:rPr>
                <w:rFonts w:hint="eastAsia" w:ascii="Times New Roman" w:hAnsi="Times New Roman" w:eastAsia="仿宋_GB2312" w:cs="仿宋_GB2312"/>
                <w:highlight w:val="none"/>
              </w:rPr>
              <w:t>未造成环境污染</w:t>
            </w:r>
            <w:r>
              <w:rPr>
                <w:rFonts w:ascii="Times New Roman" w:hAnsi="Times New Roman" w:eastAsia="仿宋_GB2312" w:cs="仿宋_GB2312"/>
                <w:highlight w:val="none"/>
              </w:rPr>
              <w:t>、</w:t>
            </w:r>
            <w:r>
              <w:rPr>
                <w:rFonts w:hint="eastAsia" w:ascii="Times New Roman" w:hAnsi="Times New Roman" w:eastAsia="仿宋_GB2312" w:cs="仿宋_GB2312"/>
                <w:highlight w:val="none"/>
              </w:rPr>
              <w:t>生态环境破坏的</w:t>
            </w:r>
          </w:p>
        </w:tc>
        <w:tc>
          <w:tcPr>
            <w:tcW w:w="1468"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仿宋_GB2312"/>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25" w:type="dxa"/>
            <w:vMerge w:val="continue"/>
            <w:vAlign w:val="center"/>
          </w:tcPr>
          <w:p>
            <w:pPr>
              <w:ind w:firstLine="420" w:firstLineChars="200"/>
              <w:rPr>
                <w:rFonts w:ascii="Times New Roman" w:hAnsi="Times New Roman" w:eastAsia="仿宋_GB2312" w:cs="Times New Roman"/>
                <w:highlight w:val="none"/>
              </w:rPr>
            </w:pPr>
          </w:p>
        </w:tc>
        <w:tc>
          <w:tcPr>
            <w:tcW w:w="5129" w:type="dxa"/>
            <w:vAlign w:val="center"/>
          </w:tcPr>
          <w:p>
            <w:pPr>
              <w:ind w:firstLine="420" w:firstLineChars="200"/>
              <w:jc w:val="left"/>
              <w:rPr>
                <w:rFonts w:ascii="Times New Roman" w:hAnsi="Times New Roman" w:eastAsia="仿宋_GB2312" w:cs="Times New Roman"/>
                <w:highlight w:val="none"/>
              </w:rPr>
            </w:pPr>
            <w:r>
              <w:rPr>
                <w:rFonts w:hint="eastAsia" w:ascii="Times New Roman" w:hAnsi="Times New Roman" w:eastAsia="仿宋_GB2312" w:cs="仿宋_GB2312"/>
                <w:highlight w:val="none"/>
              </w:rPr>
              <w:t>造成社会影响或环境</w:t>
            </w:r>
            <w:r>
              <w:rPr>
                <w:rFonts w:ascii="Times New Roman" w:hAnsi="Times New Roman" w:eastAsia="仿宋_GB2312" w:cs="仿宋_GB2312"/>
                <w:highlight w:val="none"/>
              </w:rPr>
              <w:t>污染、</w:t>
            </w:r>
            <w:r>
              <w:rPr>
                <w:rFonts w:hint="eastAsia" w:ascii="Times New Roman" w:hAnsi="Times New Roman" w:eastAsia="仿宋_GB2312" w:cs="仿宋_GB2312"/>
                <w:highlight w:val="none"/>
              </w:rPr>
              <w:t>生态环境破坏轻微的</w:t>
            </w:r>
          </w:p>
        </w:tc>
        <w:tc>
          <w:tcPr>
            <w:tcW w:w="1468" w:type="dxa"/>
            <w:vAlign w:val="center"/>
          </w:tcPr>
          <w:p>
            <w:pPr>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25" w:type="dxa"/>
            <w:vMerge w:val="continue"/>
            <w:vAlign w:val="center"/>
          </w:tcPr>
          <w:p>
            <w:pPr>
              <w:ind w:firstLine="420" w:firstLineChars="200"/>
              <w:rPr>
                <w:rFonts w:ascii="Times New Roman" w:hAnsi="Times New Roman" w:eastAsia="仿宋_GB2312" w:cs="Times New Roman"/>
                <w:highlight w:val="none"/>
              </w:rPr>
            </w:pPr>
          </w:p>
        </w:tc>
        <w:tc>
          <w:tcPr>
            <w:tcW w:w="5129" w:type="dxa"/>
            <w:vAlign w:val="center"/>
          </w:tcPr>
          <w:p>
            <w:pPr>
              <w:ind w:firstLine="420" w:firstLineChars="200"/>
              <w:jc w:val="left"/>
              <w:rPr>
                <w:rFonts w:ascii="Times New Roman" w:hAnsi="Times New Roman" w:eastAsia="仿宋_GB2312" w:cs="Times New Roman"/>
                <w:highlight w:val="none"/>
              </w:rPr>
            </w:pPr>
            <w:r>
              <w:rPr>
                <w:rFonts w:hint="eastAsia" w:ascii="Times New Roman" w:hAnsi="Times New Roman" w:eastAsia="仿宋_GB2312" w:cs="仿宋_GB2312"/>
                <w:highlight w:val="none"/>
              </w:rPr>
              <w:t>造成社会影响或环境污染</w:t>
            </w:r>
            <w:r>
              <w:rPr>
                <w:rFonts w:ascii="Times New Roman" w:hAnsi="Times New Roman" w:eastAsia="仿宋_GB2312" w:cs="仿宋_GB2312"/>
                <w:highlight w:val="none"/>
              </w:rPr>
              <w:t>、</w:t>
            </w:r>
            <w:r>
              <w:rPr>
                <w:rFonts w:hint="eastAsia" w:ascii="Times New Roman" w:hAnsi="Times New Roman" w:eastAsia="仿宋_GB2312" w:cs="仿宋_GB2312"/>
                <w:highlight w:val="none"/>
              </w:rPr>
              <w:t>生态环境破坏严重的</w:t>
            </w:r>
          </w:p>
        </w:tc>
        <w:tc>
          <w:tcPr>
            <w:tcW w:w="1468" w:type="dxa"/>
            <w:vAlign w:val="center"/>
          </w:tcPr>
          <w:p>
            <w:pPr>
              <w:jc w:val="center"/>
              <w:rPr>
                <w:rFonts w:ascii="Times New Roman" w:hAnsi="Times New Roman" w:eastAsia="仿宋_GB2312" w:cs="Times New Roman"/>
                <w:highlight w:val="none"/>
              </w:rPr>
            </w:pPr>
            <w:r>
              <w:rPr>
                <w:rFonts w:ascii="Times New Roman" w:hAnsi="Times New Roman" w:eastAsia="仿宋_GB2312" w:cs="仿宋_GB2312"/>
                <w:highlight w:val="none"/>
              </w:rPr>
              <w:t>2</w:t>
            </w:r>
          </w:p>
        </w:tc>
      </w:tr>
    </w:tbl>
    <w:p>
      <w:pPr>
        <w:snapToGrid w:val="0"/>
        <w:jc w:val="left"/>
        <w:rPr>
          <w:rFonts w:ascii="Times New Roman" w:hAnsi="Times New Roman" w:eastAsia="仿宋_GB2312" w:cs="Times New Roman"/>
          <w:sz w:val="10"/>
          <w:szCs w:val="10"/>
          <w:highlight w:val="none"/>
        </w:rPr>
      </w:pPr>
      <w:r>
        <w:rPr>
          <w:rFonts w:ascii="Times New Roman" w:hAnsi="Times New Roman" w:eastAsia="仿宋_GB2312" w:cs="Times New Roman"/>
          <w:sz w:val="32"/>
          <w:szCs w:val="32"/>
          <w:highlight w:val="none"/>
        </w:rPr>
        <w:br w:type="page"/>
      </w:r>
    </w:p>
    <w:p>
      <w:pPr>
        <w:widowControl/>
        <w:snapToGrid w:val="0"/>
        <w:spacing w:line="360" w:lineRule="auto"/>
        <w:jc w:val="center"/>
        <w:outlineLvl w:val="0"/>
        <w:rPr>
          <w:rFonts w:ascii="Times New Roman" w:hAnsi="Times New Roman" w:eastAsia="方正小标宋简体" w:cs="Times New Roman"/>
          <w:b/>
          <w:bCs/>
          <w:sz w:val="44"/>
          <w:szCs w:val="44"/>
          <w:highlight w:val="none"/>
        </w:rPr>
      </w:pPr>
      <w:bookmarkStart w:id="12" w:name="_Toc25240279"/>
      <w:bookmarkStart w:id="13" w:name="_Toc91081266"/>
      <w:r>
        <w:rPr>
          <w:rFonts w:hint="eastAsia" w:ascii="Times New Roman" w:hAnsi="Times New Roman" w:eastAsia="方正小标宋简体" w:cs="方正小标宋简体"/>
          <w:b/>
          <w:bCs/>
          <w:sz w:val="44"/>
          <w:szCs w:val="44"/>
          <w:highlight w:val="none"/>
        </w:rPr>
        <w:t>山东省生态环境行政处罚裁量表</w:t>
      </w:r>
      <w:bookmarkEnd w:id="12"/>
      <w:bookmarkEnd w:id="13"/>
    </w:p>
    <w:p>
      <w:pPr>
        <w:widowControl/>
        <w:numPr>
          <w:ilvl w:val="255"/>
          <w:numId w:val="0"/>
        </w:numPr>
        <w:snapToGrid w:val="0"/>
        <w:spacing w:line="360" w:lineRule="auto"/>
        <w:jc w:val="center"/>
        <w:outlineLvl w:val="0"/>
        <w:rPr>
          <w:rFonts w:ascii="Times New Roman" w:hAnsi="Times New Roman" w:eastAsia="方正小标宋简体" w:cs="Times New Roman"/>
          <w:b/>
          <w:bCs/>
          <w:sz w:val="44"/>
          <w:szCs w:val="44"/>
          <w:highlight w:val="none"/>
        </w:rPr>
      </w:pPr>
      <w:bookmarkStart w:id="14" w:name="_Toc25240280"/>
      <w:bookmarkStart w:id="15" w:name="_Toc91081267"/>
      <w:r>
        <w:rPr>
          <w:rFonts w:hint="eastAsia" w:ascii="Times New Roman" w:hAnsi="Times New Roman" w:eastAsia="方正小标宋简体" w:cs="方正小标宋简体"/>
          <w:b/>
          <w:bCs/>
          <w:sz w:val="44"/>
          <w:szCs w:val="44"/>
          <w:highlight w:val="none"/>
        </w:rPr>
        <w:t>一、专项处罚裁量表</w:t>
      </w:r>
      <w:bookmarkEnd w:id="14"/>
      <w:bookmarkEnd w:id="15"/>
    </w:p>
    <w:p>
      <w:pPr>
        <w:widowControl/>
        <w:snapToGrid w:val="0"/>
        <w:spacing w:line="360" w:lineRule="auto"/>
        <w:jc w:val="center"/>
        <w:outlineLvl w:val="1"/>
        <w:rPr>
          <w:rFonts w:ascii="Times New Roman" w:hAnsi="Times New Roman" w:eastAsia="仿宋_GB2312" w:cs="Times New Roman"/>
          <w:b/>
          <w:bCs/>
          <w:sz w:val="32"/>
          <w:szCs w:val="32"/>
          <w:highlight w:val="none"/>
        </w:rPr>
      </w:pPr>
      <w:bookmarkStart w:id="16" w:name="_Toc25240281"/>
      <w:bookmarkStart w:id="17" w:name="_Toc91081268"/>
      <w:r>
        <w:rPr>
          <w:rFonts w:hint="eastAsia" w:ascii="Times New Roman" w:hAnsi="Times New Roman" w:eastAsia="仿宋_GB2312" w:cs="仿宋_GB2312"/>
          <w:b/>
          <w:bCs/>
          <w:sz w:val="32"/>
          <w:szCs w:val="32"/>
          <w:highlight w:val="none"/>
        </w:rPr>
        <w:t>（一）建设项目管理类</w:t>
      </w:r>
      <w:bookmarkEnd w:id="16"/>
      <w:bookmarkEnd w:id="17"/>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1.</w:t>
      </w:r>
      <w:r>
        <w:rPr>
          <w:rFonts w:hint="eastAsia" w:ascii="Times New Roman" w:hAnsi="Times New Roman" w:eastAsia="仿宋_GB2312" w:cs="仿宋_GB2312"/>
          <w:color w:val="000000"/>
          <w:kern w:val="0"/>
          <w:sz w:val="32"/>
          <w:szCs w:val="32"/>
          <w:highlight w:val="none"/>
        </w:rPr>
        <w:t>环境影响报告书、报告表未依法报批或者报请重新审核，擅自开工建设，或者环境影响报告书、报告表未经批准或者重新审核同意，擅自开工建设的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2.</w:t>
      </w:r>
      <w:r>
        <w:rPr>
          <w:rFonts w:hint="eastAsia" w:ascii="Times New Roman" w:hAnsi="Times New Roman" w:eastAsia="仿宋_GB2312" w:cs="仿宋_GB2312"/>
          <w:color w:val="000000"/>
          <w:kern w:val="0"/>
          <w:sz w:val="32"/>
          <w:szCs w:val="32"/>
          <w:highlight w:val="none"/>
        </w:rPr>
        <w:t>环境影响登记表未依法备案的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3.</w:t>
      </w:r>
      <w:r>
        <w:rPr>
          <w:rFonts w:hint="eastAsia" w:ascii="Times New Roman" w:hAnsi="Times New Roman" w:eastAsia="仿宋_GB2312" w:cs="仿宋_GB2312"/>
          <w:color w:val="000000"/>
          <w:kern w:val="0"/>
          <w:sz w:val="32"/>
          <w:szCs w:val="32"/>
          <w:highlight w:val="none"/>
        </w:rPr>
        <w:t>建设项目环境影响报告书、环境影响报告表存在基础资料明显不实，内容存在重大缺陷、遗漏或者虚假，环境影响评价结论不正确或者不合理等严重质量问题的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4.</w:t>
      </w:r>
      <w:r>
        <w:rPr>
          <w:rFonts w:hint="eastAsia" w:ascii="Times New Roman" w:hAnsi="Times New Roman" w:eastAsia="仿宋_GB2312" w:cs="仿宋_GB2312"/>
          <w:color w:val="000000"/>
          <w:kern w:val="0"/>
          <w:sz w:val="32"/>
          <w:szCs w:val="32"/>
          <w:highlight w:val="none"/>
        </w:rPr>
        <w:t>接受委托编制建设项目环境影响报告书、环境影响报告表的技术单位，违反有关环境影响评价标准和技术规范等规定，致使其编制的建设项目环境影响报告书、环境影响报告表存在基础资料明显不实，内容存在重大缺陷、遗漏或者虚假，环境影响评价结论不正确或者不合理等严重质量问题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5.</w:t>
      </w:r>
      <w:r>
        <w:rPr>
          <w:rFonts w:hint="eastAsia" w:ascii="Times New Roman" w:hAnsi="Times New Roman" w:eastAsia="仿宋_GB2312" w:cs="仿宋_GB2312"/>
          <w:color w:val="000000"/>
          <w:kern w:val="0"/>
          <w:sz w:val="32"/>
          <w:szCs w:val="32"/>
          <w:highlight w:val="none"/>
        </w:rPr>
        <w:t>编制建设项目初步设计未落实防治环境污染和生态破坏的措施以及环境保护设施投资概算，或者未将环境保护设施建设纳入施工合同的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6.</w:t>
      </w:r>
      <w:r>
        <w:rPr>
          <w:rFonts w:hint="eastAsia" w:ascii="Times New Roman" w:hAnsi="Times New Roman" w:eastAsia="仿宋_GB2312" w:cs="仿宋_GB2312"/>
          <w:color w:val="000000"/>
          <w:kern w:val="0"/>
          <w:sz w:val="32"/>
          <w:szCs w:val="32"/>
          <w:highlight w:val="none"/>
        </w:rPr>
        <w:t>未依法开展环境影响后评价的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7.</w:t>
      </w:r>
      <w:r>
        <w:rPr>
          <w:rFonts w:hint="eastAsia" w:ascii="Times New Roman" w:hAnsi="Times New Roman" w:eastAsia="仿宋_GB2312" w:cs="仿宋_GB2312"/>
          <w:color w:val="000000"/>
          <w:kern w:val="0"/>
          <w:sz w:val="32"/>
          <w:szCs w:val="32"/>
          <w:highlight w:val="none"/>
        </w:rPr>
        <w:t>未同时组织实施环境影响报告书、环境影响报告表及其审批部门审批决定中提出的环境保护对策措施的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8.</w:t>
      </w:r>
      <w:r>
        <w:rPr>
          <w:rFonts w:hint="eastAsia" w:ascii="Times New Roman" w:hAnsi="Times New Roman" w:eastAsia="仿宋_GB2312" w:cs="仿宋_GB2312"/>
          <w:color w:val="000000"/>
          <w:kern w:val="0"/>
          <w:sz w:val="32"/>
          <w:szCs w:val="32"/>
          <w:highlight w:val="none"/>
        </w:rPr>
        <w:t>需要配套建设的环境保护设施未建成、未经验收或者验收不合格，建设项目即投入生产或使用的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9.</w:t>
      </w:r>
      <w:r>
        <w:rPr>
          <w:rFonts w:hint="eastAsia" w:ascii="Times New Roman" w:hAnsi="Times New Roman" w:eastAsia="仿宋_GB2312" w:cs="仿宋_GB2312"/>
          <w:color w:val="000000"/>
          <w:kern w:val="0"/>
          <w:sz w:val="32"/>
          <w:szCs w:val="32"/>
          <w:highlight w:val="none"/>
        </w:rPr>
        <w:t>在环境保护设施验收中弄虚作假的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10.</w:t>
      </w:r>
      <w:r>
        <w:rPr>
          <w:rFonts w:hint="eastAsia" w:ascii="Times New Roman" w:hAnsi="Times New Roman" w:eastAsia="仿宋_GB2312" w:cs="仿宋_GB2312"/>
          <w:color w:val="000000"/>
          <w:kern w:val="0"/>
          <w:sz w:val="32"/>
          <w:szCs w:val="32"/>
          <w:highlight w:val="none"/>
        </w:rPr>
        <w:t>建设单位未依法向社会公开环境保护设施验收报告的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11.</w:t>
      </w:r>
      <w:r>
        <w:rPr>
          <w:rFonts w:hint="eastAsia" w:ascii="Times New Roman" w:hAnsi="Times New Roman" w:eastAsia="仿宋_GB2312" w:cs="仿宋_GB2312"/>
          <w:color w:val="000000"/>
          <w:kern w:val="0"/>
          <w:sz w:val="32"/>
          <w:szCs w:val="32"/>
          <w:highlight w:val="none"/>
        </w:rPr>
        <w:t>建设单位在组织编制环境影响评价文件中提供虚假数据和资料，或者向生态环境行政主管部门提供虚假的意见和意见采纳情况说明的</w:t>
      </w:r>
    </w:p>
    <w:p>
      <w:pPr>
        <w:snapToGrid w:val="0"/>
        <w:rPr>
          <w:rFonts w:ascii="Times New Roman" w:hAnsi="Times New Roman" w:cs="Times New Roman"/>
          <w:color w:val="000000"/>
          <w:sz w:val="10"/>
          <w:szCs w:val="10"/>
          <w:highlight w:val="none"/>
        </w:rPr>
      </w:pPr>
      <w:r>
        <w:rPr>
          <w:rFonts w:ascii="Times New Roman" w:hAnsi="Times New Roman" w:cs="Times New Roman"/>
          <w:color w:val="000000"/>
          <w:highlight w:val="none"/>
        </w:rPr>
        <w:br w:type="page"/>
      </w:r>
    </w:p>
    <w:tbl>
      <w:tblPr>
        <w:tblStyle w:val="14"/>
        <w:tblW w:w="920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500"/>
        <w:gridCol w:w="2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（一）建设项目管理类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938" w:type="dxa"/>
            <w:gridSpan w:val="2"/>
            <w:vAlign w:val="center"/>
          </w:tcPr>
          <w:p>
            <w:pPr>
              <w:snapToGrid w:val="0"/>
              <w:spacing w:line="288" w:lineRule="auto"/>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38" w:type="dxa"/>
            <w:gridSpan w:val="2"/>
          </w:tcPr>
          <w:p>
            <w:pPr>
              <w:snapToGrid w:val="0"/>
              <w:spacing w:before="93" w:beforeLines="30" w:line="288" w:lineRule="auto"/>
              <w:ind w:firstLine="420" w:firstLineChars="200"/>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环境影响报告书、报告表未依法报批或者报请重新审核，擅自开工建设，或者环境影响报告书、报告表未经批准或者重新审核同意，擅自开工建设的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违反条款</w:t>
            </w:r>
          </w:p>
        </w:tc>
        <w:tc>
          <w:tcPr>
            <w:tcW w:w="7938" w:type="dxa"/>
            <w:gridSpan w:val="2"/>
          </w:tcPr>
          <w:p>
            <w:pPr>
              <w:snapToGrid w:val="0"/>
              <w:spacing w:before="93" w:beforeLines="30" w:line="288" w:lineRule="auto"/>
              <w:ind w:firstLine="482"/>
              <w:rPr>
                <w:rFonts w:ascii="Times New Roman" w:hAnsi="Times New Roman" w:eastAsia="仿宋_GB2312" w:cs="Times New Roman"/>
                <w:color w:val="000000"/>
                <w:highlight w:val="none"/>
              </w:rPr>
            </w:pPr>
            <w:r>
              <w:rPr>
                <w:rFonts w:ascii="Times New Roman" w:hAnsi="Times New Roman" w:eastAsia="仿宋_GB2312" w:cs="Times New Roman"/>
                <w:b/>
                <w:bCs/>
                <w:color w:val="000000"/>
                <w:highlight w:val="none"/>
              </w:rPr>
              <w:t>1.</w:t>
            </w:r>
            <w:r>
              <w:rPr>
                <w:rFonts w:hint="eastAsia" w:ascii="Times New Roman" w:hAnsi="Times New Roman" w:eastAsia="仿宋_GB2312" w:cs="仿宋_GB2312"/>
                <w:b/>
                <w:bCs/>
                <w:color w:val="000000"/>
                <w:highlight w:val="none"/>
              </w:rPr>
              <w:t>《中华人民共和国环境影响评价法》第二十四条</w:t>
            </w:r>
            <w:r>
              <w:rPr>
                <w:rFonts w:ascii="Times New Roman" w:hAnsi="Times New Roman" w:eastAsia="仿宋_GB2312" w:cs="Times New Roman"/>
                <w:color w:val="000000"/>
                <w:highlight w:val="none"/>
              </w:rPr>
              <w:t xml:space="preserve"> </w:t>
            </w:r>
            <w:r>
              <w:rPr>
                <w:rFonts w:hint="eastAsia" w:ascii="Times New Roman" w:hAnsi="Times New Roman" w:eastAsia="仿宋_GB2312" w:cs="仿宋_GB2312"/>
                <w:color w:val="000000"/>
                <w:highlight w:val="none"/>
              </w:rPr>
              <w:t>建设项目的环境影响评价文件经批准后，建设项目的性质、规模、地点、采用的生产工艺或者防治污染、防止生态破坏的措施发生重大变动的，建设单位应当重新报批建设项目的环境影响评价文件。</w:t>
            </w:r>
          </w:p>
          <w:p>
            <w:pPr>
              <w:snapToGrid w:val="0"/>
              <w:spacing w:line="288" w:lineRule="auto"/>
              <w:ind w:firstLine="420"/>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建设项目的环境影响评价文件自批准之日起超过五年，方决定该项目开工建设的，其环境影响评价文件应当报原审批部门重新审核；原审批部门应当自收到建设项目环境影响评价文件之日起十日内，将审核意见书面通知建设单位。</w:t>
            </w:r>
          </w:p>
          <w:p>
            <w:pPr>
              <w:pStyle w:val="12"/>
              <w:snapToGrid w:val="0"/>
              <w:spacing w:before="0" w:beforeAutospacing="0" w:after="0" w:afterAutospacing="0" w:line="288" w:lineRule="auto"/>
              <w:ind w:firstLine="480"/>
              <w:rPr>
                <w:rFonts w:ascii="Times New Roman" w:hAnsi="Times New Roman" w:eastAsia="仿宋_GB2312" w:cs="Times New Roman"/>
                <w:color w:val="000000"/>
                <w:sz w:val="21"/>
                <w:szCs w:val="21"/>
                <w:highlight w:val="none"/>
              </w:rPr>
            </w:pPr>
            <w:r>
              <w:rPr>
                <w:rFonts w:ascii="Times New Roman" w:hAnsi="Times New Roman" w:eastAsia="仿宋_GB2312" w:cs="Times New Roman"/>
                <w:b/>
                <w:bCs/>
                <w:color w:val="000000"/>
                <w:sz w:val="21"/>
                <w:szCs w:val="21"/>
                <w:highlight w:val="none"/>
              </w:rPr>
              <w:t>2.</w:t>
            </w:r>
            <w:r>
              <w:rPr>
                <w:rFonts w:hint="eastAsia" w:ascii="Times New Roman" w:hAnsi="Times New Roman" w:eastAsia="仿宋_GB2312" w:cs="仿宋_GB2312"/>
                <w:b/>
                <w:bCs/>
                <w:color w:val="000000"/>
                <w:sz w:val="21"/>
                <w:szCs w:val="21"/>
                <w:highlight w:val="none"/>
              </w:rPr>
              <w:t>《中华人民共和国环境影响评价法》第二十五条</w:t>
            </w:r>
            <w:r>
              <w:rPr>
                <w:rFonts w:ascii="Times New Roman" w:hAnsi="Times New Roman" w:eastAsia="仿宋_GB2312" w:cs="Times New Roman"/>
                <w:color w:val="000000"/>
                <w:sz w:val="21"/>
                <w:szCs w:val="21"/>
                <w:highlight w:val="none"/>
              </w:rPr>
              <w:t xml:space="preserve"> </w:t>
            </w:r>
            <w:r>
              <w:rPr>
                <w:rFonts w:hint="eastAsia" w:ascii="Times New Roman" w:hAnsi="Times New Roman" w:eastAsia="仿宋_GB2312" w:cs="仿宋_GB2312"/>
                <w:color w:val="000000"/>
                <w:sz w:val="21"/>
                <w:szCs w:val="21"/>
                <w:highlight w:val="none"/>
              </w:rPr>
              <w:t>建设单位的环境影响评价文件未依法经审批部门审查或者审查后未予批准的，建设单位不得开工建设。</w:t>
            </w:r>
          </w:p>
          <w:p>
            <w:pPr>
              <w:pStyle w:val="12"/>
              <w:snapToGrid w:val="0"/>
              <w:spacing w:before="0" w:beforeAutospacing="0" w:after="0" w:afterAutospacing="0" w:line="288" w:lineRule="auto"/>
              <w:ind w:firstLine="480"/>
              <w:rPr>
                <w:rFonts w:ascii="Times New Roman" w:hAnsi="Times New Roman" w:eastAsia="仿宋_GB2312" w:cs="Times New Roman"/>
                <w:color w:val="000000"/>
                <w:sz w:val="21"/>
                <w:szCs w:val="21"/>
                <w:highlight w:val="none"/>
              </w:rPr>
            </w:pPr>
            <w:r>
              <w:rPr>
                <w:rFonts w:ascii="Times New Roman" w:hAnsi="Times New Roman" w:eastAsia="仿宋_GB2312" w:cs="Times New Roman"/>
                <w:b/>
                <w:bCs/>
                <w:color w:val="000000"/>
                <w:sz w:val="21"/>
                <w:szCs w:val="21"/>
                <w:highlight w:val="none"/>
              </w:rPr>
              <w:t>3.</w:t>
            </w:r>
            <w:r>
              <w:rPr>
                <w:rFonts w:hint="eastAsia" w:ascii="Times New Roman" w:hAnsi="Times New Roman" w:eastAsia="仿宋_GB2312" w:cs="仿宋_GB2312"/>
                <w:b/>
                <w:bCs/>
                <w:color w:val="000000"/>
                <w:sz w:val="21"/>
                <w:szCs w:val="21"/>
                <w:highlight w:val="none"/>
              </w:rPr>
              <w:t>《建设项目环境保护管理条例》第九条</w:t>
            </w:r>
            <w:r>
              <w:rPr>
                <w:rFonts w:ascii="Times New Roman" w:hAnsi="Times New Roman" w:eastAsia="仿宋_GB2312" w:cs="Times New Roman"/>
                <w:color w:val="000000"/>
                <w:sz w:val="21"/>
                <w:szCs w:val="21"/>
                <w:highlight w:val="none"/>
              </w:rPr>
              <w:t xml:space="preserve"> </w:t>
            </w:r>
            <w:r>
              <w:rPr>
                <w:rFonts w:hint="eastAsia" w:ascii="Times New Roman" w:hAnsi="Times New Roman" w:eastAsia="仿宋_GB2312" w:cs="仿宋_GB2312"/>
                <w:color w:val="000000"/>
                <w:sz w:val="21"/>
                <w:szCs w:val="21"/>
                <w:highlight w:val="none"/>
              </w:rPr>
              <w:t>依法应当编制环境影响报告书、环境影响报告表的建设项目，建设单位应当在开工建设前将环境影响报告书、环境影响报告表报有审批权的环境保护行政主管部门审批；建设项目的环境影响评价文件未依法经审批部门审查或者审查后未予批准的，建设单位不得开工建设。</w:t>
            </w:r>
          </w:p>
          <w:p>
            <w:pPr>
              <w:pStyle w:val="12"/>
              <w:snapToGrid w:val="0"/>
              <w:spacing w:before="0" w:beforeAutospacing="0" w:after="0" w:afterAutospacing="0" w:line="288" w:lineRule="auto"/>
              <w:ind w:firstLine="480"/>
              <w:rPr>
                <w:rFonts w:ascii="Times New Roman" w:hAnsi="Times New Roman" w:eastAsia="仿宋_GB2312" w:cs="Times New Roman"/>
                <w:color w:val="000000"/>
                <w:sz w:val="21"/>
                <w:szCs w:val="21"/>
                <w:highlight w:val="none"/>
              </w:rPr>
            </w:pPr>
            <w:r>
              <w:rPr>
                <w:rFonts w:ascii="Times New Roman" w:hAnsi="Times New Roman" w:eastAsia="仿宋_GB2312" w:cs="Times New Roman"/>
                <w:b/>
                <w:bCs/>
                <w:color w:val="000000"/>
                <w:sz w:val="21"/>
                <w:szCs w:val="21"/>
                <w:highlight w:val="none"/>
              </w:rPr>
              <w:t>4.</w:t>
            </w:r>
            <w:r>
              <w:rPr>
                <w:rFonts w:hint="eastAsia" w:ascii="Times New Roman" w:hAnsi="Times New Roman" w:eastAsia="仿宋_GB2312" w:cs="仿宋_GB2312"/>
                <w:b/>
                <w:bCs/>
                <w:color w:val="000000"/>
                <w:sz w:val="21"/>
                <w:szCs w:val="21"/>
                <w:highlight w:val="none"/>
              </w:rPr>
              <w:t>《建设项目环境保护管理条例》第十二条</w:t>
            </w:r>
            <w:r>
              <w:rPr>
                <w:rFonts w:ascii="Times New Roman" w:hAnsi="Times New Roman" w:eastAsia="仿宋_GB2312" w:cs="Times New Roman"/>
                <w:color w:val="000000"/>
                <w:sz w:val="21"/>
                <w:szCs w:val="21"/>
                <w:highlight w:val="none"/>
              </w:rPr>
              <w:t xml:space="preserve"> </w:t>
            </w:r>
            <w:r>
              <w:rPr>
                <w:rFonts w:hint="eastAsia" w:ascii="Times New Roman" w:hAnsi="Times New Roman" w:eastAsia="仿宋_GB2312" w:cs="仿宋_GB2312"/>
                <w:color w:val="000000"/>
                <w:sz w:val="21"/>
                <w:szCs w:val="21"/>
                <w:highlight w:val="none"/>
              </w:rPr>
              <w:t>建设项目环境影响报告书、环境影响报告表经批准后，建设项目的性质、规模、地点、采用的生产工艺或者防治污染、防止生态破坏的措施发生重大变动的，建设单位应当重新报批建设项目环境影响报告书、环境影响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3" w:hRule="atLeast"/>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处罚依据</w:t>
            </w:r>
          </w:p>
        </w:tc>
        <w:tc>
          <w:tcPr>
            <w:tcW w:w="7938" w:type="dxa"/>
            <w:gridSpan w:val="2"/>
          </w:tcPr>
          <w:p>
            <w:pPr>
              <w:pStyle w:val="12"/>
              <w:snapToGrid w:val="0"/>
              <w:spacing w:before="93" w:beforeLines="30" w:beforeAutospacing="0" w:after="0" w:afterAutospacing="0" w:line="288" w:lineRule="auto"/>
              <w:ind w:firstLine="482"/>
              <w:rPr>
                <w:rFonts w:ascii="Times New Roman" w:hAnsi="Times New Roman" w:eastAsia="仿宋_GB2312" w:cs="Times New Roman"/>
                <w:color w:val="000000"/>
                <w:sz w:val="21"/>
                <w:szCs w:val="21"/>
                <w:highlight w:val="none"/>
              </w:rPr>
            </w:pPr>
            <w:r>
              <w:rPr>
                <w:rFonts w:ascii="Times New Roman" w:hAnsi="Times New Roman" w:eastAsia="仿宋_GB2312" w:cs="Times New Roman"/>
                <w:b/>
                <w:bCs/>
                <w:color w:val="000000"/>
                <w:sz w:val="21"/>
                <w:szCs w:val="21"/>
                <w:highlight w:val="none"/>
              </w:rPr>
              <w:t>1.</w:t>
            </w:r>
            <w:r>
              <w:rPr>
                <w:rFonts w:hint="eastAsia" w:ascii="Times New Roman" w:hAnsi="Times New Roman" w:eastAsia="仿宋_GB2312" w:cs="仿宋_GB2312"/>
                <w:b/>
                <w:bCs/>
                <w:color w:val="000000"/>
                <w:sz w:val="21"/>
                <w:szCs w:val="21"/>
                <w:highlight w:val="none"/>
              </w:rPr>
              <w:t>《中华人民共和国环境影响评价法》第三十一条第一款、第二款</w:t>
            </w:r>
            <w:r>
              <w:rPr>
                <w:rFonts w:ascii="Times New Roman" w:hAnsi="Times New Roman" w:eastAsia="仿宋_GB2312" w:cs="Times New Roman"/>
                <w:color w:val="000000"/>
                <w:sz w:val="21"/>
                <w:szCs w:val="21"/>
                <w:highlight w:val="none"/>
              </w:rPr>
              <w:t xml:space="preserve"> </w:t>
            </w:r>
            <w:r>
              <w:rPr>
                <w:rFonts w:hint="eastAsia" w:ascii="Times New Roman" w:hAnsi="Times New Roman" w:eastAsia="仿宋_GB2312" w:cs="仿宋_GB2312"/>
                <w:color w:val="000000"/>
                <w:sz w:val="21"/>
                <w:szCs w:val="21"/>
                <w:highlight w:val="none"/>
              </w:rPr>
              <w:t>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pPr>
              <w:pStyle w:val="12"/>
              <w:snapToGrid w:val="0"/>
              <w:spacing w:before="0" w:beforeAutospacing="0" w:after="0" w:afterAutospacing="0" w:line="288" w:lineRule="auto"/>
              <w:ind w:firstLine="482"/>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建设项目环境影响报告书、报告表未经批准或者未经原审部门重新审核同意，建设单位擅自开工建设的，依照前款的规定处罚、处分。</w:t>
            </w:r>
          </w:p>
          <w:p>
            <w:pPr>
              <w:pStyle w:val="12"/>
              <w:snapToGrid w:val="0"/>
              <w:spacing w:before="0" w:beforeAutospacing="0" w:after="0" w:afterAutospacing="0" w:line="288" w:lineRule="auto"/>
              <w:ind w:firstLine="482"/>
              <w:rPr>
                <w:rFonts w:ascii="Times New Roman" w:hAnsi="Times New Roman" w:eastAsia="仿宋_GB2312" w:cs="Times New Roman"/>
                <w:color w:val="000000"/>
                <w:sz w:val="21"/>
                <w:szCs w:val="21"/>
                <w:highlight w:val="none"/>
              </w:rPr>
            </w:pPr>
            <w:r>
              <w:rPr>
                <w:rFonts w:ascii="Times New Roman" w:hAnsi="Times New Roman" w:eastAsia="仿宋_GB2312" w:cs="Times New Roman"/>
                <w:b/>
                <w:bCs/>
                <w:color w:val="000000"/>
                <w:sz w:val="21"/>
                <w:szCs w:val="21"/>
                <w:highlight w:val="none"/>
              </w:rPr>
              <w:t>2.</w:t>
            </w:r>
            <w:r>
              <w:rPr>
                <w:rFonts w:hint="eastAsia" w:ascii="Times New Roman" w:hAnsi="Times New Roman" w:eastAsia="仿宋_GB2312" w:cs="仿宋_GB2312"/>
                <w:b/>
                <w:bCs/>
                <w:color w:val="000000"/>
                <w:sz w:val="21"/>
                <w:szCs w:val="21"/>
                <w:highlight w:val="none"/>
              </w:rPr>
              <w:t>《建设项目环境保护管理条例》第二十一条</w:t>
            </w:r>
            <w:r>
              <w:rPr>
                <w:rFonts w:ascii="Times New Roman" w:hAnsi="Times New Roman" w:eastAsia="仿宋_GB2312" w:cs="Times New Roman"/>
                <w:color w:val="000000"/>
                <w:sz w:val="21"/>
                <w:szCs w:val="21"/>
                <w:highlight w:val="none"/>
              </w:rPr>
              <w:t xml:space="preserve"> </w:t>
            </w:r>
            <w:r>
              <w:rPr>
                <w:rFonts w:hint="eastAsia" w:ascii="Times New Roman" w:hAnsi="Times New Roman" w:eastAsia="仿宋_GB2312" w:cs="仿宋_GB2312"/>
                <w:color w:val="000000"/>
                <w:sz w:val="21"/>
                <w:szCs w:val="21"/>
                <w:highlight w:val="none"/>
              </w:rPr>
              <w:t>建设单位有下列行为之一的，依照《中华人民共和国环境影响评价法》的规定处罚：</w:t>
            </w:r>
          </w:p>
          <w:p>
            <w:pPr>
              <w:pStyle w:val="12"/>
              <w:snapToGrid w:val="0"/>
              <w:spacing w:before="0" w:beforeAutospacing="0" w:after="0" w:afterAutospacing="0" w:line="288" w:lineRule="auto"/>
              <w:ind w:firstLine="482"/>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（一）建设项目环境影响报告书、环境影响报告表未依法报批或者报请重新审核，擅自开工建设；</w:t>
            </w:r>
          </w:p>
          <w:p>
            <w:pPr>
              <w:pStyle w:val="12"/>
              <w:snapToGrid w:val="0"/>
              <w:spacing w:before="0" w:beforeAutospacing="0" w:after="0" w:afterAutospacing="0" w:line="288" w:lineRule="auto"/>
              <w:ind w:firstLine="482"/>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（二）建设项目环境影响报告书、环境影响报告表未经批准或者重新审核同意，擅自开工建设。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500"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438"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宋体"/>
                <w:b/>
                <w:bCs/>
                <w:color w:val="000000"/>
                <w:highlight w:val="none"/>
              </w:rPr>
            </w:pPr>
            <w:r>
              <w:rPr>
                <w:rFonts w:hint="eastAsia" w:ascii="Times New Roman" w:hAnsi="Times New Roman" w:cs="宋体"/>
                <w:b/>
                <w:bCs/>
                <w:color w:val="000000"/>
                <w:highlight w:val="none"/>
              </w:rPr>
              <w:t>违法事实★</w:t>
            </w:r>
          </w:p>
        </w:tc>
        <w:tc>
          <w:tcPr>
            <w:tcW w:w="5500" w:type="dxa"/>
            <w:vAlign w:val="center"/>
          </w:tcPr>
          <w:p>
            <w:pPr>
              <w:pStyle w:val="11"/>
              <w:snapToGrid w:val="0"/>
              <w:jc w:val="center"/>
              <w:rPr>
                <w:rFonts w:ascii="Times New Roman" w:hAnsi="Times New Roman" w:eastAsia="仿宋_GB2312" w:cs="仿宋_GB2312"/>
                <w:color w:val="000000"/>
                <w:sz w:val="21"/>
                <w:szCs w:val="21"/>
                <w:highlight w:val="none"/>
              </w:rPr>
            </w:pPr>
            <w:r>
              <w:rPr>
                <w:rFonts w:hint="eastAsia" w:ascii="Times New Roman" w:hAnsi="Times New Roman" w:eastAsia="仿宋_GB2312" w:cs="仿宋_GB2312"/>
                <w:color w:val="000000"/>
                <w:sz w:val="21"/>
                <w:szCs w:val="21"/>
                <w:highlight w:val="none"/>
              </w:rPr>
              <w:t>已开工建设但主体工程未建成的</w:t>
            </w:r>
          </w:p>
        </w:tc>
        <w:tc>
          <w:tcPr>
            <w:tcW w:w="2438"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宋体"/>
                <w:b/>
                <w:bCs/>
                <w:color w:val="000000"/>
                <w:highlight w:val="none"/>
              </w:rPr>
            </w:pPr>
          </w:p>
        </w:tc>
        <w:tc>
          <w:tcPr>
            <w:tcW w:w="5500" w:type="dxa"/>
            <w:vAlign w:val="center"/>
          </w:tcPr>
          <w:p>
            <w:pPr>
              <w:pStyle w:val="11"/>
              <w:snapToGrid w:val="0"/>
              <w:jc w:val="center"/>
              <w:rPr>
                <w:rFonts w:ascii="Times New Roman" w:hAnsi="Times New Roman" w:eastAsia="仿宋_GB2312" w:cs="仿宋_GB2312"/>
                <w:color w:val="000000"/>
                <w:sz w:val="21"/>
                <w:szCs w:val="21"/>
                <w:highlight w:val="none"/>
              </w:rPr>
            </w:pPr>
            <w:r>
              <w:rPr>
                <w:rFonts w:hint="eastAsia" w:ascii="Times New Roman" w:hAnsi="Times New Roman" w:eastAsia="仿宋_GB2312" w:cs="仿宋_GB2312"/>
                <w:color w:val="000000"/>
                <w:sz w:val="21"/>
                <w:szCs w:val="21"/>
                <w:highlight w:val="none"/>
              </w:rPr>
              <w:t>主体工程已建成但尚未投入生产或者使用的</w:t>
            </w:r>
          </w:p>
        </w:tc>
        <w:tc>
          <w:tcPr>
            <w:tcW w:w="2438"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宋体"/>
                <w:b/>
                <w:bCs/>
                <w:color w:val="000000"/>
                <w:highlight w:val="none"/>
              </w:rPr>
            </w:pPr>
          </w:p>
        </w:tc>
        <w:tc>
          <w:tcPr>
            <w:tcW w:w="5500" w:type="dxa"/>
            <w:vAlign w:val="center"/>
          </w:tcPr>
          <w:p>
            <w:pPr>
              <w:pStyle w:val="11"/>
              <w:snapToGrid w:val="0"/>
              <w:jc w:val="center"/>
              <w:rPr>
                <w:rFonts w:ascii="Times New Roman" w:hAnsi="Times New Roman" w:eastAsia="仿宋_GB2312" w:cs="仿宋_GB2312"/>
                <w:color w:val="000000"/>
                <w:sz w:val="21"/>
                <w:szCs w:val="21"/>
                <w:highlight w:val="none"/>
              </w:rPr>
            </w:pPr>
            <w:r>
              <w:rPr>
                <w:rFonts w:hint="eastAsia" w:ascii="Times New Roman" w:hAnsi="Times New Roman" w:eastAsia="仿宋_GB2312" w:cs="仿宋_GB2312"/>
                <w:color w:val="000000"/>
                <w:sz w:val="21"/>
                <w:szCs w:val="21"/>
                <w:highlight w:val="none"/>
              </w:rPr>
              <w:t>主体工程已投入生产或者使用，污染防治设施已建成的</w:t>
            </w:r>
          </w:p>
        </w:tc>
        <w:tc>
          <w:tcPr>
            <w:tcW w:w="2438"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宋体"/>
                <w:b/>
                <w:bCs/>
                <w:color w:val="000000"/>
                <w:highlight w:val="none"/>
              </w:rPr>
            </w:pPr>
          </w:p>
        </w:tc>
        <w:tc>
          <w:tcPr>
            <w:tcW w:w="5500" w:type="dxa"/>
            <w:vAlign w:val="center"/>
          </w:tcPr>
          <w:p>
            <w:pPr>
              <w:pStyle w:val="11"/>
              <w:snapToGrid w:val="0"/>
              <w:jc w:val="center"/>
              <w:rPr>
                <w:rFonts w:ascii="Times New Roman" w:hAnsi="Times New Roman" w:eastAsia="仿宋_GB2312" w:cs="仿宋_GB2312"/>
                <w:color w:val="000000"/>
                <w:sz w:val="21"/>
                <w:szCs w:val="21"/>
                <w:highlight w:val="none"/>
              </w:rPr>
            </w:pPr>
            <w:r>
              <w:rPr>
                <w:rFonts w:hint="eastAsia" w:ascii="Times New Roman" w:hAnsi="Times New Roman" w:eastAsia="仿宋_GB2312" w:cs="仿宋_GB2312"/>
                <w:color w:val="000000"/>
                <w:sz w:val="21"/>
                <w:szCs w:val="21"/>
                <w:highlight w:val="none"/>
              </w:rPr>
              <w:t>主体工程已投入生产或者使用，污染防治设施已动工未建成的</w:t>
            </w:r>
          </w:p>
        </w:tc>
        <w:tc>
          <w:tcPr>
            <w:tcW w:w="2438"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宋体"/>
                <w:b/>
                <w:bCs/>
                <w:color w:val="000000"/>
                <w:highlight w:val="none"/>
              </w:rPr>
            </w:pPr>
          </w:p>
        </w:tc>
        <w:tc>
          <w:tcPr>
            <w:tcW w:w="5500" w:type="dxa"/>
            <w:vAlign w:val="center"/>
          </w:tcPr>
          <w:p>
            <w:pPr>
              <w:pStyle w:val="11"/>
              <w:snapToGrid w:val="0"/>
              <w:jc w:val="center"/>
              <w:rPr>
                <w:rFonts w:ascii="Times New Roman" w:hAnsi="Times New Roman" w:eastAsia="仿宋_GB2312" w:cs="仿宋_GB2312"/>
                <w:color w:val="000000"/>
                <w:sz w:val="21"/>
                <w:szCs w:val="21"/>
                <w:highlight w:val="none"/>
              </w:rPr>
            </w:pPr>
            <w:r>
              <w:rPr>
                <w:rFonts w:hint="eastAsia" w:ascii="Times New Roman" w:hAnsi="Times New Roman" w:eastAsia="仿宋_GB2312" w:cs="仿宋_GB2312"/>
                <w:color w:val="000000"/>
                <w:sz w:val="21"/>
                <w:szCs w:val="21"/>
                <w:highlight w:val="none"/>
              </w:rPr>
              <w:t>主体工程已投入生产或者使用，污染防治设施尚未建设的</w:t>
            </w:r>
          </w:p>
        </w:tc>
        <w:tc>
          <w:tcPr>
            <w:tcW w:w="2438"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项目应报批的环评文件类别</w:t>
            </w:r>
          </w:p>
        </w:tc>
        <w:tc>
          <w:tcPr>
            <w:tcW w:w="5500"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报告表</w:t>
            </w:r>
          </w:p>
        </w:tc>
        <w:tc>
          <w:tcPr>
            <w:tcW w:w="2438"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500"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报告书</w:t>
            </w:r>
          </w:p>
        </w:tc>
        <w:tc>
          <w:tcPr>
            <w:tcW w:w="2438"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500"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报告书（化工、电镀、皮革、造纸、制浆、冶炼、放射性、印染、染料、炼焦、炼油项目）</w:t>
            </w:r>
          </w:p>
        </w:tc>
        <w:tc>
          <w:tcPr>
            <w:tcW w:w="2438"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bookmarkStart w:id="18" w:name="_Hlk25082217"/>
            <w:r>
              <w:rPr>
                <w:rFonts w:hint="eastAsia" w:ascii="Times New Roman" w:hAnsi="Times New Roman" w:cs="宋体"/>
                <w:b/>
                <w:bCs/>
                <w:color w:val="000000"/>
                <w:highlight w:val="none"/>
              </w:rPr>
              <w:t>项目建设</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地点</w:t>
            </w:r>
          </w:p>
        </w:tc>
        <w:tc>
          <w:tcPr>
            <w:tcW w:w="5500"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符合环境功能规划（或无环境功能规划）</w:t>
            </w:r>
          </w:p>
        </w:tc>
        <w:tc>
          <w:tcPr>
            <w:tcW w:w="2438"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500"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不符合环境功能规划，但不在保护区内</w:t>
            </w:r>
          </w:p>
        </w:tc>
        <w:tc>
          <w:tcPr>
            <w:tcW w:w="2438"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500"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位于自然保护区实验区</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饮用水水源准保护区</w:t>
            </w:r>
          </w:p>
        </w:tc>
        <w:tc>
          <w:tcPr>
            <w:tcW w:w="2438"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500"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位于自然保护区缓冲区</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饮用水水源二级保护区</w:t>
            </w:r>
          </w:p>
        </w:tc>
        <w:tc>
          <w:tcPr>
            <w:tcW w:w="2438"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500"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位于自然保护区核心区</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饮用水水源一级保护区</w:t>
            </w:r>
          </w:p>
        </w:tc>
        <w:tc>
          <w:tcPr>
            <w:tcW w:w="2438"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bookmark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违法持续</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时间</w:t>
            </w:r>
          </w:p>
        </w:tc>
        <w:tc>
          <w:tcPr>
            <w:tcW w:w="5500"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个月以内的</w:t>
            </w:r>
          </w:p>
        </w:tc>
        <w:tc>
          <w:tcPr>
            <w:tcW w:w="2438"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500"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超过</w:t>
            </w: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个月并且在</w:t>
            </w: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个月以内的</w:t>
            </w:r>
          </w:p>
        </w:tc>
        <w:tc>
          <w:tcPr>
            <w:tcW w:w="2438"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500"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超过</w:t>
            </w: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个月并且在</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年以内的</w:t>
            </w:r>
          </w:p>
        </w:tc>
        <w:tc>
          <w:tcPr>
            <w:tcW w:w="2438"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500"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超过</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年并且在</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年以内的</w:t>
            </w:r>
          </w:p>
        </w:tc>
        <w:tc>
          <w:tcPr>
            <w:tcW w:w="2438"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500"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年以上的</w:t>
            </w:r>
          </w:p>
        </w:tc>
        <w:tc>
          <w:tcPr>
            <w:tcW w:w="2438"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938" w:type="dxa"/>
            <w:gridSpan w:val="2"/>
            <w:vAlign w:val="center"/>
          </w:tcPr>
          <w:p>
            <w:pPr>
              <w:snapToGrid w:val="0"/>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若建设行为终了之日至现场检查时发现时间超过</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年的，则不予行政处罚。</w:t>
            </w:r>
          </w:p>
          <w:p>
            <w:pPr>
              <w:snapToGrid w:val="0"/>
              <w:rPr>
                <w:rFonts w:ascii="Times New Roman" w:hAnsi="Times New Roman" w:cs="Times New Roman"/>
                <w:color w:val="000000"/>
                <w:highlight w:val="none"/>
              </w:rPr>
            </w:pP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适用裁量计算公式裁定罚款金额时，</w:t>
            </w:r>
            <w:r>
              <w:rPr>
                <w:rFonts w:ascii="Times New Roman" w:hAnsi="Times New Roman" w:eastAsia="仿宋_GB2312" w:cs="Times New Roman"/>
                <w:color w:val="000000"/>
                <w:highlight w:val="none"/>
              </w:rPr>
              <w:t>M</w:t>
            </w:r>
            <w:r>
              <w:rPr>
                <w:rFonts w:hint="eastAsia" w:ascii="Times New Roman" w:hAnsi="Times New Roman" w:eastAsia="仿宋_GB2312" w:cs="仿宋_GB2312"/>
                <w:color w:val="000000"/>
                <w:highlight w:val="none"/>
              </w:rPr>
              <w:t>值（法定处罚金额上限）取建设项目总投资额</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的罚款，</w:t>
            </w:r>
            <w:r>
              <w:rPr>
                <w:rFonts w:ascii="Times New Roman" w:hAnsi="Times New Roman" w:eastAsia="仿宋_GB2312" w:cs="Times New Roman"/>
                <w:color w:val="000000"/>
                <w:highlight w:val="none"/>
              </w:rPr>
              <w:t>N</w:t>
            </w:r>
            <w:r>
              <w:rPr>
                <w:rFonts w:hint="eastAsia" w:ascii="Times New Roman" w:hAnsi="Times New Roman" w:eastAsia="仿宋_GB2312" w:cs="仿宋_GB2312"/>
                <w:color w:val="000000"/>
                <w:highlight w:val="none"/>
              </w:rPr>
              <w:t>值（法定处罚金额下限）取建设项目总投资额</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的罚款。</w:t>
            </w:r>
          </w:p>
        </w:tc>
      </w:tr>
    </w:tbl>
    <w:p>
      <w:pPr>
        <w:snapToGrid w:val="0"/>
        <w:rPr>
          <w:rFonts w:ascii="Times New Roman" w:hAnsi="Times New Roman" w:cs="Times New Roman"/>
          <w:color w:val="000000"/>
          <w:sz w:val="10"/>
          <w:szCs w:val="10"/>
          <w:highlight w:val="none"/>
        </w:rPr>
      </w:pPr>
      <w:r>
        <w:rPr>
          <w:rFonts w:ascii="Times New Roman" w:hAnsi="Times New Roman" w:cs="Times New Roman"/>
          <w:color w:val="000000"/>
          <w:highlight w:val="none"/>
        </w:rPr>
        <w:br w:type="page"/>
      </w:r>
    </w:p>
    <w:tbl>
      <w:tblPr>
        <w:tblStyle w:val="14"/>
        <w:tblW w:w="920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209" w:type="dxa"/>
            <w:gridSpan w:val="3"/>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仿宋_GB2312"/>
                <w:b/>
                <w:bCs/>
                <w:sz w:val="32"/>
                <w:szCs w:val="32"/>
                <w:highlight w:val="none"/>
              </w:rPr>
              <w:t>（一）建设项目管理类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938" w:type="dxa"/>
            <w:gridSpan w:val="2"/>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38" w:type="dxa"/>
            <w:gridSpan w:val="2"/>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环境影响登记表未依法备案的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违反条款</w:t>
            </w:r>
          </w:p>
        </w:tc>
        <w:tc>
          <w:tcPr>
            <w:tcW w:w="7938" w:type="dxa"/>
            <w:gridSpan w:val="2"/>
          </w:tcPr>
          <w:p>
            <w:pPr>
              <w:pStyle w:val="12"/>
              <w:snapToGrid w:val="0"/>
              <w:spacing w:before="93" w:beforeLines="30" w:beforeAutospacing="0" w:after="0" w:afterAutospacing="0"/>
              <w:ind w:firstLine="482"/>
              <w:jc w:val="both"/>
              <w:rPr>
                <w:rFonts w:ascii="Times New Roman" w:hAnsi="Times New Roman" w:eastAsia="仿宋_GB2312" w:cs="Times New Roman"/>
                <w:color w:val="000000"/>
                <w:sz w:val="21"/>
                <w:szCs w:val="21"/>
                <w:highlight w:val="none"/>
              </w:rPr>
            </w:pPr>
            <w:r>
              <w:rPr>
                <w:rFonts w:ascii="Times New Roman" w:hAnsi="Times New Roman" w:eastAsia="仿宋_GB2312" w:cs="Times New Roman"/>
                <w:b/>
                <w:bCs/>
                <w:color w:val="000000"/>
                <w:sz w:val="21"/>
                <w:szCs w:val="21"/>
                <w:highlight w:val="none"/>
              </w:rPr>
              <w:t>1.</w:t>
            </w:r>
            <w:r>
              <w:rPr>
                <w:rFonts w:hint="eastAsia" w:ascii="Times New Roman" w:hAnsi="Times New Roman" w:eastAsia="仿宋_GB2312" w:cs="仿宋_GB2312"/>
                <w:b/>
                <w:bCs/>
                <w:color w:val="000000"/>
                <w:sz w:val="21"/>
                <w:szCs w:val="21"/>
                <w:highlight w:val="none"/>
              </w:rPr>
              <w:t>《中华人民共和国环境影响评价法》第十六条第二款第（三）项</w:t>
            </w:r>
            <w:r>
              <w:rPr>
                <w:rFonts w:ascii="Times New Roman" w:hAnsi="Times New Roman" w:eastAsia="仿宋_GB2312" w:cs="Times New Roman"/>
                <w:color w:val="000000"/>
                <w:sz w:val="21"/>
                <w:szCs w:val="21"/>
                <w:highlight w:val="none"/>
              </w:rPr>
              <w:t xml:space="preserve"> </w:t>
            </w:r>
            <w:r>
              <w:rPr>
                <w:rFonts w:hint="eastAsia" w:ascii="Times New Roman" w:hAnsi="Times New Roman" w:eastAsia="仿宋_GB2312" w:cs="仿宋_GB2312"/>
                <w:color w:val="000000"/>
                <w:sz w:val="21"/>
                <w:szCs w:val="21"/>
                <w:highlight w:val="none"/>
              </w:rPr>
              <w:t>建设单位应当按照下列规定组织编制环境影响报告书、环境影响报告表或者填报环境影响登记表（以下统称环境影响评价文件）：</w:t>
            </w:r>
          </w:p>
          <w:p>
            <w:pPr>
              <w:pStyle w:val="12"/>
              <w:snapToGrid w:val="0"/>
              <w:spacing w:before="0" w:beforeAutospacing="0" w:after="0" w:afterAutospacing="0"/>
              <w:ind w:firstLine="482"/>
              <w:jc w:val="both"/>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（三）对环境影响很小、不需要进行环境影响评价的，应当填报环境影响登记表。</w:t>
            </w:r>
          </w:p>
          <w:p>
            <w:pPr>
              <w:pStyle w:val="12"/>
              <w:snapToGrid w:val="0"/>
              <w:spacing w:before="0" w:beforeAutospacing="0" w:after="0" w:afterAutospacing="0"/>
              <w:ind w:firstLine="482"/>
              <w:jc w:val="both"/>
              <w:rPr>
                <w:rFonts w:ascii="Times New Roman" w:hAnsi="Times New Roman" w:eastAsia="仿宋_GB2312" w:cs="Times New Roman"/>
                <w:color w:val="000000"/>
                <w:sz w:val="21"/>
                <w:szCs w:val="21"/>
                <w:highlight w:val="none"/>
              </w:rPr>
            </w:pPr>
            <w:r>
              <w:rPr>
                <w:rFonts w:ascii="Times New Roman" w:hAnsi="Times New Roman" w:eastAsia="仿宋_GB2312" w:cs="Times New Roman"/>
                <w:b/>
                <w:bCs/>
                <w:color w:val="000000"/>
                <w:sz w:val="21"/>
                <w:szCs w:val="21"/>
                <w:highlight w:val="none"/>
              </w:rPr>
              <w:t>2.</w:t>
            </w:r>
            <w:r>
              <w:rPr>
                <w:rFonts w:hint="eastAsia" w:ascii="Times New Roman" w:hAnsi="Times New Roman" w:eastAsia="仿宋_GB2312" w:cs="仿宋_GB2312"/>
                <w:b/>
                <w:bCs/>
                <w:color w:val="000000"/>
                <w:sz w:val="21"/>
                <w:szCs w:val="21"/>
                <w:highlight w:val="none"/>
              </w:rPr>
              <w:t>《建设项目环境保护管理条例》第九条第四款</w:t>
            </w:r>
            <w:r>
              <w:rPr>
                <w:rFonts w:ascii="Times New Roman" w:hAnsi="Times New Roman" w:eastAsia="仿宋_GB2312" w:cs="Times New Roman"/>
                <w:color w:val="000000"/>
                <w:sz w:val="21"/>
                <w:szCs w:val="21"/>
                <w:highlight w:val="none"/>
              </w:rPr>
              <w:t xml:space="preserve"> </w:t>
            </w:r>
            <w:r>
              <w:rPr>
                <w:rFonts w:hint="eastAsia" w:ascii="Times New Roman" w:hAnsi="Times New Roman" w:eastAsia="仿宋_GB2312" w:cs="仿宋_GB2312"/>
                <w:color w:val="000000"/>
                <w:sz w:val="21"/>
                <w:szCs w:val="21"/>
                <w:highlight w:val="none"/>
              </w:rPr>
              <w:t>依法应当填报环境影响登记表的建设项目，建设单位应当按照国务院环境保护行政主管部门的规定将环境影响登记表报建设项目所在地县级环境保护行政主管部门备案。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处罚依据</w:t>
            </w:r>
          </w:p>
        </w:tc>
        <w:tc>
          <w:tcPr>
            <w:tcW w:w="7938" w:type="dxa"/>
            <w:gridSpan w:val="2"/>
          </w:tcPr>
          <w:p>
            <w:pPr>
              <w:pStyle w:val="12"/>
              <w:snapToGrid w:val="0"/>
              <w:spacing w:before="93" w:beforeLines="30" w:beforeAutospacing="0" w:after="0" w:afterAutospacing="0"/>
              <w:ind w:firstLine="482"/>
              <w:jc w:val="both"/>
              <w:rPr>
                <w:rFonts w:ascii="Times New Roman" w:hAnsi="Times New Roman" w:eastAsia="仿宋_GB2312" w:cs="Times New Roman"/>
                <w:color w:val="000000"/>
                <w:sz w:val="21"/>
                <w:szCs w:val="21"/>
                <w:highlight w:val="none"/>
              </w:rPr>
            </w:pPr>
            <w:r>
              <w:rPr>
                <w:rFonts w:ascii="Times New Roman" w:hAnsi="Times New Roman" w:eastAsia="仿宋_GB2312" w:cs="Times New Roman"/>
                <w:b/>
                <w:bCs/>
                <w:color w:val="000000"/>
                <w:sz w:val="21"/>
                <w:szCs w:val="21"/>
                <w:highlight w:val="none"/>
              </w:rPr>
              <w:t>1.</w:t>
            </w:r>
            <w:r>
              <w:rPr>
                <w:rFonts w:hint="eastAsia" w:ascii="Times New Roman" w:hAnsi="Times New Roman" w:eastAsia="仿宋_GB2312" w:cs="仿宋_GB2312"/>
                <w:b/>
                <w:bCs/>
                <w:color w:val="000000"/>
                <w:sz w:val="21"/>
                <w:szCs w:val="21"/>
                <w:highlight w:val="none"/>
              </w:rPr>
              <w:t>《中华人民共和国环境影响评价法》第三十一条第三款</w:t>
            </w:r>
            <w:r>
              <w:rPr>
                <w:rFonts w:ascii="Times New Roman" w:hAnsi="Times New Roman" w:eastAsia="仿宋_GB2312" w:cs="Times New Roman"/>
                <w:color w:val="000000"/>
                <w:sz w:val="21"/>
                <w:szCs w:val="21"/>
                <w:highlight w:val="none"/>
              </w:rPr>
              <w:t xml:space="preserve"> </w:t>
            </w:r>
            <w:r>
              <w:rPr>
                <w:rFonts w:hint="eastAsia" w:ascii="Times New Roman" w:hAnsi="Times New Roman" w:eastAsia="仿宋_GB2312" w:cs="仿宋_GB2312"/>
                <w:color w:val="000000"/>
                <w:sz w:val="21"/>
                <w:szCs w:val="21"/>
                <w:highlight w:val="none"/>
              </w:rPr>
              <w:t>建设单位未依法备案建设项目环境影响登记表的，由县级以上生态环境主管部门责令备案，处五万元以下的罚款。</w:t>
            </w:r>
          </w:p>
          <w:p>
            <w:pPr>
              <w:pStyle w:val="12"/>
              <w:snapToGrid w:val="0"/>
              <w:spacing w:before="0" w:beforeAutospacing="0" w:after="0" w:afterAutospacing="0"/>
              <w:ind w:firstLine="482"/>
              <w:jc w:val="both"/>
              <w:rPr>
                <w:rFonts w:ascii="Times New Roman" w:hAnsi="Times New Roman" w:eastAsia="仿宋_GB2312" w:cs="Times New Roman"/>
                <w:color w:val="000000"/>
                <w:sz w:val="21"/>
                <w:szCs w:val="21"/>
                <w:highlight w:val="none"/>
              </w:rPr>
            </w:pPr>
            <w:r>
              <w:rPr>
                <w:rFonts w:ascii="Times New Roman" w:hAnsi="Times New Roman" w:eastAsia="仿宋_GB2312" w:cs="Times New Roman"/>
                <w:b/>
                <w:bCs/>
                <w:color w:val="000000"/>
                <w:sz w:val="21"/>
                <w:szCs w:val="21"/>
                <w:highlight w:val="none"/>
              </w:rPr>
              <w:t>2.</w:t>
            </w:r>
            <w:r>
              <w:rPr>
                <w:rFonts w:hint="eastAsia" w:ascii="Times New Roman" w:hAnsi="Times New Roman" w:eastAsia="仿宋_GB2312" w:cs="仿宋_GB2312"/>
                <w:b/>
                <w:bCs/>
                <w:color w:val="000000"/>
                <w:sz w:val="21"/>
                <w:szCs w:val="21"/>
                <w:highlight w:val="none"/>
              </w:rPr>
              <w:t>《建设项目环境保护管理条例》第二十一条第（三）项</w:t>
            </w:r>
            <w:r>
              <w:rPr>
                <w:rFonts w:ascii="Times New Roman" w:hAnsi="Times New Roman" w:eastAsia="仿宋_GB2312" w:cs="Times New Roman"/>
                <w:color w:val="000000"/>
                <w:sz w:val="21"/>
                <w:szCs w:val="21"/>
                <w:highlight w:val="none"/>
              </w:rPr>
              <w:t xml:space="preserve"> </w:t>
            </w:r>
            <w:r>
              <w:rPr>
                <w:rFonts w:hint="eastAsia" w:ascii="Times New Roman" w:hAnsi="Times New Roman" w:eastAsia="仿宋_GB2312" w:cs="仿宋_GB2312"/>
                <w:color w:val="000000"/>
                <w:sz w:val="21"/>
                <w:szCs w:val="21"/>
                <w:highlight w:val="none"/>
              </w:rPr>
              <w:t>建设单位有下列行为之一的，依照《中华人民共和国环境影响评价法》的规定处罚：</w:t>
            </w:r>
          </w:p>
          <w:p>
            <w:pPr>
              <w:pStyle w:val="12"/>
              <w:snapToGrid w:val="0"/>
              <w:spacing w:before="0" w:beforeAutospacing="0" w:after="0" w:afterAutospacing="0"/>
              <w:ind w:firstLine="482"/>
              <w:jc w:val="both"/>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（三）建设项目环境影响登记表未依法备案。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245"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9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45" w:type="dxa"/>
            <w:vAlign w:val="center"/>
          </w:tcPr>
          <w:p>
            <w:pPr>
              <w:widowControl/>
              <w:snapToGrid w:val="0"/>
              <w:jc w:val="center"/>
              <w:textAlignment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发生变更未重新备案</w:t>
            </w:r>
          </w:p>
        </w:tc>
        <w:tc>
          <w:tcPr>
            <w:tcW w:w="2693" w:type="dxa"/>
            <w:vAlign w:val="center"/>
          </w:tcPr>
          <w:p>
            <w:pPr>
              <w:widowControl/>
              <w:snapToGrid w:val="0"/>
              <w:jc w:val="center"/>
              <w:textAlignment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widowControl/>
              <w:snapToGrid w:val="0"/>
              <w:jc w:val="center"/>
              <w:textAlignment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未备案</w:t>
            </w:r>
          </w:p>
        </w:tc>
        <w:tc>
          <w:tcPr>
            <w:tcW w:w="2693" w:type="dxa"/>
            <w:vAlign w:val="center"/>
          </w:tcPr>
          <w:p>
            <w:pPr>
              <w:widowControl/>
              <w:snapToGrid w:val="0"/>
              <w:jc w:val="center"/>
              <w:textAlignment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widowControl/>
              <w:snapToGrid w:val="0"/>
              <w:jc w:val="center"/>
              <w:textAlignment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备案</w:t>
            </w:r>
            <w:r>
              <w:rPr>
                <w:rFonts w:ascii="Times New Roman" w:hAnsi="Times New Roman" w:eastAsia="仿宋_GB2312" w:cs="Times New Roman"/>
                <w:color w:val="000000"/>
                <w:highlight w:val="none"/>
              </w:rPr>
              <w:t>不属实</w:t>
            </w:r>
          </w:p>
        </w:tc>
        <w:tc>
          <w:tcPr>
            <w:tcW w:w="2693" w:type="dxa"/>
            <w:vAlign w:val="center"/>
          </w:tcPr>
          <w:p>
            <w:pPr>
              <w:widowControl/>
              <w:snapToGrid w:val="0"/>
              <w:jc w:val="center"/>
              <w:textAlignment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项目建设</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地点</w:t>
            </w: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符合环境功能规划（或无环境功能规划）</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不符合环境功能规划，但不在保护区内</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位于自然保护区实验区</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饮用水水源准保护区</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位于自然保护区缓冲区</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饮用水水源二级保护区</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位于自然保护区核心区</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饮用水水源一级保护区</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违法持续</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时间</w:t>
            </w: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个月以内的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超过</w:t>
            </w: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个月并且在</w:t>
            </w: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个月以内的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超过</w:t>
            </w: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个月并且在</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年以内的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超过</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年并且在</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年6个月以内的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超过</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年6个月并且在</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年以内的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938" w:type="dxa"/>
            <w:gridSpan w:val="2"/>
            <w:vAlign w:val="center"/>
          </w:tcPr>
          <w:p>
            <w:pPr>
              <w:snapToGrid w:val="0"/>
              <w:ind w:firstLine="420" w:firstLineChars="200"/>
              <w:rPr>
                <w:rFonts w:ascii="Times New Roman" w:hAnsi="Times New Roman" w:cs="Times New Roman"/>
                <w:color w:val="000000"/>
                <w:highlight w:val="none"/>
              </w:rPr>
            </w:pPr>
          </w:p>
        </w:tc>
      </w:tr>
    </w:tbl>
    <w:p>
      <w:pPr>
        <w:snapToGrid w:val="0"/>
        <w:rPr>
          <w:rFonts w:ascii="Times New Roman" w:hAnsi="Times New Roman" w:cs="Times New Roman"/>
          <w:color w:val="000000"/>
          <w:sz w:val="10"/>
          <w:szCs w:val="10"/>
          <w:highlight w:val="none"/>
        </w:rPr>
      </w:pPr>
      <w:r>
        <w:rPr>
          <w:rFonts w:ascii="Times New Roman" w:hAnsi="Times New Roman" w:cs="Times New Roman"/>
          <w:color w:val="000000"/>
          <w:highlight w:val="none"/>
        </w:rPr>
        <w:br w:type="page"/>
      </w:r>
    </w:p>
    <w:tbl>
      <w:tblPr>
        <w:tblStyle w:val="14"/>
        <w:tblW w:w="920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tcPr>
          <w:p>
            <w:pPr>
              <w:snapToGrid w:val="0"/>
              <w:jc w:val="center"/>
              <w:rPr>
                <w:rFonts w:ascii="Times New Roman" w:hAnsi="Times New Roman" w:cs="Times New Roman"/>
                <w:color w:val="000000"/>
                <w:highlight w:val="none"/>
              </w:rPr>
            </w:pPr>
            <w:r>
              <w:rPr>
                <w:rFonts w:hint="eastAsia" w:ascii="Times New Roman" w:hAnsi="Times New Roman" w:eastAsia="仿宋_GB2312" w:cs="仿宋_GB2312"/>
                <w:b/>
                <w:bCs/>
                <w:sz w:val="32"/>
                <w:szCs w:val="32"/>
                <w:highlight w:val="none"/>
              </w:rPr>
              <w:t>（一）建设项目管理类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938" w:type="dxa"/>
            <w:gridSpan w:val="2"/>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38" w:type="dxa"/>
            <w:gridSpan w:val="2"/>
          </w:tcPr>
          <w:p>
            <w:pPr>
              <w:adjustRightInd w:val="0"/>
              <w:snapToGrid w:val="0"/>
              <w:spacing w:before="93" w:beforeLines="30" w:line="288" w:lineRule="auto"/>
              <w:ind w:firstLine="420" w:firstLineChars="200"/>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建设项目环境影响报告书、环境影响报告表存在基础资料明显不实，内容存在重大缺陷、遗漏或者虚假，环境影响评价结论不正确或者不合理等严重质量问题的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违反条款</w:t>
            </w:r>
          </w:p>
        </w:tc>
        <w:tc>
          <w:tcPr>
            <w:tcW w:w="7938" w:type="dxa"/>
            <w:gridSpan w:val="2"/>
          </w:tcPr>
          <w:p>
            <w:pPr>
              <w:pStyle w:val="12"/>
              <w:snapToGrid w:val="0"/>
              <w:spacing w:before="93" w:beforeLines="30" w:beforeAutospacing="0" w:after="0" w:afterAutospacing="0" w:line="288" w:lineRule="auto"/>
              <w:ind w:firstLine="482"/>
              <w:jc w:val="both"/>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b/>
                <w:bCs/>
                <w:color w:val="000000"/>
                <w:sz w:val="21"/>
                <w:szCs w:val="21"/>
                <w:highlight w:val="none"/>
              </w:rPr>
              <w:t>《中华人民共和国环境影响评价法》第二十条第一款</w:t>
            </w:r>
            <w:r>
              <w:rPr>
                <w:rFonts w:ascii="Times New Roman" w:hAnsi="Times New Roman" w:eastAsia="仿宋_GB2312" w:cs="Times New Roman"/>
                <w:b/>
                <w:bCs/>
                <w:color w:val="000000"/>
                <w:sz w:val="21"/>
                <w:szCs w:val="21"/>
                <w:highlight w:val="none"/>
              </w:rPr>
              <w:t xml:space="preserve"> </w:t>
            </w:r>
            <w:r>
              <w:rPr>
                <w:rFonts w:hint="eastAsia" w:ascii="Times New Roman" w:hAnsi="Times New Roman" w:eastAsia="仿宋_GB2312" w:cs="仿宋_GB2312"/>
                <w:color w:val="000000"/>
                <w:sz w:val="21"/>
                <w:szCs w:val="21"/>
                <w:highlight w:val="none"/>
              </w:rPr>
              <w:t>建设单位应当对建设项目环境影响报告书、环境影响报告表的内容和结论负责，接受委托编制建设项目环境影响报告书、环境影响报告表的技术单位对其编制的建设项目环境影响报告书、环境影响报告表承担相应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处罚依据</w:t>
            </w:r>
          </w:p>
        </w:tc>
        <w:tc>
          <w:tcPr>
            <w:tcW w:w="7938" w:type="dxa"/>
            <w:gridSpan w:val="2"/>
          </w:tcPr>
          <w:p>
            <w:pPr>
              <w:pStyle w:val="12"/>
              <w:snapToGrid w:val="0"/>
              <w:spacing w:before="93" w:beforeLines="30" w:beforeAutospacing="0" w:after="0" w:afterAutospacing="0" w:line="288" w:lineRule="auto"/>
              <w:ind w:firstLine="482"/>
              <w:jc w:val="both"/>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b/>
                <w:bCs/>
                <w:color w:val="000000"/>
                <w:sz w:val="21"/>
                <w:szCs w:val="21"/>
                <w:highlight w:val="none"/>
              </w:rPr>
              <w:t>《中华人民共和国环境影响评价法》第三十二条第一款</w:t>
            </w:r>
            <w:r>
              <w:rPr>
                <w:rFonts w:ascii="Times New Roman" w:hAnsi="Times New Roman" w:eastAsia="仿宋_GB2312" w:cs="Times New Roman"/>
                <w:b/>
                <w:bCs/>
                <w:color w:val="000000"/>
                <w:sz w:val="21"/>
                <w:szCs w:val="21"/>
                <w:highlight w:val="none"/>
              </w:rPr>
              <w:t xml:space="preserve"> </w:t>
            </w:r>
            <w:r>
              <w:rPr>
                <w:rFonts w:hint="eastAsia" w:ascii="Times New Roman" w:hAnsi="Times New Roman" w:eastAsia="仿宋_GB2312" w:cs="仿宋_GB2312"/>
                <w:color w:val="000000"/>
                <w:sz w:val="21"/>
                <w:szCs w:val="21"/>
                <w:highlight w:val="none"/>
              </w:rPr>
              <w:t>建设项目环境影响报告书、环境影响报告表存在基础资料明显不实，内容存在重大缺陷、遗漏或者虚假，环境影响评价结论不正确或者不合理等严重质量问题的，由设区的市级以上人民政府生态环境主管部门对建设单位处五十万元以上二百万元以下的罚款，并对建设单位的法定代表人、主要负责人、直接负责的主管人员和其他直接责任人员，处五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245"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9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项目建设</w:t>
            </w:r>
          </w:p>
          <w:p>
            <w:pPr>
              <w:snapToGrid w:val="0"/>
              <w:jc w:val="center"/>
              <w:rPr>
                <w:rFonts w:hint="eastAsia" w:ascii="Times New Roman" w:hAnsi="Times New Roman" w:cs="宋体"/>
                <w:b/>
                <w:bCs/>
                <w:color w:val="000000"/>
                <w:highlight w:val="none"/>
              </w:rPr>
            </w:pPr>
            <w:r>
              <w:rPr>
                <w:rFonts w:hint="eastAsia" w:ascii="Times New Roman" w:hAnsi="Times New Roman" w:cs="宋体"/>
                <w:b/>
                <w:bCs/>
                <w:color w:val="000000"/>
                <w:highlight w:val="none"/>
              </w:rPr>
              <w:t>情况★</w:t>
            </w:r>
          </w:p>
        </w:tc>
        <w:tc>
          <w:tcPr>
            <w:tcW w:w="5245" w:type="dxa"/>
            <w:vAlign w:val="center"/>
          </w:tcPr>
          <w:p>
            <w:pPr>
              <w:pStyle w:val="11"/>
              <w:snapToGrid w:val="0"/>
              <w:jc w:val="center"/>
              <w:rPr>
                <w:rFonts w:hint="eastAsia" w:ascii="仿宋_GB2312" w:hAnsi="仿宋" w:eastAsia="仿宋_GB2312" w:cs="仿宋_GB2312"/>
                <w:color w:val="000000"/>
                <w:sz w:val="21"/>
                <w:szCs w:val="21"/>
                <w:highlight w:val="none"/>
              </w:rPr>
            </w:pPr>
            <w:r>
              <w:rPr>
                <w:rFonts w:hint="eastAsia" w:ascii="仿宋_GB2312" w:hAnsi="仿宋" w:eastAsia="仿宋_GB2312" w:cs="仿宋_GB2312"/>
                <w:color w:val="000000"/>
                <w:sz w:val="21"/>
                <w:szCs w:val="21"/>
                <w:highlight w:val="none"/>
              </w:rPr>
              <w:t>已开工建设但主体工程未建成的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hint="eastAsia" w:ascii="Times New Roman" w:hAnsi="Times New Roman" w:cs="宋体"/>
                <w:b/>
                <w:bCs/>
                <w:color w:val="000000"/>
                <w:highlight w:val="none"/>
              </w:rPr>
            </w:pPr>
          </w:p>
        </w:tc>
        <w:tc>
          <w:tcPr>
            <w:tcW w:w="5245" w:type="dxa"/>
            <w:vAlign w:val="center"/>
          </w:tcPr>
          <w:p>
            <w:pPr>
              <w:pStyle w:val="11"/>
              <w:snapToGrid w:val="0"/>
              <w:jc w:val="center"/>
              <w:rPr>
                <w:rFonts w:hint="eastAsia" w:ascii="仿宋_GB2312" w:hAnsi="仿宋" w:eastAsia="仿宋_GB2312" w:cs="仿宋_GB2312"/>
                <w:color w:val="000000"/>
                <w:sz w:val="21"/>
                <w:szCs w:val="21"/>
                <w:highlight w:val="none"/>
              </w:rPr>
            </w:pPr>
            <w:r>
              <w:rPr>
                <w:rFonts w:hint="eastAsia" w:ascii="仿宋_GB2312" w:hAnsi="仿宋" w:eastAsia="仿宋_GB2312" w:cs="仿宋_GB2312"/>
                <w:color w:val="000000"/>
                <w:sz w:val="21"/>
                <w:szCs w:val="21"/>
                <w:highlight w:val="none"/>
              </w:rPr>
              <w:t>主体工程已建成但尚未投入生产或者使用的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hint="eastAsia" w:ascii="Times New Roman" w:hAnsi="Times New Roman" w:cs="宋体"/>
                <w:b/>
                <w:bCs/>
                <w:color w:val="000000"/>
                <w:highlight w:val="none"/>
              </w:rPr>
            </w:pPr>
          </w:p>
        </w:tc>
        <w:tc>
          <w:tcPr>
            <w:tcW w:w="5245" w:type="dxa"/>
            <w:vAlign w:val="center"/>
          </w:tcPr>
          <w:p>
            <w:pPr>
              <w:pStyle w:val="11"/>
              <w:snapToGrid w:val="0"/>
              <w:jc w:val="center"/>
              <w:rPr>
                <w:rFonts w:hint="eastAsia" w:ascii="仿宋_GB2312" w:hAnsi="仿宋" w:eastAsia="仿宋_GB2312" w:cs="仿宋_GB2312"/>
                <w:color w:val="000000"/>
                <w:sz w:val="21"/>
                <w:szCs w:val="21"/>
                <w:highlight w:val="none"/>
              </w:rPr>
            </w:pPr>
            <w:r>
              <w:rPr>
                <w:rFonts w:hint="eastAsia" w:ascii="仿宋_GB2312" w:hAnsi="仿宋" w:eastAsia="仿宋_GB2312" w:cs="仿宋_GB2312"/>
                <w:color w:val="000000"/>
                <w:sz w:val="21"/>
                <w:szCs w:val="21"/>
                <w:highlight w:val="none"/>
              </w:rPr>
              <w:t>主体工程已投入生产或者使用的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项目应报批的环评文件类别</w:t>
            </w:r>
          </w:p>
        </w:tc>
        <w:tc>
          <w:tcPr>
            <w:tcW w:w="5245"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报告表</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报告书</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报告书（化工、电镀、皮革、造纸、制浆、冶炼、放射性、印染、染料、炼焦、炼油项目）</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项目建设</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地点</w:t>
            </w: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符合环境功能规划（或无环境功能规划）</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不符合环境功能规划，但不在保护区内</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bookmarkStart w:id="19" w:name="_Hlk25071444"/>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位于自然保护区实验区</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饮用水水源准保护区</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位于自然保护区缓冲区</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饮用水水源二级保护区</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位于自然保护区核心区</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饮用水水源一级保护区</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bookmark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938" w:type="dxa"/>
            <w:gridSpan w:val="2"/>
            <w:vAlign w:val="center"/>
          </w:tcPr>
          <w:p>
            <w:pPr>
              <w:snapToGrid w:val="0"/>
              <w:jc w:val="center"/>
              <w:rPr>
                <w:rFonts w:ascii="Times New Roman" w:hAnsi="Times New Roman" w:cs="Times New Roman"/>
                <w:color w:val="000000"/>
                <w:highlight w:val="none"/>
              </w:rPr>
            </w:pPr>
          </w:p>
        </w:tc>
      </w:tr>
    </w:tbl>
    <w:p>
      <w:pPr>
        <w:snapToGrid w:val="0"/>
        <w:rPr>
          <w:rFonts w:ascii="Times New Roman" w:hAnsi="Times New Roman" w:cs="Times New Roman"/>
          <w:color w:val="000000"/>
          <w:sz w:val="10"/>
          <w:szCs w:val="10"/>
          <w:highlight w:val="none"/>
        </w:rPr>
      </w:pPr>
      <w:r>
        <w:rPr>
          <w:rFonts w:ascii="Times New Roman" w:hAnsi="Times New Roman" w:cs="Times New Roman"/>
          <w:color w:val="000000"/>
          <w:highlight w:val="none"/>
        </w:rPr>
        <w:br w:type="page"/>
      </w:r>
    </w:p>
    <w:tbl>
      <w:tblPr>
        <w:tblStyle w:val="14"/>
        <w:tblW w:w="920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tcPr>
          <w:p>
            <w:pPr>
              <w:snapToGrid w:val="0"/>
              <w:jc w:val="center"/>
              <w:rPr>
                <w:rFonts w:ascii="Times New Roman" w:hAnsi="Times New Roman" w:cs="Times New Roman"/>
                <w:color w:val="000000"/>
                <w:highlight w:val="none"/>
              </w:rPr>
            </w:pPr>
            <w:r>
              <w:rPr>
                <w:rFonts w:hint="eastAsia" w:ascii="Times New Roman" w:hAnsi="Times New Roman" w:eastAsia="仿宋_GB2312" w:cs="仿宋_GB2312"/>
                <w:b/>
                <w:bCs/>
                <w:sz w:val="32"/>
                <w:szCs w:val="32"/>
                <w:highlight w:val="none"/>
              </w:rPr>
              <w:t>（一）建设项目管理类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938" w:type="dxa"/>
            <w:gridSpan w:val="2"/>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38" w:type="dxa"/>
            <w:gridSpan w:val="2"/>
          </w:tcPr>
          <w:p>
            <w:pPr>
              <w:snapToGrid w:val="0"/>
              <w:spacing w:before="93" w:beforeLines="30" w:line="288" w:lineRule="auto"/>
              <w:ind w:firstLine="420"/>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接受委托编制建设项目环境影响报告书、环境影响报告表的技术单位，违反有关环境影响评价标准和技术规范等规定，致使其编制的建设项目环境影响报告书、环境影响报告表存在基础资料明显不实，内容存在重大缺陷、遗漏或者虚假，环境影响评价结论不正确或者不合理等严重质量问题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违反条款</w:t>
            </w:r>
          </w:p>
        </w:tc>
        <w:tc>
          <w:tcPr>
            <w:tcW w:w="7938" w:type="dxa"/>
            <w:gridSpan w:val="2"/>
          </w:tcPr>
          <w:p>
            <w:pPr>
              <w:snapToGrid w:val="0"/>
              <w:spacing w:before="93" w:beforeLines="30" w:line="288" w:lineRule="auto"/>
              <w:ind w:firstLine="422" w:firstLineChars="200"/>
              <w:rPr>
                <w:rFonts w:ascii="Times New Roman" w:hAnsi="Times New Roman" w:eastAsia="仿宋_GB2312" w:cs="Times New Roman"/>
                <w:color w:val="000000"/>
                <w:highlight w:val="none"/>
                <w:shd w:val="clear" w:color="auto" w:fill="FFFFFF"/>
              </w:rPr>
            </w:pPr>
            <w:r>
              <w:rPr>
                <w:rFonts w:ascii="Times New Roman" w:hAnsi="Times New Roman" w:eastAsia="仿宋_GB2312" w:cs="Times New Roman"/>
                <w:b/>
                <w:bCs/>
                <w:color w:val="000000"/>
                <w:highlight w:val="none"/>
              </w:rPr>
              <w:t>1.</w:t>
            </w:r>
            <w:r>
              <w:rPr>
                <w:rFonts w:hint="eastAsia" w:ascii="Times New Roman" w:hAnsi="Times New Roman" w:eastAsia="仿宋_GB2312" w:cs="仿宋_GB2312"/>
                <w:b/>
                <w:bCs/>
                <w:color w:val="000000"/>
                <w:highlight w:val="none"/>
              </w:rPr>
              <w:t>《中华人民共和国环境影响评价法》</w:t>
            </w:r>
            <w:r>
              <w:rPr>
                <w:rFonts w:hint="eastAsia" w:ascii="Times New Roman" w:hAnsi="Times New Roman" w:eastAsia="仿宋_GB2312" w:cs="仿宋_GB2312"/>
                <w:b/>
                <w:bCs/>
                <w:color w:val="000000"/>
                <w:highlight w:val="none"/>
                <w:shd w:val="clear" w:color="auto" w:fill="FFFFFF"/>
              </w:rPr>
              <w:t>第二十条</w:t>
            </w:r>
            <w:r>
              <w:rPr>
                <w:rFonts w:ascii="Times New Roman" w:hAnsi="Times New Roman" w:eastAsia="仿宋_GB2312" w:cs="Times New Roman"/>
                <w:color w:val="000000"/>
                <w:highlight w:val="none"/>
                <w:shd w:val="clear" w:color="auto" w:fill="FFFFFF"/>
              </w:rPr>
              <w:t xml:space="preserve"> </w:t>
            </w:r>
            <w:r>
              <w:rPr>
                <w:rFonts w:hint="eastAsia" w:ascii="Times New Roman" w:hAnsi="Times New Roman" w:eastAsia="仿宋_GB2312" w:cs="仿宋_GB2312"/>
                <w:color w:val="000000"/>
                <w:highlight w:val="none"/>
                <w:shd w:val="clear" w:color="auto" w:fill="FFFFFF"/>
              </w:rPr>
              <w:t>建设单位应当对建设项目环境影响报告书、环境影响报告表的内容和结论负责，接受委托编制建设项目环境影响报告书、环境影响报告表的技术单位对其编制的建设项目环境影响报告书、环境影响报告表承担相应责任。</w:t>
            </w:r>
          </w:p>
          <w:p>
            <w:pPr>
              <w:snapToGrid w:val="0"/>
              <w:spacing w:line="288" w:lineRule="auto"/>
              <w:ind w:firstLine="422" w:firstLineChars="200"/>
              <w:rPr>
                <w:rFonts w:ascii="Times New Roman" w:hAnsi="Times New Roman" w:eastAsia="仿宋_GB2312" w:cs="Times New Roman"/>
                <w:color w:val="000000"/>
                <w:highlight w:val="none"/>
                <w:shd w:val="clear" w:color="auto" w:fill="FFFFFF"/>
              </w:rPr>
            </w:pPr>
            <w:r>
              <w:rPr>
                <w:rFonts w:ascii="Times New Roman" w:hAnsi="Times New Roman" w:eastAsia="仿宋_GB2312" w:cs="Times New Roman"/>
                <w:b/>
                <w:bCs/>
                <w:color w:val="000000"/>
                <w:highlight w:val="none"/>
              </w:rPr>
              <w:t>2.</w:t>
            </w:r>
            <w:r>
              <w:rPr>
                <w:rFonts w:hint="eastAsia" w:ascii="Times New Roman" w:hAnsi="Times New Roman" w:eastAsia="仿宋_GB2312" w:cs="仿宋_GB2312"/>
                <w:b/>
                <w:bCs/>
                <w:color w:val="000000"/>
                <w:highlight w:val="none"/>
              </w:rPr>
              <w:t>《中华人民共和国环境影响评价法》</w:t>
            </w:r>
            <w:r>
              <w:rPr>
                <w:rFonts w:hint="eastAsia" w:ascii="Times New Roman" w:hAnsi="Times New Roman" w:eastAsia="仿宋_GB2312" w:cs="仿宋_GB2312"/>
                <w:b/>
                <w:bCs/>
                <w:color w:val="000000"/>
                <w:highlight w:val="none"/>
                <w:shd w:val="clear" w:color="auto" w:fill="FFFFFF"/>
              </w:rPr>
              <w:t>第二十八条</w:t>
            </w:r>
            <w:r>
              <w:rPr>
                <w:rFonts w:ascii="Times New Roman" w:hAnsi="Times New Roman" w:eastAsia="仿宋_GB2312" w:cs="Times New Roman"/>
                <w:color w:val="000000"/>
                <w:highlight w:val="none"/>
                <w:shd w:val="clear" w:color="auto" w:fill="FFFFFF"/>
              </w:rPr>
              <w:t xml:space="preserve"> </w:t>
            </w:r>
            <w:r>
              <w:rPr>
                <w:rFonts w:hint="eastAsia" w:ascii="Times New Roman" w:hAnsi="Times New Roman" w:eastAsia="仿宋_GB2312" w:cs="仿宋_GB2312"/>
                <w:color w:val="000000"/>
                <w:highlight w:val="none"/>
                <w:shd w:val="clear" w:color="auto" w:fill="FFFFFF"/>
              </w:rPr>
              <w:t>生态环境主管部门应当对建设项目投入生产或者使用后所产生的环境影响进行跟踪检查，对造成严重环境污染或者生态破坏的，应当查清原因、查明责任。对属于建设项目环境影响报告书、环境影响报告表存在基础资料明显不实，内容存在重大缺陷、遗漏或者虚假，环境影响评价结论不正确或者不合理等严重质量问题的，依照本法第三十二条的规定追究建设单位及其相关责任人员和接受委托编制建设项目环境影响报告书、环境影响报告表的技术单位及其相关人员的法律责任；属于审批部门工作人员失职、渎职，对依法不应批准的建设项目环境影响报告书、环境影响报告表予以批准的，依照本法第三十四条的规定追究其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处罚依据</w:t>
            </w:r>
          </w:p>
        </w:tc>
        <w:tc>
          <w:tcPr>
            <w:tcW w:w="7938" w:type="dxa"/>
            <w:gridSpan w:val="2"/>
          </w:tcPr>
          <w:p>
            <w:pPr>
              <w:pStyle w:val="12"/>
              <w:snapToGrid w:val="0"/>
              <w:spacing w:before="93" w:beforeLines="30" w:beforeAutospacing="0" w:after="0" w:afterAutospacing="0" w:line="288" w:lineRule="auto"/>
              <w:ind w:firstLine="482"/>
              <w:rPr>
                <w:rFonts w:ascii="Times New Roman" w:hAnsi="Times New Roman" w:eastAsia="仿宋_GB2312" w:cs="Times New Roman"/>
                <w:color w:val="000000"/>
                <w:kern w:val="2"/>
                <w:sz w:val="21"/>
                <w:szCs w:val="21"/>
                <w:highlight w:val="none"/>
              </w:rPr>
            </w:pPr>
            <w:r>
              <w:rPr>
                <w:rFonts w:hint="eastAsia" w:ascii="Times New Roman" w:hAnsi="Times New Roman" w:eastAsia="仿宋_GB2312" w:cs="仿宋_GB2312"/>
                <w:b/>
                <w:bCs/>
                <w:color w:val="000000"/>
                <w:kern w:val="2"/>
                <w:sz w:val="21"/>
                <w:szCs w:val="21"/>
                <w:highlight w:val="none"/>
              </w:rPr>
              <w:t>《中华人民共和国环境影响评价法》第三十二条第二款</w:t>
            </w:r>
            <w:r>
              <w:rPr>
                <w:rFonts w:ascii="Times New Roman" w:hAnsi="Times New Roman" w:eastAsia="仿宋_GB2312" w:cs="Times New Roman"/>
                <w:color w:val="000000"/>
                <w:kern w:val="2"/>
                <w:sz w:val="21"/>
                <w:szCs w:val="21"/>
                <w:highlight w:val="none"/>
              </w:rPr>
              <w:t xml:space="preserve"> </w:t>
            </w:r>
            <w:r>
              <w:rPr>
                <w:rFonts w:hint="eastAsia" w:ascii="Times New Roman" w:hAnsi="Times New Roman" w:eastAsia="仿宋_GB2312" w:cs="仿宋_GB2312"/>
                <w:color w:val="000000"/>
                <w:kern w:val="2"/>
                <w:sz w:val="21"/>
                <w:szCs w:val="21"/>
                <w:highlight w:val="none"/>
              </w:rPr>
              <w:t>接受委托编制建设项目环境影响报告书、环境影响报告表的技术单位违反国家有关环境影响评价标准和技术规范等规定，致使其编制的建设项目环境影响报告书、环境影响报告表存在基础资料明显不实，内容存在重大缺陷、遗漏或者虚假，环境影响评价结论不正确或者不合理等严重质量问题的，由设区的市级以上人民政府生态环境主管部门对技术单位处所收费用三倍以上五倍以下的罚款；情节严重的，禁止从事环境影响报告书、环境影响报告表编制工作；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245"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9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45" w:type="dxa"/>
            <w:vAlign w:val="center"/>
          </w:tcPr>
          <w:p>
            <w:pPr>
              <w:pStyle w:val="11"/>
              <w:snapToGrid w:val="0"/>
              <w:jc w:val="center"/>
              <w:rPr>
                <w:rFonts w:ascii="Times New Roman" w:hAnsi="Times New Roman" w:eastAsia="仿宋_GB2312" w:cs="Times New Roman"/>
                <w:color w:val="000000"/>
                <w:kern w:val="2"/>
                <w:sz w:val="21"/>
                <w:szCs w:val="21"/>
                <w:highlight w:val="none"/>
              </w:rPr>
            </w:pPr>
            <w:r>
              <w:rPr>
                <w:rFonts w:hint="eastAsia" w:ascii="Times New Roman" w:hAnsi="Times New Roman" w:eastAsia="仿宋_GB2312" w:cs="仿宋_GB2312"/>
                <w:color w:val="000000"/>
                <w:kern w:val="2"/>
                <w:sz w:val="21"/>
                <w:szCs w:val="21"/>
                <w:highlight w:val="none"/>
              </w:rPr>
              <w:t>在环境影响评价工作中部分弄虚作假，致使环境影响评价文件失实，但未获得环评批复的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11"/>
              <w:snapToGrid w:val="0"/>
              <w:jc w:val="center"/>
              <w:rPr>
                <w:rFonts w:ascii="Times New Roman" w:hAnsi="Times New Roman" w:eastAsia="仿宋_GB2312" w:cs="Times New Roman"/>
                <w:color w:val="000000"/>
                <w:kern w:val="2"/>
                <w:sz w:val="21"/>
                <w:szCs w:val="21"/>
                <w:highlight w:val="none"/>
              </w:rPr>
            </w:pPr>
            <w:r>
              <w:rPr>
                <w:rFonts w:hint="eastAsia" w:ascii="Times New Roman" w:hAnsi="Times New Roman" w:eastAsia="仿宋_GB2312" w:cs="仿宋_GB2312"/>
                <w:color w:val="000000"/>
                <w:kern w:val="2"/>
                <w:sz w:val="21"/>
                <w:szCs w:val="21"/>
                <w:highlight w:val="none"/>
              </w:rPr>
              <w:t>在环境影响评价工作中部分弄虚作假，致使环境影响评价文件失实，且获得环评批复的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11"/>
              <w:snapToGrid w:val="0"/>
              <w:jc w:val="center"/>
              <w:rPr>
                <w:rFonts w:ascii="Times New Roman" w:hAnsi="Times New Roman" w:eastAsia="仿宋_GB2312" w:cs="Times New Roman"/>
                <w:color w:val="000000"/>
                <w:kern w:val="2"/>
                <w:sz w:val="21"/>
                <w:szCs w:val="21"/>
                <w:highlight w:val="none"/>
              </w:rPr>
            </w:pPr>
            <w:r>
              <w:rPr>
                <w:rFonts w:hint="eastAsia" w:ascii="Times New Roman" w:hAnsi="Times New Roman" w:eastAsia="仿宋_GB2312" w:cs="仿宋_GB2312"/>
                <w:color w:val="000000"/>
                <w:kern w:val="2"/>
                <w:sz w:val="21"/>
                <w:szCs w:val="21"/>
                <w:highlight w:val="none"/>
              </w:rPr>
              <w:t>在环境影响评价工作中关键部分弄虚作假，致使环境影响评价文件失实，但未获得环评批复的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11"/>
              <w:snapToGrid w:val="0"/>
              <w:jc w:val="center"/>
              <w:rPr>
                <w:rFonts w:ascii="Times New Roman" w:hAnsi="Times New Roman" w:eastAsia="仿宋_GB2312" w:cs="Times New Roman"/>
                <w:color w:val="000000"/>
                <w:kern w:val="2"/>
                <w:sz w:val="21"/>
                <w:szCs w:val="21"/>
                <w:highlight w:val="none"/>
              </w:rPr>
            </w:pPr>
            <w:r>
              <w:rPr>
                <w:rFonts w:hint="eastAsia" w:ascii="Times New Roman" w:hAnsi="Times New Roman" w:eastAsia="仿宋_GB2312" w:cs="仿宋_GB2312"/>
                <w:color w:val="000000"/>
                <w:kern w:val="2"/>
                <w:sz w:val="21"/>
                <w:szCs w:val="21"/>
                <w:highlight w:val="none"/>
              </w:rPr>
              <w:t>在环境影响评价工作中关键部分弄虚作假，致使环境影响评价文件失实，且获得环评批复的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项目应报批的环评文件类别</w:t>
            </w: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报告表</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报告书</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报告书（化工、电镀、皮革、造纸、制浆、冶炼、放射性、印染、染料、炼焦、炼油项目）</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项目建设</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地点</w:t>
            </w: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符合环境功能规划（或无环境功能规划）</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不符合环境功能规划，但不在保护区内</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位于自然保护区试验区</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饮用水水源准保护区</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位于自然保护区缓冲区</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饮用水水源二级保护区</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tcBorders>
              <w:bottom w:val="single" w:color="auto" w:sz="4" w:space="0"/>
            </w:tcBorders>
            <w:vAlign w:val="center"/>
          </w:tcPr>
          <w:p>
            <w:pPr>
              <w:snapToGrid w:val="0"/>
              <w:jc w:val="center"/>
              <w:rPr>
                <w:rFonts w:ascii="Times New Roman" w:hAnsi="Times New Roman" w:cs="Times New Roman"/>
                <w:b/>
                <w:bCs/>
                <w:color w:val="000000"/>
                <w:highlight w:val="none"/>
              </w:rPr>
            </w:pPr>
          </w:p>
        </w:tc>
        <w:tc>
          <w:tcPr>
            <w:tcW w:w="5245" w:type="dxa"/>
            <w:tcBorders>
              <w:bottom w:val="single" w:color="auto" w:sz="4" w:space="0"/>
            </w:tcBorders>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位于自然保护区核心区</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饮用水水源一级保护区</w:t>
            </w:r>
          </w:p>
        </w:tc>
        <w:tc>
          <w:tcPr>
            <w:tcW w:w="2693" w:type="dxa"/>
            <w:tcBorders>
              <w:bottom w:val="single" w:color="auto" w:sz="4" w:space="0"/>
            </w:tcBorders>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938" w:type="dxa"/>
            <w:gridSpan w:val="2"/>
            <w:vAlign w:val="center"/>
          </w:tcPr>
          <w:p>
            <w:pPr>
              <w:snapToGrid w:val="0"/>
              <w:ind w:firstLine="420"/>
              <w:jc w:val="center"/>
              <w:rPr>
                <w:rFonts w:ascii="Times New Roman" w:hAnsi="Times New Roman" w:cs="Times New Roman"/>
                <w:color w:val="000000"/>
                <w:highlight w:val="none"/>
              </w:rPr>
            </w:pPr>
          </w:p>
        </w:tc>
      </w:tr>
    </w:tbl>
    <w:p>
      <w:pPr>
        <w:snapToGrid w:val="0"/>
        <w:spacing w:line="288" w:lineRule="auto"/>
        <w:rPr>
          <w:rFonts w:ascii="Times New Roman" w:hAnsi="Times New Roman" w:cs="Times New Roman"/>
          <w:color w:val="000000"/>
          <w:sz w:val="10"/>
          <w:szCs w:val="10"/>
          <w:highlight w:val="none"/>
        </w:rPr>
      </w:pPr>
      <w:r>
        <w:rPr>
          <w:rFonts w:ascii="Times New Roman" w:hAnsi="Times New Roman" w:cs="Times New Roman"/>
          <w:color w:val="000000"/>
          <w:highlight w:val="none"/>
        </w:rPr>
        <w:br w:type="page"/>
      </w:r>
    </w:p>
    <w:tbl>
      <w:tblPr>
        <w:tblStyle w:val="14"/>
        <w:tblW w:w="920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421"/>
        <w:gridCol w:w="2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仿宋_GB2312"/>
                <w:b/>
                <w:bCs/>
                <w:sz w:val="32"/>
                <w:szCs w:val="32"/>
                <w:highlight w:val="none"/>
              </w:rPr>
              <w:t>（一）建设项目管理类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938" w:type="dxa"/>
            <w:gridSpan w:val="2"/>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38" w:type="dxa"/>
            <w:gridSpan w:val="2"/>
          </w:tcPr>
          <w:p>
            <w:pPr>
              <w:snapToGrid w:val="0"/>
              <w:spacing w:before="93" w:beforeLines="30"/>
              <w:ind w:firstLine="420" w:firstLineChars="200"/>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编制建设项目初步设计未落实防治环境污染和生态破坏的措施以及环境保护设施投资概算，或者未将环境保护设施建设纳入施工合同的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违反条款</w:t>
            </w:r>
          </w:p>
        </w:tc>
        <w:tc>
          <w:tcPr>
            <w:tcW w:w="7938" w:type="dxa"/>
            <w:gridSpan w:val="2"/>
          </w:tcPr>
          <w:p>
            <w:pPr>
              <w:pStyle w:val="12"/>
              <w:snapToGrid w:val="0"/>
              <w:spacing w:before="0" w:beforeAutospacing="0" w:after="0" w:afterAutospacing="0"/>
              <w:ind w:firstLine="482"/>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b/>
                <w:bCs/>
                <w:color w:val="000000"/>
                <w:sz w:val="21"/>
                <w:szCs w:val="21"/>
                <w:highlight w:val="none"/>
              </w:rPr>
              <w:t>《建设项目环境保护管理条例》第十六条</w:t>
            </w:r>
            <w:r>
              <w:rPr>
                <w:rFonts w:ascii="Times New Roman" w:hAnsi="Times New Roman" w:eastAsia="仿宋_GB2312" w:cs="Times New Roman"/>
                <w:color w:val="000000"/>
                <w:sz w:val="21"/>
                <w:szCs w:val="21"/>
                <w:highlight w:val="none"/>
              </w:rPr>
              <w:t xml:space="preserve"> </w:t>
            </w:r>
            <w:r>
              <w:rPr>
                <w:rFonts w:hint="eastAsia" w:ascii="Times New Roman" w:hAnsi="Times New Roman" w:eastAsia="仿宋_GB2312" w:cs="仿宋_GB2312"/>
                <w:color w:val="000000"/>
                <w:sz w:val="21"/>
                <w:szCs w:val="21"/>
                <w:highlight w:val="none"/>
              </w:rPr>
              <w:t>建设项目的初步设计，应当按照环境保护设计规范的要求，编制环境保护篇章，落实防治环境污染和生态破坏的措施以及环境保护设施投资概算。</w:t>
            </w:r>
          </w:p>
          <w:p>
            <w:pPr>
              <w:pStyle w:val="12"/>
              <w:snapToGrid w:val="0"/>
              <w:spacing w:before="0" w:beforeAutospacing="0" w:after="0" w:afterAutospacing="0"/>
              <w:ind w:firstLine="482"/>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建设单位应当将环境保护设施建设纳入施工合同，保证环境保护设施建设进度和资金，并在项目建设过程中同时组织实施环境影响报告书、环境影响报告表及其审批部门审批决定中提出的环境保护对策措施。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处罚依据</w:t>
            </w:r>
          </w:p>
        </w:tc>
        <w:tc>
          <w:tcPr>
            <w:tcW w:w="7938" w:type="dxa"/>
            <w:gridSpan w:val="2"/>
          </w:tcPr>
          <w:p>
            <w:pPr>
              <w:pStyle w:val="12"/>
              <w:snapToGrid w:val="0"/>
              <w:spacing w:before="0" w:beforeAutospacing="0" w:after="0" w:afterAutospacing="0"/>
              <w:ind w:firstLine="420"/>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b/>
                <w:bCs/>
                <w:color w:val="000000"/>
                <w:sz w:val="21"/>
                <w:szCs w:val="21"/>
                <w:highlight w:val="none"/>
              </w:rPr>
              <w:t>《建设项目环境保护管理条例》第二十二条第一款</w:t>
            </w:r>
            <w:r>
              <w:rPr>
                <w:rFonts w:ascii="Times New Roman" w:hAnsi="Times New Roman" w:eastAsia="仿宋_GB2312" w:cs="Times New Roman"/>
                <w:color w:val="000000"/>
                <w:sz w:val="21"/>
                <w:szCs w:val="21"/>
                <w:highlight w:val="none"/>
              </w:rPr>
              <w:t xml:space="preserve"> </w:t>
            </w:r>
            <w:r>
              <w:rPr>
                <w:rFonts w:hint="eastAsia" w:ascii="Times New Roman" w:hAnsi="Times New Roman" w:eastAsia="仿宋_GB2312" w:cs="仿宋_GB2312"/>
                <w:color w:val="000000"/>
                <w:sz w:val="21"/>
                <w:szCs w:val="21"/>
                <w:highlight w:val="none"/>
              </w:rPr>
              <w:t>违反本条例规定，建设单位编制建设项目初步设计未落实防治环境污染和生态破坏的措施以及环境保护设施投资概算，未将环境保护设施建设纳入施工合同，或者未依法开展环境影响后评价的，由建设项目所在地县级以上环境保护行政主管部门责令限期改正，处</w:t>
            </w:r>
            <w:r>
              <w:rPr>
                <w:rFonts w:ascii="Times New Roman" w:hAnsi="Times New Roman" w:eastAsia="仿宋_GB2312" w:cs="Times New Roman"/>
                <w:color w:val="000000"/>
                <w:sz w:val="21"/>
                <w:szCs w:val="21"/>
                <w:highlight w:val="none"/>
              </w:rPr>
              <w:t>5</w:t>
            </w:r>
            <w:r>
              <w:rPr>
                <w:rFonts w:hint="eastAsia" w:ascii="Times New Roman" w:hAnsi="Times New Roman" w:eastAsia="仿宋_GB2312" w:cs="仿宋_GB2312"/>
                <w:color w:val="000000"/>
                <w:sz w:val="21"/>
                <w:szCs w:val="21"/>
                <w:highlight w:val="none"/>
              </w:rPr>
              <w:t>万元以上</w:t>
            </w:r>
            <w:r>
              <w:rPr>
                <w:rFonts w:ascii="Times New Roman" w:hAnsi="Times New Roman" w:eastAsia="仿宋_GB2312" w:cs="Times New Roman"/>
                <w:color w:val="000000"/>
                <w:sz w:val="21"/>
                <w:szCs w:val="21"/>
                <w:highlight w:val="none"/>
              </w:rPr>
              <w:t>20</w:t>
            </w:r>
            <w:r>
              <w:rPr>
                <w:rFonts w:hint="eastAsia" w:ascii="Times New Roman" w:hAnsi="Times New Roman" w:eastAsia="仿宋_GB2312" w:cs="仿宋_GB2312"/>
                <w:color w:val="000000"/>
                <w:sz w:val="21"/>
                <w:szCs w:val="21"/>
                <w:highlight w:val="none"/>
              </w:rPr>
              <w:t>万元以下的罚款；逾期不改正的，处</w:t>
            </w:r>
            <w:r>
              <w:rPr>
                <w:rFonts w:ascii="Times New Roman" w:hAnsi="Times New Roman" w:eastAsia="仿宋_GB2312" w:cs="Times New Roman"/>
                <w:color w:val="000000"/>
                <w:sz w:val="21"/>
                <w:szCs w:val="21"/>
                <w:highlight w:val="none"/>
              </w:rPr>
              <w:t>20</w:t>
            </w:r>
            <w:r>
              <w:rPr>
                <w:rFonts w:hint="eastAsia" w:ascii="Times New Roman" w:hAnsi="Times New Roman" w:eastAsia="仿宋_GB2312" w:cs="仿宋_GB2312"/>
                <w:color w:val="000000"/>
                <w:sz w:val="21"/>
                <w:szCs w:val="21"/>
                <w:highlight w:val="none"/>
              </w:rPr>
              <w:t>万元以上</w:t>
            </w:r>
            <w:r>
              <w:rPr>
                <w:rFonts w:ascii="Times New Roman" w:hAnsi="Times New Roman" w:eastAsia="仿宋_GB2312" w:cs="Times New Roman"/>
                <w:color w:val="000000"/>
                <w:sz w:val="21"/>
                <w:szCs w:val="21"/>
                <w:highlight w:val="none"/>
              </w:rPr>
              <w:t>100</w:t>
            </w:r>
            <w:r>
              <w:rPr>
                <w:rFonts w:hint="eastAsia" w:ascii="Times New Roman" w:hAnsi="Times New Roman" w:eastAsia="仿宋_GB2312" w:cs="仿宋_GB2312"/>
                <w:color w:val="000000"/>
                <w:sz w:val="21"/>
                <w:szCs w:val="21"/>
                <w:highlight w:val="none"/>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42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517"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restart"/>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421"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未落实防治环境污染和生态破坏的措施以及环境保护设施投资概算，未将环境保护设施建设纳入施工合同的，符合其中任意一项的</w:t>
            </w:r>
          </w:p>
        </w:tc>
        <w:tc>
          <w:tcPr>
            <w:tcW w:w="2517" w:type="dxa"/>
            <w:vAlign w:val="center"/>
          </w:tcPr>
          <w:p>
            <w:pPr>
              <w:snapToGrid w:val="0"/>
              <w:spacing w:line="288" w:lineRule="auto"/>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spacing w:line="288" w:lineRule="auto"/>
              <w:jc w:val="center"/>
              <w:rPr>
                <w:rFonts w:ascii="Times New Roman" w:hAnsi="Times New Roman" w:cs="Times New Roman"/>
                <w:b/>
                <w:bCs/>
                <w:color w:val="000000"/>
                <w:highlight w:val="none"/>
              </w:rPr>
            </w:pPr>
          </w:p>
        </w:tc>
        <w:tc>
          <w:tcPr>
            <w:tcW w:w="5421"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未落实防治环境污染和生态破坏的措施以及环境保护设施投资概算，并且未将环境保护设施建设纳入施工合同的，符合其中任意两项的</w:t>
            </w:r>
          </w:p>
        </w:tc>
        <w:tc>
          <w:tcPr>
            <w:tcW w:w="2517" w:type="dxa"/>
            <w:vAlign w:val="center"/>
          </w:tcPr>
          <w:p>
            <w:pPr>
              <w:snapToGrid w:val="0"/>
              <w:spacing w:line="288" w:lineRule="auto"/>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spacing w:line="288" w:lineRule="auto"/>
              <w:jc w:val="center"/>
              <w:rPr>
                <w:rFonts w:ascii="Times New Roman" w:hAnsi="Times New Roman" w:cs="Times New Roman"/>
                <w:b/>
                <w:bCs/>
                <w:color w:val="000000"/>
                <w:highlight w:val="none"/>
              </w:rPr>
            </w:pPr>
          </w:p>
        </w:tc>
        <w:tc>
          <w:tcPr>
            <w:tcW w:w="5421"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未落实防治环境污染和生态破坏的措施以及环境保护设施投资概算，并且未将环境保护设施建设纳入施工合同的，三项均未落实的</w:t>
            </w:r>
          </w:p>
        </w:tc>
        <w:tc>
          <w:tcPr>
            <w:tcW w:w="2517" w:type="dxa"/>
            <w:vAlign w:val="center"/>
          </w:tcPr>
          <w:p>
            <w:pPr>
              <w:snapToGrid w:val="0"/>
              <w:spacing w:line="288" w:lineRule="auto"/>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项目应报批的环评文件类别</w:t>
            </w:r>
          </w:p>
        </w:tc>
        <w:tc>
          <w:tcPr>
            <w:tcW w:w="5421"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报告表</w:t>
            </w:r>
          </w:p>
        </w:tc>
        <w:tc>
          <w:tcPr>
            <w:tcW w:w="251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42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报告书</w:t>
            </w:r>
          </w:p>
        </w:tc>
        <w:tc>
          <w:tcPr>
            <w:tcW w:w="251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42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报告书（化工、电镀、皮革、造纸、制浆、冶炼、放射性、印染、染料、炼焦、炼油项目）</w:t>
            </w:r>
          </w:p>
        </w:tc>
        <w:tc>
          <w:tcPr>
            <w:tcW w:w="251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项目建设</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地点</w:t>
            </w:r>
          </w:p>
        </w:tc>
        <w:tc>
          <w:tcPr>
            <w:tcW w:w="542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符合环境功能规划（或无环境功能规划）</w:t>
            </w:r>
          </w:p>
        </w:tc>
        <w:tc>
          <w:tcPr>
            <w:tcW w:w="251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42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不符合环境功能规划，但不在保护区内</w:t>
            </w:r>
          </w:p>
        </w:tc>
        <w:tc>
          <w:tcPr>
            <w:tcW w:w="251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42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位于自然保护区试验区</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饮用水水源准保护区</w:t>
            </w:r>
          </w:p>
        </w:tc>
        <w:tc>
          <w:tcPr>
            <w:tcW w:w="251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42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位于自然保护区缓冲区</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饮用水水源二级保护区</w:t>
            </w:r>
          </w:p>
        </w:tc>
        <w:tc>
          <w:tcPr>
            <w:tcW w:w="251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42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位于自然保护区核心区</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饮用水水源一级保护区</w:t>
            </w:r>
          </w:p>
        </w:tc>
        <w:tc>
          <w:tcPr>
            <w:tcW w:w="251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超过限期</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改正时间（仅适用于</w:t>
            </w:r>
            <w:r>
              <w:rPr>
                <w:rFonts w:ascii="Times New Roman" w:hAnsi="Times New Roman" w:cs="宋体"/>
                <w:b/>
                <w:bCs/>
                <w:color w:val="000000"/>
                <w:highlight w:val="none"/>
              </w:rPr>
              <w:t>逾期不改正情形</w:t>
            </w:r>
            <w:r>
              <w:rPr>
                <w:rFonts w:hint="eastAsia" w:ascii="Times New Roman" w:hAnsi="Times New Roman" w:cs="宋体"/>
                <w:b/>
                <w:bCs/>
                <w:color w:val="000000"/>
                <w:highlight w:val="none"/>
              </w:rPr>
              <w:t>）</w:t>
            </w:r>
          </w:p>
        </w:tc>
        <w:tc>
          <w:tcPr>
            <w:tcW w:w="542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1个月</w:t>
            </w:r>
            <w:r>
              <w:rPr>
                <w:rFonts w:ascii="Times New Roman" w:hAnsi="Times New Roman" w:eastAsia="仿宋_GB2312" w:cs="仿宋_GB2312"/>
                <w:color w:val="000000"/>
                <w:highlight w:val="none"/>
              </w:rPr>
              <w:t>以内</w:t>
            </w:r>
          </w:p>
        </w:tc>
        <w:tc>
          <w:tcPr>
            <w:tcW w:w="251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42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r>
              <w:rPr>
                <w:rFonts w:hint="eastAsia" w:ascii="Times New Roman" w:hAnsi="Times New Roman" w:eastAsia="仿宋_GB2312" w:cs="Times New Roman"/>
                <w:color w:val="000000"/>
                <w:highlight w:val="none"/>
              </w:rPr>
              <w:t>个月</w:t>
            </w:r>
            <w:r>
              <w:rPr>
                <w:rFonts w:hint="eastAsia" w:ascii="Times New Roman" w:hAnsi="Times New Roman" w:eastAsia="仿宋_GB2312" w:cs="仿宋_GB2312"/>
                <w:color w:val="000000"/>
                <w:highlight w:val="none"/>
              </w:rPr>
              <w:t>以上不足</w:t>
            </w:r>
            <w:r>
              <w:rPr>
                <w:rFonts w:ascii="Times New Roman" w:hAnsi="Times New Roman" w:eastAsia="仿宋_GB2312" w:cs="Times New Roman"/>
                <w:color w:val="000000"/>
                <w:highlight w:val="none"/>
              </w:rPr>
              <w:t>3</w:t>
            </w:r>
            <w:r>
              <w:rPr>
                <w:rFonts w:hint="eastAsia" w:ascii="Times New Roman" w:hAnsi="Times New Roman" w:eastAsia="仿宋_GB2312" w:cs="Times New Roman"/>
                <w:color w:val="000000"/>
                <w:highlight w:val="none"/>
              </w:rPr>
              <w:t>个月</w:t>
            </w:r>
          </w:p>
        </w:tc>
        <w:tc>
          <w:tcPr>
            <w:tcW w:w="251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42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Times New Roman"/>
                <w:color w:val="000000"/>
                <w:highlight w:val="none"/>
              </w:rPr>
              <w:t>个月</w:t>
            </w:r>
            <w:r>
              <w:rPr>
                <w:rFonts w:hint="eastAsia" w:ascii="Times New Roman" w:hAnsi="Times New Roman" w:eastAsia="仿宋_GB2312" w:cs="仿宋_GB2312"/>
                <w:color w:val="000000"/>
                <w:highlight w:val="none"/>
              </w:rPr>
              <w:t>以上不足</w:t>
            </w:r>
            <w:r>
              <w:rPr>
                <w:rFonts w:ascii="Times New Roman" w:hAnsi="Times New Roman" w:eastAsia="仿宋_GB2312" w:cs="Times New Roman"/>
                <w:color w:val="000000"/>
                <w:highlight w:val="none"/>
              </w:rPr>
              <w:t>6</w:t>
            </w:r>
            <w:r>
              <w:rPr>
                <w:rFonts w:hint="eastAsia" w:ascii="Times New Roman" w:hAnsi="Times New Roman" w:eastAsia="仿宋_GB2312" w:cs="Times New Roman"/>
                <w:color w:val="000000"/>
                <w:highlight w:val="none"/>
              </w:rPr>
              <w:t>个月</w:t>
            </w:r>
          </w:p>
        </w:tc>
        <w:tc>
          <w:tcPr>
            <w:tcW w:w="251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42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6</w:t>
            </w:r>
            <w:r>
              <w:rPr>
                <w:rFonts w:hint="eastAsia" w:ascii="Times New Roman" w:hAnsi="Times New Roman" w:eastAsia="仿宋_GB2312" w:cs="Times New Roman"/>
                <w:color w:val="000000"/>
                <w:highlight w:val="none"/>
              </w:rPr>
              <w:t>个月</w:t>
            </w:r>
            <w:r>
              <w:rPr>
                <w:rFonts w:hint="eastAsia" w:ascii="Times New Roman" w:hAnsi="Times New Roman" w:eastAsia="仿宋_GB2312" w:cs="仿宋_GB2312"/>
                <w:color w:val="000000"/>
                <w:highlight w:val="none"/>
              </w:rPr>
              <w:t>以上不足</w:t>
            </w:r>
            <w:r>
              <w:rPr>
                <w:rFonts w:ascii="Times New Roman" w:hAnsi="Times New Roman" w:eastAsia="仿宋_GB2312" w:cs="Times New Roman"/>
                <w:color w:val="000000"/>
                <w:highlight w:val="none"/>
              </w:rPr>
              <w:t>12</w:t>
            </w:r>
            <w:r>
              <w:rPr>
                <w:rFonts w:hint="eastAsia" w:ascii="Times New Roman" w:hAnsi="Times New Roman" w:eastAsia="仿宋_GB2312" w:cs="仿宋_GB2312"/>
                <w:color w:val="000000"/>
                <w:highlight w:val="none"/>
              </w:rPr>
              <w:t>个月</w:t>
            </w:r>
          </w:p>
        </w:tc>
        <w:tc>
          <w:tcPr>
            <w:tcW w:w="251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42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12</w:t>
            </w:r>
            <w:r>
              <w:rPr>
                <w:rFonts w:hint="eastAsia" w:ascii="Times New Roman" w:hAnsi="Times New Roman" w:eastAsia="仿宋_GB2312" w:cs="仿宋_GB2312"/>
                <w:color w:val="000000"/>
                <w:highlight w:val="none"/>
              </w:rPr>
              <w:t>个月以上</w:t>
            </w:r>
          </w:p>
        </w:tc>
        <w:tc>
          <w:tcPr>
            <w:tcW w:w="251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938" w:type="dxa"/>
            <w:gridSpan w:val="2"/>
          </w:tcPr>
          <w:p>
            <w:pPr>
              <w:snapToGrid w:val="0"/>
              <w:spacing w:line="288" w:lineRule="auto"/>
              <w:ind w:firstLine="420"/>
              <w:jc w:val="center"/>
              <w:rPr>
                <w:rFonts w:ascii="Times New Roman" w:hAnsi="Times New Roman" w:cs="Times New Roman"/>
                <w:color w:val="000000"/>
                <w:highlight w:val="none"/>
              </w:rPr>
            </w:pPr>
          </w:p>
        </w:tc>
      </w:tr>
    </w:tbl>
    <w:p>
      <w:pPr>
        <w:snapToGrid w:val="0"/>
        <w:rPr>
          <w:rFonts w:ascii="Times New Roman" w:hAnsi="Times New Roman" w:cs="Times New Roman"/>
          <w:color w:val="000000"/>
          <w:sz w:val="10"/>
          <w:szCs w:val="10"/>
          <w:highlight w:val="none"/>
        </w:rPr>
      </w:pPr>
      <w:r>
        <w:rPr>
          <w:rFonts w:ascii="Times New Roman" w:hAnsi="Times New Roman" w:cs="Times New Roman"/>
          <w:color w:val="000000"/>
          <w:highlight w:val="none"/>
        </w:rPr>
        <w:br w:type="page"/>
      </w:r>
    </w:p>
    <w:tbl>
      <w:tblPr>
        <w:tblStyle w:val="14"/>
        <w:tblW w:w="920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209" w:type="dxa"/>
            <w:gridSpan w:val="3"/>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仿宋_GB2312"/>
                <w:b/>
                <w:bCs/>
                <w:sz w:val="32"/>
                <w:szCs w:val="32"/>
                <w:highlight w:val="none"/>
              </w:rPr>
              <w:t>（一）建设项目管理类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938" w:type="dxa"/>
            <w:gridSpan w:val="2"/>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38" w:type="dxa"/>
            <w:gridSpan w:val="2"/>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未依法开展环境影响后评价的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违反条款</w:t>
            </w:r>
          </w:p>
        </w:tc>
        <w:tc>
          <w:tcPr>
            <w:tcW w:w="7938" w:type="dxa"/>
            <w:gridSpan w:val="2"/>
          </w:tcPr>
          <w:p>
            <w:pPr>
              <w:snapToGrid w:val="0"/>
              <w:spacing w:before="93" w:beforeLines="30" w:line="288" w:lineRule="auto"/>
              <w:ind w:firstLine="420"/>
              <w:rPr>
                <w:rFonts w:ascii="Times New Roman" w:hAnsi="Times New Roman" w:eastAsia="仿宋_GB2312" w:cs="Times New Roman"/>
                <w:color w:val="000000"/>
                <w:highlight w:val="none"/>
              </w:rPr>
            </w:pPr>
            <w:r>
              <w:rPr>
                <w:rFonts w:ascii="Times New Roman" w:hAnsi="Times New Roman" w:eastAsia="仿宋_GB2312" w:cs="Times New Roman"/>
                <w:b/>
                <w:bCs/>
                <w:color w:val="000000"/>
                <w:highlight w:val="none"/>
              </w:rPr>
              <w:t>1.</w:t>
            </w:r>
            <w:r>
              <w:rPr>
                <w:rFonts w:hint="eastAsia" w:ascii="Times New Roman" w:hAnsi="Times New Roman" w:eastAsia="仿宋_GB2312" w:cs="仿宋_GB2312"/>
                <w:b/>
                <w:bCs/>
                <w:color w:val="000000"/>
                <w:highlight w:val="none"/>
              </w:rPr>
              <w:t>《建设项目环境保护管理条例》第十九条</w:t>
            </w:r>
            <w:r>
              <w:rPr>
                <w:rFonts w:ascii="Times New Roman" w:hAnsi="Times New Roman" w:eastAsia="仿宋_GB2312" w:cs="Times New Roman"/>
                <w:color w:val="000000"/>
                <w:highlight w:val="none"/>
              </w:rPr>
              <w:t xml:space="preserve"> </w:t>
            </w:r>
            <w:r>
              <w:rPr>
                <w:rFonts w:hint="eastAsia" w:ascii="Times New Roman" w:hAnsi="Times New Roman" w:eastAsia="仿宋_GB2312" w:cs="仿宋_GB2312"/>
                <w:color w:val="000000"/>
                <w:highlight w:val="none"/>
              </w:rPr>
              <w:t>编制环境影响报告书、环境影响报告表的建设项目，其配套建设的环境保护设施经验收合格，方可投入生产或者使用；未经验收或者验收不合格的，不得投入生产或者使用。</w:t>
            </w:r>
          </w:p>
          <w:p>
            <w:pPr>
              <w:pStyle w:val="12"/>
              <w:snapToGrid w:val="0"/>
              <w:spacing w:before="0" w:beforeAutospacing="0" w:after="0" w:afterAutospacing="0" w:line="288" w:lineRule="auto"/>
              <w:ind w:firstLine="482"/>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前款规定的建设项目投入生产或者使用后，应当按照国务院环境保护行政主管部门的规定开展环境影响后评价。</w:t>
            </w:r>
          </w:p>
          <w:p>
            <w:pPr>
              <w:pStyle w:val="12"/>
              <w:snapToGrid w:val="0"/>
              <w:spacing w:before="0" w:beforeAutospacing="0" w:after="0" w:afterAutospacing="0" w:line="288" w:lineRule="auto"/>
              <w:ind w:firstLine="482"/>
              <w:rPr>
                <w:rFonts w:ascii="Times New Roman" w:hAnsi="Times New Roman" w:eastAsia="仿宋_GB2312" w:cs="Times New Roman"/>
                <w:color w:val="000000"/>
                <w:sz w:val="21"/>
                <w:szCs w:val="21"/>
                <w:highlight w:val="none"/>
              </w:rPr>
            </w:pPr>
            <w:r>
              <w:rPr>
                <w:rFonts w:ascii="Times New Roman" w:hAnsi="Times New Roman" w:eastAsia="仿宋_GB2312" w:cs="Times New Roman"/>
                <w:b/>
                <w:bCs/>
                <w:color w:val="000000"/>
                <w:sz w:val="21"/>
                <w:szCs w:val="21"/>
                <w:highlight w:val="none"/>
              </w:rPr>
              <w:t>2.</w:t>
            </w:r>
            <w:r>
              <w:rPr>
                <w:rFonts w:hint="eastAsia" w:ascii="Times New Roman" w:hAnsi="Times New Roman" w:eastAsia="仿宋_GB2312" w:cs="仿宋_GB2312"/>
                <w:b/>
                <w:bCs/>
                <w:color w:val="000000"/>
                <w:sz w:val="21"/>
                <w:szCs w:val="21"/>
                <w:highlight w:val="none"/>
              </w:rPr>
              <w:t>《山东省实施</w:t>
            </w:r>
            <w:r>
              <w:rPr>
                <w:rFonts w:ascii="Times New Roman" w:hAnsi="Times New Roman" w:eastAsia="仿宋_GB2312" w:cs="Times New Roman"/>
                <w:b/>
                <w:bCs/>
                <w:color w:val="000000"/>
                <w:sz w:val="21"/>
                <w:szCs w:val="21"/>
                <w:highlight w:val="none"/>
              </w:rPr>
              <w:t>&lt;</w:t>
            </w:r>
            <w:r>
              <w:rPr>
                <w:rFonts w:hint="eastAsia" w:ascii="Times New Roman" w:hAnsi="Times New Roman" w:eastAsia="仿宋_GB2312" w:cs="仿宋_GB2312"/>
                <w:b/>
                <w:bCs/>
                <w:color w:val="000000"/>
                <w:sz w:val="21"/>
                <w:szCs w:val="21"/>
                <w:highlight w:val="none"/>
              </w:rPr>
              <w:t>中华人民共和国环境影响评价法</w:t>
            </w:r>
            <w:r>
              <w:rPr>
                <w:rFonts w:ascii="Times New Roman" w:hAnsi="Times New Roman" w:eastAsia="仿宋_GB2312" w:cs="Times New Roman"/>
                <w:b/>
                <w:bCs/>
                <w:color w:val="000000"/>
                <w:sz w:val="21"/>
                <w:szCs w:val="21"/>
                <w:highlight w:val="none"/>
              </w:rPr>
              <w:t>&gt;</w:t>
            </w:r>
            <w:r>
              <w:rPr>
                <w:rFonts w:hint="eastAsia" w:ascii="Times New Roman" w:hAnsi="Times New Roman" w:eastAsia="仿宋_GB2312" w:cs="仿宋_GB2312"/>
                <w:b/>
                <w:bCs/>
                <w:color w:val="000000"/>
                <w:sz w:val="21"/>
                <w:szCs w:val="21"/>
                <w:highlight w:val="none"/>
              </w:rPr>
              <w:t>办法》第二十条</w:t>
            </w:r>
            <w:r>
              <w:rPr>
                <w:rFonts w:ascii="Times New Roman" w:hAnsi="Times New Roman" w:eastAsia="仿宋_GB2312" w:cs="Times New Roman"/>
                <w:b/>
                <w:bCs/>
                <w:color w:val="000000"/>
                <w:sz w:val="21"/>
                <w:szCs w:val="21"/>
                <w:highlight w:val="none"/>
              </w:rPr>
              <w:t xml:space="preserve"> </w:t>
            </w:r>
            <w:r>
              <w:rPr>
                <w:rFonts w:hint="eastAsia" w:ascii="Times New Roman" w:hAnsi="Times New Roman" w:eastAsia="仿宋_GB2312" w:cs="仿宋_GB2312"/>
                <w:color w:val="000000"/>
                <w:sz w:val="21"/>
                <w:szCs w:val="21"/>
                <w:highlight w:val="none"/>
              </w:rPr>
              <w:t>有下列情形之一的，建设单位应当按照生态环境行政主管部门的规定组织环境影响后评价：</w:t>
            </w:r>
          </w:p>
          <w:p>
            <w:pPr>
              <w:pStyle w:val="12"/>
              <w:snapToGrid w:val="0"/>
              <w:spacing w:before="0" w:beforeAutospacing="0" w:after="0" w:afterAutospacing="0" w:line="288" w:lineRule="auto"/>
              <w:ind w:firstLine="482"/>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（一）在建设项目建设、运行过程中产生不符合经批准的环境影响评价文件的情形的；</w:t>
            </w:r>
          </w:p>
          <w:p>
            <w:pPr>
              <w:pStyle w:val="12"/>
              <w:snapToGrid w:val="0"/>
              <w:spacing w:before="0" w:beforeAutospacing="0" w:after="0" w:afterAutospacing="0" w:line="288" w:lineRule="auto"/>
              <w:ind w:firstLine="482"/>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（二）环境影响评价文件审批意见中规定应当进行环境影响后评价的。</w:t>
            </w:r>
          </w:p>
          <w:p>
            <w:pPr>
              <w:pStyle w:val="12"/>
              <w:snapToGrid w:val="0"/>
              <w:spacing w:before="0" w:beforeAutospacing="0" w:after="0" w:afterAutospacing="0" w:line="288" w:lineRule="auto"/>
              <w:ind w:firstLine="482"/>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建设单位开展环境影响后评价过程中，应当采取措施消除不良环境影响，并将相关情况向审批该项目环境影响评价文件的生态环境行政主管部门和有关部门备案。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处罚依据</w:t>
            </w:r>
          </w:p>
        </w:tc>
        <w:tc>
          <w:tcPr>
            <w:tcW w:w="7938" w:type="dxa"/>
            <w:gridSpan w:val="2"/>
          </w:tcPr>
          <w:p>
            <w:pPr>
              <w:pStyle w:val="12"/>
              <w:snapToGrid w:val="0"/>
              <w:spacing w:before="93" w:beforeLines="30" w:beforeAutospacing="0" w:after="0" w:afterAutospacing="0" w:line="288" w:lineRule="auto"/>
              <w:ind w:firstLine="420"/>
              <w:rPr>
                <w:rFonts w:ascii="Times New Roman" w:hAnsi="Times New Roman" w:eastAsia="仿宋_GB2312" w:cs="Times New Roman"/>
                <w:color w:val="000000"/>
                <w:sz w:val="21"/>
                <w:szCs w:val="21"/>
                <w:highlight w:val="none"/>
              </w:rPr>
            </w:pPr>
            <w:r>
              <w:rPr>
                <w:rFonts w:ascii="Times New Roman" w:hAnsi="Times New Roman" w:eastAsia="仿宋_GB2312" w:cs="Times New Roman"/>
                <w:b/>
                <w:bCs/>
                <w:color w:val="000000"/>
                <w:sz w:val="21"/>
                <w:szCs w:val="21"/>
                <w:highlight w:val="none"/>
              </w:rPr>
              <w:t>1.</w:t>
            </w:r>
            <w:r>
              <w:rPr>
                <w:rFonts w:hint="eastAsia" w:ascii="Times New Roman" w:hAnsi="Times New Roman" w:eastAsia="仿宋_GB2312" w:cs="仿宋_GB2312"/>
                <w:b/>
                <w:bCs/>
                <w:color w:val="000000"/>
                <w:sz w:val="21"/>
                <w:szCs w:val="21"/>
                <w:highlight w:val="none"/>
              </w:rPr>
              <w:t>《建设项目环境保护管理条例》第二十二条第一款</w:t>
            </w:r>
            <w:r>
              <w:rPr>
                <w:rFonts w:ascii="Times New Roman" w:hAnsi="Times New Roman" w:eastAsia="仿宋_GB2312" w:cs="Times New Roman"/>
                <w:color w:val="000000"/>
                <w:sz w:val="21"/>
                <w:szCs w:val="21"/>
                <w:highlight w:val="none"/>
              </w:rPr>
              <w:t xml:space="preserve"> </w:t>
            </w:r>
            <w:r>
              <w:rPr>
                <w:rFonts w:hint="eastAsia" w:ascii="Times New Roman" w:hAnsi="Times New Roman" w:eastAsia="仿宋_GB2312" w:cs="仿宋_GB2312"/>
                <w:color w:val="000000"/>
                <w:sz w:val="21"/>
                <w:szCs w:val="21"/>
                <w:highlight w:val="none"/>
              </w:rPr>
              <w:t>违反本条例规定，建设单位编制建设项目初步设计未落实防治环境污染和生态破坏的措施以及环境保护设施投资概算，未将环境保护设施建设纳入施工合同，或者未依法开展环境影响后评价的，由建设项目所在地县级以上环境保护行政主管部门责令限期改正，处</w:t>
            </w:r>
            <w:r>
              <w:rPr>
                <w:rFonts w:ascii="Times New Roman" w:hAnsi="Times New Roman" w:eastAsia="仿宋_GB2312" w:cs="Times New Roman"/>
                <w:color w:val="000000"/>
                <w:sz w:val="21"/>
                <w:szCs w:val="21"/>
                <w:highlight w:val="none"/>
              </w:rPr>
              <w:t>5</w:t>
            </w:r>
            <w:r>
              <w:rPr>
                <w:rFonts w:hint="eastAsia" w:ascii="Times New Roman" w:hAnsi="Times New Roman" w:eastAsia="仿宋_GB2312" w:cs="仿宋_GB2312"/>
                <w:color w:val="000000"/>
                <w:sz w:val="21"/>
                <w:szCs w:val="21"/>
                <w:highlight w:val="none"/>
              </w:rPr>
              <w:t>万元以上</w:t>
            </w:r>
            <w:r>
              <w:rPr>
                <w:rFonts w:ascii="Times New Roman" w:hAnsi="Times New Roman" w:eastAsia="仿宋_GB2312" w:cs="Times New Roman"/>
                <w:color w:val="000000"/>
                <w:sz w:val="21"/>
                <w:szCs w:val="21"/>
                <w:highlight w:val="none"/>
              </w:rPr>
              <w:t>20</w:t>
            </w:r>
            <w:r>
              <w:rPr>
                <w:rFonts w:hint="eastAsia" w:ascii="Times New Roman" w:hAnsi="Times New Roman" w:eastAsia="仿宋_GB2312" w:cs="仿宋_GB2312"/>
                <w:color w:val="000000"/>
                <w:sz w:val="21"/>
                <w:szCs w:val="21"/>
                <w:highlight w:val="none"/>
              </w:rPr>
              <w:t>万元以下的罚款；逾期不改正的，处</w:t>
            </w:r>
            <w:r>
              <w:rPr>
                <w:rFonts w:ascii="Times New Roman" w:hAnsi="Times New Roman" w:eastAsia="仿宋_GB2312" w:cs="Times New Roman"/>
                <w:color w:val="000000"/>
                <w:sz w:val="21"/>
                <w:szCs w:val="21"/>
                <w:highlight w:val="none"/>
              </w:rPr>
              <w:t>20</w:t>
            </w:r>
            <w:r>
              <w:rPr>
                <w:rFonts w:hint="eastAsia" w:ascii="Times New Roman" w:hAnsi="Times New Roman" w:eastAsia="仿宋_GB2312" w:cs="仿宋_GB2312"/>
                <w:color w:val="000000"/>
                <w:sz w:val="21"/>
                <w:szCs w:val="21"/>
                <w:highlight w:val="none"/>
              </w:rPr>
              <w:t>万元以上</w:t>
            </w:r>
            <w:r>
              <w:rPr>
                <w:rFonts w:ascii="Times New Roman" w:hAnsi="Times New Roman" w:eastAsia="仿宋_GB2312" w:cs="Times New Roman"/>
                <w:color w:val="000000"/>
                <w:sz w:val="21"/>
                <w:szCs w:val="21"/>
                <w:highlight w:val="none"/>
              </w:rPr>
              <w:t>100</w:t>
            </w:r>
            <w:r>
              <w:rPr>
                <w:rFonts w:hint="eastAsia" w:ascii="Times New Roman" w:hAnsi="Times New Roman" w:eastAsia="仿宋_GB2312" w:cs="仿宋_GB2312"/>
                <w:color w:val="000000"/>
                <w:sz w:val="21"/>
                <w:szCs w:val="21"/>
                <w:highlight w:val="none"/>
              </w:rPr>
              <w:t>万元以下的罚款。</w:t>
            </w:r>
          </w:p>
          <w:p>
            <w:pPr>
              <w:snapToGrid w:val="0"/>
              <w:spacing w:line="288" w:lineRule="auto"/>
              <w:ind w:firstLine="422" w:firstLineChars="200"/>
              <w:rPr>
                <w:rFonts w:ascii="Times New Roman" w:hAnsi="Times New Roman" w:eastAsia="仿宋_GB2312" w:cs="Times New Roman"/>
                <w:color w:val="000000"/>
                <w:kern w:val="0"/>
                <w:highlight w:val="none"/>
              </w:rPr>
            </w:pPr>
            <w:r>
              <w:rPr>
                <w:rFonts w:ascii="Times New Roman" w:hAnsi="Times New Roman" w:eastAsia="仿宋_GB2312" w:cs="Times New Roman"/>
                <w:b/>
                <w:bCs/>
                <w:color w:val="000000"/>
                <w:kern w:val="0"/>
                <w:highlight w:val="none"/>
              </w:rPr>
              <w:t>2.</w:t>
            </w:r>
            <w:r>
              <w:rPr>
                <w:rFonts w:hint="eastAsia" w:ascii="Times New Roman" w:hAnsi="Times New Roman" w:eastAsia="仿宋_GB2312" w:cs="仿宋_GB2312"/>
                <w:b/>
                <w:bCs/>
                <w:color w:val="000000"/>
                <w:kern w:val="0"/>
                <w:highlight w:val="none"/>
              </w:rPr>
              <w:t>《山东省实施</w:t>
            </w:r>
            <w:r>
              <w:rPr>
                <w:rFonts w:ascii="Times New Roman" w:hAnsi="Times New Roman" w:eastAsia="仿宋_GB2312" w:cs="Times New Roman"/>
                <w:b/>
                <w:bCs/>
                <w:color w:val="000000"/>
                <w:kern w:val="0"/>
                <w:highlight w:val="none"/>
              </w:rPr>
              <w:t>&lt;</w:t>
            </w:r>
            <w:r>
              <w:rPr>
                <w:rFonts w:hint="eastAsia" w:ascii="Times New Roman" w:hAnsi="Times New Roman" w:eastAsia="仿宋_GB2312" w:cs="仿宋_GB2312"/>
                <w:b/>
                <w:bCs/>
                <w:color w:val="000000"/>
                <w:kern w:val="0"/>
                <w:highlight w:val="none"/>
              </w:rPr>
              <w:t>中华人民共和国环境影响评价法</w:t>
            </w:r>
            <w:r>
              <w:rPr>
                <w:rFonts w:ascii="Times New Roman" w:hAnsi="Times New Roman" w:eastAsia="仿宋_GB2312" w:cs="Times New Roman"/>
                <w:b/>
                <w:bCs/>
                <w:color w:val="000000"/>
                <w:kern w:val="0"/>
                <w:highlight w:val="none"/>
              </w:rPr>
              <w:t>&gt;</w:t>
            </w:r>
            <w:r>
              <w:rPr>
                <w:rFonts w:hint="eastAsia" w:ascii="Times New Roman" w:hAnsi="Times New Roman" w:eastAsia="仿宋_GB2312" w:cs="仿宋_GB2312"/>
                <w:b/>
                <w:bCs/>
                <w:color w:val="000000"/>
                <w:kern w:val="0"/>
                <w:highlight w:val="none"/>
              </w:rPr>
              <w:t>办法》第二十四条第（三）项</w:t>
            </w:r>
            <w:r>
              <w:rPr>
                <w:rFonts w:ascii="Times New Roman" w:hAnsi="Times New Roman" w:cs="Times New Roman"/>
                <w:highlight w:val="none"/>
              </w:rPr>
              <w:t xml:space="preserve"> </w:t>
            </w:r>
            <w:r>
              <w:rPr>
                <w:rFonts w:hint="eastAsia" w:ascii="Times New Roman" w:hAnsi="Times New Roman" w:eastAsia="仿宋_GB2312" w:cs="仿宋_GB2312"/>
                <w:color w:val="000000"/>
                <w:kern w:val="0"/>
                <w:highlight w:val="none"/>
              </w:rPr>
              <w:t>违反本办法规定，建设单位有下列情形之一的，由县级以上人民政府生态环境行政主管部门按照下列规定予以处罚：</w:t>
            </w:r>
          </w:p>
          <w:p>
            <w:pPr>
              <w:pStyle w:val="12"/>
              <w:snapToGrid w:val="0"/>
              <w:spacing w:before="0" w:beforeAutospacing="0" w:after="0" w:afterAutospacing="0" w:line="288" w:lineRule="auto"/>
              <w:ind w:firstLine="420"/>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（三）未依法开展环境影响后评价的，责令限期改正，处五万元以上二十万元以下的罚款；逾期不改正的，处二十万元以上一百万元以下的罚款。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245"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9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45" w:type="dxa"/>
            <w:vAlign w:val="center"/>
          </w:tcPr>
          <w:p>
            <w:pPr>
              <w:widowControl/>
              <w:snapToGrid w:val="0"/>
              <w:jc w:val="center"/>
              <w:textAlignment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后评价已开展但不符合要求</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widowControl/>
              <w:snapToGrid w:val="0"/>
              <w:jc w:val="center"/>
              <w:textAlignment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未落实后评价提出的补救措施或者整改要求</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widowControl/>
              <w:snapToGrid w:val="0"/>
              <w:jc w:val="center"/>
              <w:textAlignment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未进行后评价或在</w:t>
            </w:r>
            <w:r>
              <w:rPr>
                <w:rFonts w:ascii="Times New Roman" w:hAnsi="Times New Roman" w:eastAsia="仿宋_GB2312" w:cs="仿宋_GB2312"/>
                <w:color w:val="000000"/>
                <w:highlight w:val="none"/>
              </w:rPr>
              <w:t>后评价中弄虚作假的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项目应报批的环评文件类别</w:t>
            </w: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报告书</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报告书（水利</w:t>
            </w:r>
            <w:r>
              <w:rPr>
                <w:rFonts w:ascii="Times New Roman" w:hAnsi="Times New Roman" w:eastAsia="仿宋_GB2312" w:cs="仿宋_GB2312"/>
                <w:color w:val="000000"/>
                <w:highlight w:val="none"/>
              </w:rPr>
              <w:t>、水电、采掘、港口、铁路、石化、</w:t>
            </w:r>
            <w:r>
              <w:rPr>
                <w:rFonts w:hint="eastAsia" w:ascii="Times New Roman" w:hAnsi="Times New Roman" w:eastAsia="仿宋_GB2312" w:cs="仿宋_GB2312"/>
                <w:color w:val="000000"/>
                <w:highlight w:val="none"/>
              </w:rPr>
              <w:t>化工、冶金</w:t>
            </w:r>
            <w:r>
              <w:rPr>
                <w:rFonts w:ascii="Times New Roman" w:hAnsi="Times New Roman" w:eastAsia="仿宋_GB2312" w:cs="仿宋_GB2312"/>
                <w:color w:val="000000"/>
                <w:highlight w:val="none"/>
              </w:rPr>
              <w:t>、</w:t>
            </w:r>
            <w:r>
              <w:rPr>
                <w:rFonts w:hint="eastAsia" w:ascii="Times New Roman" w:hAnsi="Times New Roman" w:eastAsia="仿宋_GB2312" w:cs="仿宋_GB2312"/>
                <w:color w:val="000000"/>
                <w:highlight w:val="none"/>
              </w:rPr>
              <w:t>电镀、皮革、造纸、制浆、冶炼、放射性、印染、染料、炼焦、炼油项目）</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项目建设</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地点</w:t>
            </w: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符合环境功能规划（或无环境功能规划）</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不符合环境功能规划，但不在保护区内</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位于自然保护区试验区</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饮用水水源准保护区</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位于自然保护区缓冲区</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饮用水水源二级保护区</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位于自然保护区核心区</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饮用水水源一级保护区</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违法时间</w:t>
            </w: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个月以内的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超过</w:t>
            </w: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个月并且在</w:t>
            </w: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个月以内的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超过</w:t>
            </w: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个月并且在</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年以内的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超过</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年并且在</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年以内的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年以上的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超过限期</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改正时间（仅适用于</w:t>
            </w:r>
            <w:r>
              <w:rPr>
                <w:rFonts w:ascii="Times New Roman" w:hAnsi="Times New Roman" w:cs="宋体"/>
                <w:b/>
                <w:bCs/>
                <w:color w:val="000000"/>
                <w:highlight w:val="none"/>
              </w:rPr>
              <w:t>逾期不改正情形</w:t>
            </w:r>
            <w:r>
              <w:rPr>
                <w:rFonts w:hint="eastAsia" w:ascii="Times New Roman" w:hAnsi="Times New Roman" w:cs="宋体"/>
                <w:b/>
                <w:bCs/>
                <w:color w:val="000000"/>
                <w:highlight w:val="none"/>
              </w:rPr>
              <w:t>）</w:t>
            </w: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1个月</w:t>
            </w:r>
            <w:r>
              <w:rPr>
                <w:rFonts w:ascii="Times New Roman" w:hAnsi="Times New Roman" w:eastAsia="仿宋_GB2312" w:cs="仿宋_GB2312"/>
                <w:color w:val="000000"/>
                <w:highlight w:val="none"/>
              </w:rPr>
              <w:t>以内</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r>
              <w:rPr>
                <w:rFonts w:hint="eastAsia" w:ascii="Times New Roman" w:hAnsi="Times New Roman" w:eastAsia="仿宋_GB2312" w:cs="Times New Roman"/>
                <w:color w:val="000000"/>
                <w:highlight w:val="none"/>
              </w:rPr>
              <w:t>个月</w:t>
            </w:r>
            <w:r>
              <w:rPr>
                <w:rFonts w:hint="eastAsia" w:ascii="Times New Roman" w:hAnsi="Times New Roman" w:eastAsia="仿宋_GB2312" w:cs="仿宋_GB2312"/>
                <w:color w:val="000000"/>
                <w:highlight w:val="none"/>
              </w:rPr>
              <w:t>以上不足</w:t>
            </w:r>
            <w:r>
              <w:rPr>
                <w:rFonts w:ascii="Times New Roman" w:hAnsi="Times New Roman" w:eastAsia="仿宋_GB2312" w:cs="Times New Roman"/>
                <w:color w:val="000000"/>
                <w:highlight w:val="none"/>
              </w:rPr>
              <w:t>3</w:t>
            </w:r>
            <w:r>
              <w:rPr>
                <w:rFonts w:hint="eastAsia" w:ascii="Times New Roman" w:hAnsi="Times New Roman" w:eastAsia="仿宋_GB2312" w:cs="Times New Roman"/>
                <w:color w:val="000000"/>
                <w:highlight w:val="none"/>
              </w:rPr>
              <w:t>个月</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Times New Roman"/>
                <w:color w:val="000000"/>
                <w:highlight w:val="none"/>
              </w:rPr>
              <w:t>个月</w:t>
            </w:r>
            <w:r>
              <w:rPr>
                <w:rFonts w:hint="eastAsia" w:ascii="Times New Roman" w:hAnsi="Times New Roman" w:eastAsia="仿宋_GB2312" w:cs="仿宋_GB2312"/>
                <w:color w:val="000000"/>
                <w:highlight w:val="none"/>
              </w:rPr>
              <w:t>以上不足</w:t>
            </w:r>
            <w:r>
              <w:rPr>
                <w:rFonts w:ascii="Times New Roman" w:hAnsi="Times New Roman" w:eastAsia="仿宋_GB2312" w:cs="Times New Roman"/>
                <w:color w:val="000000"/>
                <w:highlight w:val="none"/>
              </w:rPr>
              <w:t>6</w:t>
            </w:r>
            <w:r>
              <w:rPr>
                <w:rFonts w:hint="eastAsia" w:ascii="Times New Roman" w:hAnsi="Times New Roman" w:eastAsia="仿宋_GB2312" w:cs="Times New Roman"/>
                <w:color w:val="000000"/>
                <w:highlight w:val="none"/>
              </w:rPr>
              <w:t>个月</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6</w:t>
            </w:r>
            <w:r>
              <w:rPr>
                <w:rFonts w:hint="eastAsia" w:ascii="Times New Roman" w:hAnsi="Times New Roman" w:eastAsia="仿宋_GB2312" w:cs="Times New Roman"/>
                <w:color w:val="000000"/>
                <w:highlight w:val="none"/>
              </w:rPr>
              <w:t>个月</w:t>
            </w:r>
            <w:r>
              <w:rPr>
                <w:rFonts w:hint="eastAsia" w:ascii="Times New Roman" w:hAnsi="Times New Roman" w:eastAsia="仿宋_GB2312" w:cs="仿宋_GB2312"/>
                <w:color w:val="000000"/>
                <w:highlight w:val="none"/>
              </w:rPr>
              <w:t>以上不足</w:t>
            </w:r>
            <w:r>
              <w:rPr>
                <w:rFonts w:ascii="Times New Roman" w:hAnsi="Times New Roman" w:eastAsia="仿宋_GB2312" w:cs="Times New Roman"/>
                <w:color w:val="000000"/>
                <w:highlight w:val="none"/>
              </w:rPr>
              <w:t>12</w:t>
            </w:r>
            <w:r>
              <w:rPr>
                <w:rFonts w:hint="eastAsia" w:ascii="Times New Roman" w:hAnsi="Times New Roman" w:eastAsia="仿宋_GB2312" w:cs="仿宋_GB2312"/>
                <w:color w:val="000000"/>
                <w:highlight w:val="none"/>
              </w:rPr>
              <w:t>个月</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12</w:t>
            </w:r>
            <w:r>
              <w:rPr>
                <w:rFonts w:hint="eastAsia" w:ascii="Times New Roman" w:hAnsi="Times New Roman" w:eastAsia="仿宋_GB2312" w:cs="仿宋_GB2312"/>
                <w:color w:val="000000"/>
                <w:highlight w:val="none"/>
              </w:rPr>
              <w:t>个月以上</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938" w:type="dxa"/>
            <w:gridSpan w:val="2"/>
            <w:vAlign w:val="center"/>
          </w:tcPr>
          <w:p>
            <w:pPr>
              <w:snapToGrid w:val="0"/>
              <w:ind w:firstLine="420"/>
              <w:jc w:val="center"/>
              <w:rPr>
                <w:rFonts w:ascii="Times New Roman" w:hAnsi="Times New Roman" w:cs="Times New Roman"/>
                <w:color w:val="FF0000"/>
                <w:highlight w:val="none"/>
              </w:rPr>
            </w:pPr>
          </w:p>
        </w:tc>
      </w:tr>
    </w:tbl>
    <w:p>
      <w:pPr>
        <w:snapToGrid w:val="0"/>
        <w:rPr>
          <w:rFonts w:ascii="Times New Roman" w:hAnsi="Times New Roman" w:cs="Times New Roman"/>
          <w:color w:val="000000"/>
          <w:sz w:val="10"/>
          <w:szCs w:val="10"/>
          <w:highlight w:val="none"/>
        </w:rPr>
      </w:pPr>
      <w:r>
        <w:rPr>
          <w:rFonts w:ascii="Times New Roman" w:hAnsi="Times New Roman" w:cs="Times New Roman"/>
          <w:color w:val="000000"/>
          <w:highlight w:val="none"/>
        </w:rPr>
        <w:br w:type="page"/>
      </w:r>
    </w:p>
    <w:tbl>
      <w:tblPr>
        <w:tblStyle w:val="1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09" w:type="dxa"/>
            <w:gridSpan w:val="3"/>
          </w:tcPr>
          <w:p>
            <w:pPr>
              <w:snapToGrid w:val="0"/>
              <w:jc w:val="center"/>
              <w:rPr>
                <w:rFonts w:ascii="Times New Roman" w:hAnsi="Times New Roman" w:cs="Times New Roman"/>
                <w:color w:val="000000"/>
                <w:highlight w:val="none"/>
              </w:rPr>
            </w:pPr>
            <w:r>
              <w:rPr>
                <w:rFonts w:hint="eastAsia" w:ascii="Times New Roman" w:hAnsi="Times New Roman" w:eastAsia="仿宋_GB2312" w:cs="仿宋_GB2312"/>
                <w:b/>
                <w:bCs/>
                <w:sz w:val="32"/>
                <w:szCs w:val="32"/>
                <w:highlight w:val="none"/>
              </w:rPr>
              <w:t>（一）建设项目管理类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938" w:type="dxa"/>
            <w:gridSpan w:val="2"/>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38" w:type="dxa"/>
            <w:gridSpan w:val="2"/>
          </w:tcPr>
          <w:p>
            <w:pPr>
              <w:snapToGrid w:val="0"/>
              <w:ind w:firstLine="420"/>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未同时组织实施环境影响报告书、环境影响报告表及其审批部门审批决定中提出的环境保护对策措施的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违反条款</w:t>
            </w:r>
          </w:p>
        </w:tc>
        <w:tc>
          <w:tcPr>
            <w:tcW w:w="7938" w:type="dxa"/>
            <w:gridSpan w:val="2"/>
          </w:tcPr>
          <w:p>
            <w:pPr>
              <w:pStyle w:val="12"/>
              <w:snapToGrid w:val="0"/>
              <w:spacing w:before="0" w:beforeAutospacing="0" w:after="0" w:afterAutospacing="0"/>
              <w:ind w:firstLine="480"/>
              <w:rPr>
                <w:rFonts w:ascii="Times New Roman" w:hAnsi="Times New Roman" w:eastAsia="仿宋_GB2312" w:cs="Times New Roman"/>
                <w:color w:val="000000"/>
                <w:sz w:val="21"/>
                <w:szCs w:val="21"/>
                <w:highlight w:val="none"/>
              </w:rPr>
            </w:pPr>
            <w:r>
              <w:rPr>
                <w:rFonts w:ascii="Times New Roman" w:hAnsi="Times New Roman" w:eastAsia="仿宋_GB2312" w:cs="Times New Roman"/>
                <w:b/>
                <w:bCs/>
                <w:color w:val="000000"/>
                <w:sz w:val="21"/>
                <w:szCs w:val="21"/>
                <w:highlight w:val="none"/>
              </w:rPr>
              <w:t>1.</w:t>
            </w:r>
            <w:r>
              <w:rPr>
                <w:rFonts w:hint="eastAsia" w:ascii="Times New Roman" w:hAnsi="Times New Roman" w:eastAsia="仿宋_GB2312" w:cs="仿宋_GB2312"/>
                <w:b/>
                <w:bCs/>
                <w:color w:val="000000"/>
                <w:sz w:val="21"/>
                <w:szCs w:val="21"/>
                <w:highlight w:val="none"/>
              </w:rPr>
              <w:t>《建设项目环境保护管理条例》第十六条第二款</w:t>
            </w:r>
            <w:r>
              <w:rPr>
                <w:rFonts w:ascii="Times New Roman" w:hAnsi="Times New Roman" w:eastAsia="仿宋_GB2312" w:cs="Times New Roman"/>
                <w:color w:val="000000"/>
                <w:sz w:val="21"/>
                <w:szCs w:val="21"/>
                <w:highlight w:val="none"/>
              </w:rPr>
              <w:t xml:space="preserve"> </w:t>
            </w:r>
            <w:r>
              <w:rPr>
                <w:rFonts w:hint="eastAsia" w:ascii="Times New Roman" w:hAnsi="Times New Roman" w:eastAsia="仿宋_GB2312" w:cs="仿宋_GB2312"/>
                <w:color w:val="000000"/>
                <w:sz w:val="21"/>
                <w:szCs w:val="21"/>
                <w:highlight w:val="none"/>
              </w:rPr>
              <w:t>建设单位应当将环境保护设施建设纳入施工合同，保证环境保护设施建设进度和资金，并在项目建设过程中同时组织实施环境影响报告书、环境影响报告表及其审批部门审批决定中提出的环境保护对策措施。</w:t>
            </w:r>
          </w:p>
          <w:p>
            <w:pPr>
              <w:pStyle w:val="12"/>
              <w:snapToGrid w:val="0"/>
              <w:spacing w:before="0" w:beforeAutospacing="0" w:after="0" w:afterAutospacing="0"/>
              <w:ind w:firstLine="480"/>
              <w:rPr>
                <w:rFonts w:ascii="Times New Roman" w:hAnsi="Times New Roman" w:eastAsia="仿宋_GB2312" w:cs="Times New Roman"/>
                <w:color w:val="000000"/>
                <w:sz w:val="21"/>
                <w:szCs w:val="21"/>
                <w:highlight w:val="none"/>
              </w:rPr>
            </w:pPr>
            <w:r>
              <w:rPr>
                <w:rFonts w:ascii="Times New Roman" w:hAnsi="Times New Roman" w:eastAsia="仿宋_GB2312" w:cs="Times New Roman"/>
                <w:b/>
                <w:bCs/>
                <w:color w:val="000000"/>
                <w:sz w:val="21"/>
                <w:szCs w:val="21"/>
                <w:highlight w:val="none"/>
              </w:rPr>
              <w:t>2.</w:t>
            </w:r>
            <w:r>
              <w:rPr>
                <w:rFonts w:hint="eastAsia" w:ascii="Times New Roman" w:hAnsi="Times New Roman" w:eastAsia="仿宋_GB2312" w:cs="仿宋_GB2312"/>
                <w:b/>
                <w:bCs/>
                <w:color w:val="000000"/>
                <w:sz w:val="21"/>
                <w:szCs w:val="21"/>
                <w:highlight w:val="none"/>
              </w:rPr>
              <w:t>《山东省实施</w:t>
            </w:r>
            <w:r>
              <w:rPr>
                <w:rFonts w:ascii="Times New Roman" w:hAnsi="Times New Roman" w:eastAsia="仿宋_GB2312" w:cs="Times New Roman"/>
                <w:b/>
                <w:bCs/>
                <w:color w:val="000000"/>
                <w:sz w:val="21"/>
                <w:szCs w:val="21"/>
                <w:highlight w:val="none"/>
              </w:rPr>
              <w:t>&lt;</w:t>
            </w:r>
            <w:r>
              <w:rPr>
                <w:rFonts w:hint="eastAsia" w:ascii="Times New Roman" w:hAnsi="Times New Roman" w:eastAsia="仿宋_GB2312" w:cs="仿宋_GB2312"/>
                <w:b/>
                <w:bCs/>
                <w:color w:val="000000"/>
                <w:sz w:val="21"/>
                <w:szCs w:val="21"/>
                <w:highlight w:val="none"/>
              </w:rPr>
              <w:t>中华人民共和国环境影响评价法</w:t>
            </w:r>
            <w:r>
              <w:rPr>
                <w:rFonts w:ascii="Times New Roman" w:hAnsi="Times New Roman" w:eastAsia="仿宋_GB2312" w:cs="Times New Roman"/>
                <w:b/>
                <w:bCs/>
                <w:color w:val="000000"/>
                <w:sz w:val="21"/>
                <w:szCs w:val="21"/>
                <w:highlight w:val="none"/>
              </w:rPr>
              <w:t>&gt;</w:t>
            </w:r>
            <w:r>
              <w:rPr>
                <w:rFonts w:hint="eastAsia" w:ascii="Times New Roman" w:hAnsi="Times New Roman" w:eastAsia="仿宋_GB2312" w:cs="仿宋_GB2312"/>
                <w:b/>
                <w:bCs/>
                <w:color w:val="000000"/>
                <w:sz w:val="21"/>
                <w:szCs w:val="21"/>
                <w:highlight w:val="none"/>
              </w:rPr>
              <w:t>办法》第十九条</w:t>
            </w:r>
            <w:r>
              <w:rPr>
                <w:rFonts w:ascii="Times New Roman" w:hAnsi="Times New Roman" w:eastAsia="仿宋_GB2312" w:cs="Times New Roman"/>
                <w:b/>
                <w:bCs/>
                <w:color w:val="000000"/>
                <w:sz w:val="21"/>
                <w:szCs w:val="21"/>
                <w:highlight w:val="none"/>
              </w:rPr>
              <w:t xml:space="preserve"> </w:t>
            </w:r>
            <w:r>
              <w:rPr>
                <w:rFonts w:hint="eastAsia" w:ascii="Times New Roman" w:hAnsi="Times New Roman" w:eastAsia="仿宋_GB2312" w:cs="仿宋_GB2312"/>
                <w:color w:val="000000"/>
                <w:sz w:val="21"/>
                <w:szCs w:val="21"/>
                <w:highlight w:val="none"/>
              </w:rPr>
              <w:t>在建设项目的设计、建设和生产过程中，建设单位应当落实环境影响评价文件和生态环境行政主管部门的审批意见。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处罚依据</w:t>
            </w:r>
          </w:p>
        </w:tc>
        <w:tc>
          <w:tcPr>
            <w:tcW w:w="7938" w:type="dxa"/>
            <w:gridSpan w:val="2"/>
          </w:tcPr>
          <w:p>
            <w:pPr>
              <w:pStyle w:val="12"/>
              <w:snapToGrid w:val="0"/>
              <w:spacing w:before="0" w:beforeAutospacing="0" w:after="0" w:afterAutospacing="0"/>
              <w:ind w:firstLine="420"/>
              <w:rPr>
                <w:rFonts w:ascii="Times New Roman" w:hAnsi="Times New Roman" w:eastAsia="仿宋_GB2312" w:cs="Times New Roman"/>
                <w:color w:val="000000"/>
                <w:sz w:val="21"/>
                <w:szCs w:val="21"/>
                <w:highlight w:val="none"/>
              </w:rPr>
            </w:pPr>
            <w:r>
              <w:rPr>
                <w:rFonts w:ascii="Times New Roman" w:hAnsi="Times New Roman" w:eastAsia="仿宋_GB2312" w:cs="Times New Roman"/>
                <w:b/>
                <w:bCs/>
                <w:color w:val="000000"/>
                <w:sz w:val="21"/>
                <w:szCs w:val="21"/>
                <w:highlight w:val="none"/>
              </w:rPr>
              <w:t>1.</w:t>
            </w:r>
            <w:r>
              <w:rPr>
                <w:rFonts w:hint="eastAsia" w:ascii="Times New Roman" w:hAnsi="Times New Roman" w:eastAsia="仿宋_GB2312" w:cs="仿宋_GB2312"/>
                <w:b/>
                <w:bCs/>
                <w:color w:val="000000"/>
                <w:sz w:val="21"/>
                <w:szCs w:val="21"/>
                <w:highlight w:val="none"/>
              </w:rPr>
              <w:t>《建设项目环境保护管理条例》第二十二条第二款</w:t>
            </w:r>
            <w:r>
              <w:rPr>
                <w:rFonts w:ascii="Times New Roman" w:hAnsi="Times New Roman" w:eastAsia="仿宋_GB2312" w:cs="Times New Roman"/>
                <w:color w:val="000000"/>
                <w:sz w:val="21"/>
                <w:szCs w:val="21"/>
                <w:highlight w:val="none"/>
              </w:rPr>
              <w:t xml:space="preserve"> </w:t>
            </w:r>
            <w:r>
              <w:rPr>
                <w:rFonts w:hint="eastAsia" w:ascii="Times New Roman" w:hAnsi="Times New Roman" w:eastAsia="仿宋_GB2312" w:cs="仿宋_GB2312"/>
                <w:color w:val="000000"/>
                <w:sz w:val="21"/>
                <w:szCs w:val="21"/>
                <w:highlight w:val="none"/>
              </w:rPr>
              <w:t>违反本条例规定，建设单位在项目建设过程中未同时组织实施环境影响报告书、环境影响报告表及其审批部门审批决定中提出的环境保护对策措施的，由建设项目所在地县级以上环境保护行政主管部门责令限期改正，处</w:t>
            </w:r>
            <w:r>
              <w:rPr>
                <w:rFonts w:ascii="Times New Roman" w:hAnsi="Times New Roman" w:eastAsia="仿宋_GB2312" w:cs="Times New Roman"/>
                <w:color w:val="000000"/>
                <w:sz w:val="21"/>
                <w:szCs w:val="21"/>
                <w:highlight w:val="none"/>
              </w:rPr>
              <w:t>20</w:t>
            </w:r>
            <w:r>
              <w:rPr>
                <w:rFonts w:hint="eastAsia" w:ascii="Times New Roman" w:hAnsi="Times New Roman" w:eastAsia="仿宋_GB2312" w:cs="仿宋_GB2312"/>
                <w:color w:val="000000"/>
                <w:sz w:val="21"/>
                <w:szCs w:val="21"/>
                <w:highlight w:val="none"/>
              </w:rPr>
              <w:t>万元以上</w:t>
            </w:r>
            <w:r>
              <w:rPr>
                <w:rFonts w:ascii="Times New Roman" w:hAnsi="Times New Roman" w:eastAsia="仿宋_GB2312" w:cs="Times New Roman"/>
                <w:color w:val="000000"/>
                <w:sz w:val="21"/>
                <w:szCs w:val="21"/>
                <w:highlight w:val="none"/>
              </w:rPr>
              <w:t>100</w:t>
            </w:r>
            <w:r>
              <w:rPr>
                <w:rFonts w:hint="eastAsia" w:ascii="Times New Roman" w:hAnsi="Times New Roman" w:eastAsia="仿宋_GB2312" w:cs="仿宋_GB2312"/>
                <w:color w:val="000000"/>
                <w:sz w:val="21"/>
                <w:szCs w:val="21"/>
                <w:highlight w:val="none"/>
              </w:rPr>
              <w:t>万元以下的罚款；逾期不改正的，责令停止建设。</w:t>
            </w:r>
          </w:p>
          <w:p>
            <w:pPr>
              <w:snapToGrid w:val="0"/>
              <w:ind w:firstLine="422" w:firstLineChars="200"/>
              <w:rPr>
                <w:rFonts w:ascii="Times New Roman" w:hAnsi="Times New Roman" w:eastAsia="仿宋_GB2312" w:cs="Times New Roman"/>
                <w:color w:val="000000"/>
                <w:kern w:val="0"/>
                <w:highlight w:val="none"/>
              </w:rPr>
            </w:pPr>
            <w:bookmarkStart w:id="20" w:name="_Toc4662071"/>
            <w:bookmarkStart w:id="21" w:name="_Toc8222846"/>
            <w:bookmarkStart w:id="22" w:name="_Toc8221536"/>
            <w:r>
              <w:rPr>
                <w:rFonts w:ascii="Times New Roman" w:hAnsi="Times New Roman" w:eastAsia="仿宋_GB2312" w:cs="Times New Roman"/>
                <w:b/>
                <w:bCs/>
                <w:color w:val="000000"/>
                <w:kern w:val="0"/>
                <w:highlight w:val="none"/>
              </w:rPr>
              <w:t>2.</w:t>
            </w:r>
            <w:r>
              <w:rPr>
                <w:rFonts w:hint="eastAsia" w:ascii="Times New Roman" w:hAnsi="Times New Roman" w:eastAsia="仿宋_GB2312" w:cs="仿宋_GB2312"/>
                <w:b/>
                <w:bCs/>
                <w:color w:val="000000"/>
                <w:kern w:val="0"/>
                <w:highlight w:val="none"/>
              </w:rPr>
              <w:t>《山东省实施</w:t>
            </w:r>
            <w:r>
              <w:rPr>
                <w:rFonts w:ascii="Times New Roman" w:hAnsi="Times New Roman" w:eastAsia="仿宋_GB2312" w:cs="Times New Roman"/>
                <w:b/>
                <w:bCs/>
                <w:color w:val="000000"/>
                <w:kern w:val="0"/>
                <w:highlight w:val="none"/>
              </w:rPr>
              <w:t>&lt;</w:t>
            </w:r>
            <w:r>
              <w:rPr>
                <w:rFonts w:hint="eastAsia" w:ascii="Times New Roman" w:hAnsi="Times New Roman" w:eastAsia="仿宋_GB2312" w:cs="仿宋_GB2312"/>
                <w:b/>
                <w:bCs/>
                <w:color w:val="000000"/>
                <w:kern w:val="0"/>
                <w:highlight w:val="none"/>
              </w:rPr>
              <w:t>中华人民共和国环境影响评价法</w:t>
            </w:r>
            <w:r>
              <w:rPr>
                <w:rFonts w:ascii="Times New Roman" w:hAnsi="Times New Roman" w:eastAsia="仿宋_GB2312" w:cs="Times New Roman"/>
                <w:b/>
                <w:bCs/>
                <w:color w:val="000000"/>
                <w:kern w:val="0"/>
                <w:highlight w:val="none"/>
              </w:rPr>
              <w:t>&gt;</w:t>
            </w:r>
            <w:r>
              <w:rPr>
                <w:rFonts w:hint="eastAsia" w:ascii="Times New Roman" w:hAnsi="Times New Roman" w:eastAsia="仿宋_GB2312" w:cs="仿宋_GB2312"/>
                <w:b/>
                <w:bCs/>
                <w:color w:val="000000"/>
                <w:kern w:val="0"/>
                <w:highlight w:val="none"/>
              </w:rPr>
              <w:t>办法》</w:t>
            </w:r>
            <w:bookmarkEnd w:id="20"/>
            <w:bookmarkEnd w:id="21"/>
            <w:bookmarkEnd w:id="22"/>
            <w:r>
              <w:rPr>
                <w:rFonts w:hint="eastAsia" w:ascii="Times New Roman" w:hAnsi="Times New Roman" w:eastAsia="仿宋_GB2312" w:cs="仿宋_GB2312"/>
                <w:b/>
                <w:bCs/>
                <w:color w:val="000000"/>
                <w:kern w:val="0"/>
                <w:highlight w:val="none"/>
              </w:rPr>
              <w:t>第二十四条第（二）项</w:t>
            </w:r>
            <w:r>
              <w:rPr>
                <w:rFonts w:ascii="Times New Roman" w:hAnsi="Times New Roman" w:cs="Times New Roman"/>
                <w:highlight w:val="none"/>
              </w:rPr>
              <w:t xml:space="preserve"> </w:t>
            </w:r>
            <w:r>
              <w:rPr>
                <w:rFonts w:hint="eastAsia" w:ascii="Times New Roman" w:hAnsi="Times New Roman" w:eastAsia="仿宋_GB2312" w:cs="仿宋_GB2312"/>
                <w:color w:val="000000"/>
                <w:kern w:val="0"/>
                <w:highlight w:val="none"/>
              </w:rPr>
              <w:t>违反本办法规定，建设单位有下列情形之一的，由县级以上人民政府生态环境行政主管部门按照下列规定予以处罚：</w:t>
            </w:r>
          </w:p>
          <w:p>
            <w:pPr>
              <w:snapToGrid w:val="0"/>
              <w:ind w:firstLine="420" w:firstLineChars="200"/>
              <w:rPr>
                <w:rFonts w:ascii="Times New Roman" w:hAnsi="Times New Roman" w:cs="Times New Roman"/>
                <w:highlight w:val="none"/>
              </w:rPr>
            </w:pPr>
            <w:r>
              <w:rPr>
                <w:rFonts w:hint="eastAsia" w:ascii="Times New Roman" w:hAnsi="Times New Roman" w:eastAsia="仿宋_GB2312" w:cs="仿宋_GB2312"/>
                <w:color w:val="000000"/>
                <w:kern w:val="0"/>
                <w:highlight w:val="none"/>
              </w:rPr>
              <w:t>（二）未组织实施环境影响报告书、环境影响报告表及其审批部门审批决定中提出的环境保护对策措施的，责令限期改正，处二十万元以上一百万元以下的罚款；逾期不改正的，责令停止建设或者生产。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245"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9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71" w:type="dxa"/>
            <w:vMerge w:val="restart"/>
            <w:vAlign w:val="center"/>
          </w:tcPr>
          <w:p>
            <w:pPr>
              <w:widowControl/>
              <w:jc w:val="center"/>
              <w:textAlignment w:val="center"/>
              <w:rPr>
                <w:rFonts w:ascii="Times New Roman" w:hAnsi="Times New Roman" w:eastAsia="仿宋_GB2312" w:cs="Times New Roman"/>
                <w:color w:val="000000"/>
                <w:highlight w:val="none"/>
              </w:rPr>
            </w:pPr>
            <w:r>
              <w:rPr>
                <w:rFonts w:hint="eastAsia" w:ascii="Times New Roman" w:hAnsi="Times New Roman" w:cs="宋体"/>
                <w:b/>
                <w:bCs/>
                <w:color w:val="000000"/>
                <w:highlight w:val="none"/>
              </w:rPr>
              <w:t>违法事实★</w:t>
            </w:r>
          </w:p>
        </w:tc>
        <w:tc>
          <w:tcPr>
            <w:tcW w:w="5245" w:type="dxa"/>
            <w:vAlign w:val="center"/>
          </w:tcPr>
          <w:p>
            <w:pPr>
              <w:widowControl/>
              <w:snapToGrid w:val="0"/>
              <w:jc w:val="center"/>
              <w:textAlignment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未落实施工期环境管理制度（如洒水、覆盖等）</w:t>
            </w:r>
          </w:p>
        </w:tc>
        <w:tc>
          <w:tcPr>
            <w:tcW w:w="2693" w:type="dxa"/>
            <w:vAlign w:val="center"/>
          </w:tcPr>
          <w:p>
            <w:pPr>
              <w:widowControl/>
              <w:snapToGrid w:val="0"/>
              <w:jc w:val="center"/>
              <w:textAlignment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71" w:type="dxa"/>
            <w:vMerge w:val="continue"/>
            <w:vAlign w:val="center"/>
          </w:tcPr>
          <w:p>
            <w:pPr>
              <w:snapToGrid w:val="0"/>
              <w:spacing w:line="288" w:lineRule="auto"/>
              <w:jc w:val="center"/>
              <w:rPr>
                <w:rFonts w:ascii="Times New Roman" w:hAnsi="Times New Roman" w:cs="Times New Roman"/>
                <w:b/>
                <w:bCs/>
                <w:color w:val="000000"/>
                <w:highlight w:val="none"/>
              </w:rPr>
            </w:pPr>
          </w:p>
        </w:tc>
        <w:tc>
          <w:tcPr>
            <w:tcW w:w="5245" w:type="dxa"/>
            <w:vAlign w:val="center"/>
          </w:tcPr>
          <w:p>
            <w:pPr>
              <w:pStyle w:val="11"/>
              <w:snapToGrid w:val="0"/>
              <w:jc w:val="center"/>
              <w:rPr>
                <w:rFonts w:ascii="Times New Roman" w:hAnsi="Times New Roman" w:eastAsia="仿宋_GB2312" w:cs="Times New Roman"/>
                <w:color w:val="000000"/>
                <w:kern w:val="2"/>
                <w:sz w:val="21"/>
                <w:szCs w:val="21"/>
                <w:highlight w:val="none"/>
              </w:rPr>
            </w:pPr>
            <w:r>
              <w:rPr>
                <w:rFonts w:hint="eastAsia" w:ascii="Times New Roman" w:hAnsi="Times New Roman" w:eastAsia="仿宋_GB2312" w:cs="仿宋_GB2312"/>
                <w:color w:val="000000"/>
                <w:kern w:val="2"/>
                <w:sz w:val="21"/>
                <w:szCs w:val="21"/>
                <w:highlight w:val="none"/>
              </w:rPr>
              <w:t>未落实施工期污染防治措施（如洗车池、沉淀池等）</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71" w:type="dxa"/>
            <w:vMerge w:val="continue"/>
            <w:vAlign w:val="center"/>
          </w:tcPr>
          <w:p>
            <w:pPr>
              <w:snapToGrid w:val="0"/>
              <w:spacing w:line="288" w:lineRule="auto"/>
              <w:jc w:val="center"/>
              <w:rPr>
                <w:rFonts w:ascii="Times New Roman" w:hAnsi="Times New Roman" w:cs="Times New Roman"/>
                <w:b/>
                <w:bCs/>
                <w:color w:val="000000"/>
                <w:highlight w:val="none"/>
              </w:rPr>
            </w:pPr>
          </w:p>
        </w:tc>
        <w:tc>
          <w:tcPr>
            <w:tcW w:w="5245" w:type="dxa"/>
            <w:vAlign w:val="center"/>
          </w:tcPr>
          <w:p>
            <w:pPr>
              <w:pStyle w:val="11"/>
              <w:snapToGrid w:val="0"/>
              <w:jc w:val="center"/>
              <w:rPr>
                <w:rFonts w:ascii="Times New Roman" w:hAnsi="Times New Roman" w:eastAsia="仿宋_GB2312" w:cs="Times New Roman"/>
                <w:color w:val="000000"/>
                <w:kern w:val="2"/>
                <w:sz w:val="21"/>
                <w:szCs w:val="21"/>
                <w:highlight w:val="none"/>
              </w:rPr>
            </w:pPr>
            <w:r>
              <w:rPr>
                <w:rFonts w:hint="eastAsia" w:ascii="Times New Roman" w:hAnsi="Times New Roman" w:eastAsia="仿宋_GB2312" w:cs="仿宋_GB2312"/>
                <w:color w:val="000000"/>
                <w:kern w:val="2"/>
                <w:sz w:val="21"/>
                <w:szCs w:val="21"/>
                <w:highlight w:val="none"/>
              </w:rPr>
              <w:t>项目配套的环保辅助对策措施未按要求建设</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71" w:type="dxa"/>
            <w:vMerge w:val="continue"/>
            <w:vAlign w:val="center"/>
          </w:tcPr>
          <w:p>
            <w:pPr>
              <w:snapToGrid w:val="0"/>
              <w:spacing w:line="288" w:lineRule="auto"/>
              <w:jc w:val="center"/>
              <w:rPr>
                <w:rFonts w:ascii="Times New Roman" w:hAnsi="Times New Roman" w:cs="Times New Roman"/>
                <w:b/>
                <w:bCs/>
                <w:color w:val="000000"/>
                <w:highlight w:val="none"/>
              </w:rPr>
            </w:pPr>
          </w:p>
        </w:tc>
        <w:tc>
          <w:tcPr>
            <w:tcW w:w="5245" w:type="dxa"/>
            <w:vAlign w:val="center"/>
          </w:tcPr>
          <w:p>
            <w:pPr>
              <w:pStyle w:val="11"/>
              <w:snapToGrid w:val="0"/>
              <w:jc w:val="center"/>
              <w:rPr>
                <w:rFonts w:ascii="Times New Roman" w:hAnsi="Times New Roman" w:eastAsia="仿宋_GB2312" w:cs="Times New Roman"/>
                <w:color w:val="000000"/>
                <w:kern w:val="2"/>
                <w:sz w:val="21"/>
                <w:szCs w:val="21"/>
                <w:highlight w:val="none"/>
              </w:rPr>
            </w:pPr>
            <w:r>
              <w:rPr>
                <w:rFonts w:hint="eastAsia" w:ascii="Times New Roman" w:hAnsi="Times New Roman" w:eastAsia="仿宋_GB2312" w:cs="仿宋_GB2312"/>
                <w:color w:val="000000"/>
                <w:kern w:val="2"/>
                <w:sz w:val="21"/>
                <w:szCs w:val="21"/>
                <w:highlight w:val="none"/>
              </w:rPr>
              <w:t>项目配套的环保主要对策措施未按要求建设</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71" w:type="dxa"/>
            <w:vMerge w:val="continue"/>
            <w:vAlign w:val="center"/>
          </w:tcPr>
          <w:p>
            <w:pPr>
              <w:snapToGrid w:val="0"/>
              <w:spacing w:line="288" w:lineRule="auto"/>
              <w:jc w:val="center"/>
              <w:rPr>
                <w:rFonts w:ascii="Times New Roman" w:hAnsi="Times New Roman" w:cs="Times New Roman"/>
                <w:b/>
                <w:bCs/>
                <w:color w:val="000000"/>
                <w:highlight w:val="none"/>
              </w:rPr>
            </w:pPr>
          </w:p>
        </w:tc>
        <w:tc>
          <w:tcPr>
            <w:tcW w:w="5245" w:type="dxa"/>
            <w:vAlign w:val="center"/>
          </w:tcPr>
          <w:p>
            <w:pPr>
              <w:pStyle w:val="11"/>
              <w:snapToGrid w:val="0"/>
              <w:jc w:val="center"/>
              <w:rPr>
                <w:rFonts w:ascii="Times New Roman" w:hAnsi="Times New Roman" w:eastAsia="仿宋_GB2312" w:cs="Times New Roman"/>
                <w:color w:val="000000"/>
                <w:kern w:val="2"/>
                <w:sz w:val="21"/>
                <w:szCs w:val="21"/>
                <w:highlight w:val="none"/>
              </w:rPr>
            </w:pPr>
            <w:r>
              <w:rPr>
                <w:rFonts w:hint="eastAsia" w:ascii="Times New Roman" w:hAnsi="Times New Roman" w:eastAsia="仿宋_GB2312" w:cs="仿宋_GB2312"/>
                <w:color w:val="000000"/>
                <w:kern w:val="2"/>
                <w:sz w:val="21"/>
                <w:szCs w:val="21"/>
                <w:highlight w:val="none"/>
              </w:rPr>
              <w:t>项目配套的</w:t>
            </w:r>
            <w:r>
              <w:rPr>
                <w:rFonts w:hint="eastAsia" w:ascii="Times New Roman" w:hAnsi="Times New Roman" w:eastAsia="仿宋_GB2312" w:cs="仿宋_GB2312"/>
                <w:color w:val="000000"/>
                <w:sz w:val="21"/>
                <w:szCs w:val="21"/>
                <w:highlight w:val="none"/>
              </w:rPr>
              <w:t>环保对策措施</w:t>
            </w:r>
            <w:r>
              <w:rPr>
                <w:rFonts w:hint="eastAsia" w:ascii="Times New Roman" w:hAnsi="Times New Roman" w:eastAsia="仿宋_GB2312" w:cs="仿宋_GB2312"/>
                <w:color w:val="000000"/>
                <w:kern w:val="2"/>
                <w:sz w:val="21"/>
                <w:szCs w:val="21"/>
                <w:highlight w:val="none"/>
              </w:rPr>
              <w:t>未建设</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71" w:type="dxa"/>
            <w:vMerge w:val="restart"/>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项目应报批的环评文件类别</w:t>
            </w: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报告表</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71" w:type="dxa"/>
            <w:vMerge w:val="continue"/>
            <w:vAlign w:val="center"/>
          </w:tcPr>
          <w:p>
            <w:pPr>
              <w:snapToGrid w:val="0"/>
              <w:spacing w:line="288" w:lineRule="auto"/>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报告书</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71" w:type="dxa"/>
            <w:vMerge w:val="continue"/>
            <w:vAlign w:val="center"/>
          </w:tcPr>
          <w:p>
            <w:pPr>
              <w:snapToGrid w:val="0"/>
              <w:spacing w:line="288" w:lineRule="auto"/>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报告书（化工、电镀、皮革、造纸、制浆、冶炼、放射性、印染、染料、炼焦、炼油项目）</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71" w:type="dxa"/>
            <w:vMerge w:val="restart"/>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项目建设</w:t>
            </w:r>
          </w:p>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情况</w:t>
            </w: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已开工建设但主体工程未建成的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71" w:type="dxa"/>
            <w:vMerge w:val="continue"/>
            <w:vAlign w:val="center"/>
          </w:tcPr>
          <w:p>
            <w:pPr>
              <w:snapToGrid w:val="0"/>
              <w:spacing w:line="288" w:lineRule="auto"/>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主体工程已建成但尚未投入生产或者使用的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71" w:type="dxa"/>
            <w:vMerge w:val="continue"/>
            <w:vAlign w:val="center"/>
          </w:tcPr>
          <w:p>
            <w:pPr>
              <w:snapToGrid w:val="0"/>
              <w:spacing w:line="288" w:lineRule="auto"/>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主体工程已投入生产或者使用的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71" w:type="dxa"/>
            <w:vMerge w:val="restart"/>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项目建设</w:t>
            </w:r>
          </w:p>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地点</w:t>
            </w: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符合环境功能规划（或无环境功能规划）</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71" w:type="dxa"/>
            <w:vMerge w:val="continue"/>
          </w:tcPr>
          <w:p>
            <w:pPr>
              <w:snapToGrid w:val="0"/>
              <w:spacing w:line="288" w:lineRule="auto"/>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不符合环境功能规划，但不在保护区内</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71" w:type="dxa"/>
            <w:vMerge w:val="continue"/>
          </w:tcPr>
          <w:p>
            <w:pPr>
              <w:snapToGrid w:val="0"/>
              <w:spacing w:line="288" w:lineRule="auto"/>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位于自然保护区试验区</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饮用水水源准保护区</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71" w:type="dxa"/>
            <w:vMerge w:val="continue"/>
          </w:tcPr>
          <w:p>
            <w:pPr>
              <w:snapToGrid w:val="0"/>
              <w:spacing w:line="288" w:lineRule="auto"/>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位于自然保护区缓冲区</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饮用水水源二级保护区</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71" w:type="dxa"/>
            <w:vMerge w:val="continue"/>
          </w:tcPr>
          <w:p>
            <w:pPr>
              <w:snapToGrid w:val="0"/>
              <w:spacing w:line="288" w:lineRule="auto"/>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位于自然保护区核心区</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饮用水水源一级保护区</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938" w:type="dxa"/>
            <w:gridSpan w:val="2"/>
          </w:tcPr>
          <w:p>
            <w:pPr>
              <w:snapToGrid w:val="0"/>
              <w:spacing w:line="288" w:lineRule="auto"/>
              <w:ind w:firstLine="420"/>
              <w:jc w:val="center"/>
              <w:rPr>
                <w:rFonts w:ascii="Times New Roman" w:hAnsi="Times New Roman" w:cs="Times New Roman"/>
                <w:color w:val="000000"/>
                <w:highlight w:val="none"/>
              </w:rPr>
            </w:pPr>
          </w:p>
        </w:tc>
      </w:tr>
    </w:tbl>
    <w:p>
      <w:pPr>
        <w:pStyle w:val="11"/>
        <w:snapToGrid w:val="0"/>
        <w:rPr>
          <w:rFonts w:ascii="Times New Roman" w:hAnsi="Times New Roman" w:cs="Times New Roman"/>
          <w:color w:val="000000"/>
          <w:sz w:val="10"/>
          <w:szCs w:val="10"/>
          <w:highlight w:val="none"/>
        </w:rPr>
      </w:pPr>
      <w:r>
        <w:rPr>
          <w:rFonts w:ascii="Times New Roman" w:hAnsi="Times New Roman" w:cs="Times New Roman"/>
          <w:color w:val="000000"/>
          <w:sz w:val="21"/>
          <w:szCs w:val="21"/>
          <w:highlight w:val="none"/>
        </w:rPr>
        <w:br w:type="page"/>
      </w:r>
    </w:p>
    <w:tbl>
      <w:tblPr>
        <w:tblStyle w:val="1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09" w:type="dxa"/>
            <w:gridSpan w:val="3"/>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仿宋_GB2312"/>
                <w:b/>
                <w:bCs/>
                <w:sz w:val="32"/>
                <w:szCs w:val="32"/>
                <w:highlight w:val="none"/>
              </w:rPr>
              <w:t>（一）建设项目管理类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938" w:type="dxa"/>
            <w:gridSpan w:val="2"/>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38" w:type="dxa"/>
            <w:gridSpan w:val="2"/>
          </w:tcPr>
          <w:p>
            <w:pPr>
              <w:snapToGrid w:val="0"/>
              <w:spacing w:before="62" w:beforeLines="20"/>
              <w:ind w:firstLine="420"/>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需要配套建设的环境保护设施未建成、未经验收或者验收不合格，建设项目即投入生产或使用的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违反条款</w:t>
            </w:r>
          </w:p>
        </w:tc>
        <w:tc>
          <w:tcPr>
            <w:tcW w:w="7938" w:type="dxa"/>
            <w:gridSpan w:val="2"/>
          </w:tcPr>
          <w:p>
            <w:pPr>
              <w:pStyle w:val="12"/>
              <w:snapToGrid w:val="0"/>
              <w:spacing w:before="93" w:beforeLines="30" w:beforeAutospacing="0" w:after="0" w:afterAutospacing="0" w:line="288" w:lineRule="auto"/>
              <w:ind w:firstLine="482"/>
              <w:rPr>
                <w:rFonts w:ascii="Times New Roman" w:hAnsi="Times New Roman" w:eastAsia="仿宋_GB2312" w:cs="Times New Roman"/>
                <w:color w:val="000000"/>
                <w:kern w:val="2"/>
                <w:sz w:val="21"/>
                <w:szCs w:val="21"/>
                <w:highlight w:val="none"/>
              </w:rPr>
            </w:pPr>
            <w:r>
              <w:rPr>
                <w:rFonts w:ascii="Times New Roman" w:hAnsi="Times New Roman" w:eastAsia="仿宋_GB2312" w:cs="Times New Roman"/>
                <w:b/>
                <w:bCs/>
                <w:color w:val="000000"/>
                <w:kern w:val="2"/>
                <w:sz w:val="21"/>
                <w:szCs w:val="21"/>
                <w:highlight w:val="none"/>
              </w:rPr>
              <w:t>1.</w:t>
            </w:r>
            <w:r>
              <w:rPr>
                <w:rFonts w:hint="eastAsia" w:ascii="Times New Roman" w:hAnsi="Times New Roman" w:eastAsia="仿宋_GB2312" w:cs="仿宋_GB2312"/>
                <w:b/>
                <w:bCs/>
                <w:color w:val="000000"/>
                <w:kern w:val="2"/>
                <w:sz w:val="21"/>
                <w:szCs w:val="21"/>
                <w:highlight w:val="none"/>
              </w:rPr>
              <w:t>《建设项目环境保护管理条例》第十五条</w:t>
            </w:r>
            <w:r>
              <w:rPr>
                <w:rFonts w:ascii="Times New Roman" w:hAnsi="Times New Roman" w:eastAsia="仿宋_GB2312" w:cs="Times New Roman"/>
                <w:color w:val="000000"/>
                <w:kern w:val="2"/>
                <w:sz w:val="21"/>
                <w:szCs w:val="21"/>
                <w:highlight w:val="none"/>
              </w:rPr>
              <w:t xml:space="preserve"> </w:t>
            </w:r>
            <w:r>
              <w:rPr>
                <w:rFonts w:hint="eastAsia" w:ascii="Times New Roman" w:hAnsi="Times New Roman" w:eastAsia="仿宋_GB2312" w:cs="仿宋_GB2312"/>
                <w:color w:val="000000"/>
                <w:kern w:val="2"/>
                <w:sz w:val="21"/>
                <w:szCs w:val="21"/>
                <w:highlight w:val="none"/>
              </w:rPr>
              <w:t>建设项目需要配套建设的环境保护设施，必须与主体工程同时设计、同时施工、同时投产使用。</w:t>
            </w:r>
          </w:p>
          <w:p>
            <w:pPr>
              <w:pStyle w:val="12"/>
              <w:snapToGrid w:val="0"/>
              <w:spacing w:before="0" w:beforeAutospacing="0" w:after="0" w:afterAutospacing="0" w:line="288" w:lineRule="auto"/>
              <w:ind w:firstLine="482"/>
              <w:rPr>
                <w:rFonts w:ascii="Times New Roman" w:hAnsi="Times New Roman" w:eastAsia="仿宋_GB2312" w:cs="Times New Roman"/>
                <w:color w:val="000000"/>
                <w:kern w:val="2"/>
                <w:sz w:val="21"/>
                <w:szCs w:val="21"/>
                <w:highlight w:val="none"/>
              </w:rPr>
            </w:pPr>
            <w:r>
              <w:rPr>
                <w:rFonts w:ascii="Times New Roman" w:hAnsi="Times New Roman" w:eastAsia="仿宋_GB2312" w:cs="Times New Roman"/>
                <w:b/>
                <w:bCs/>
                <w:color w:val="000000"/>
                <w:kern w:val="2"/>
                <w:sz w:val="21"/>
                <w:szCs w:val="21"/>
                <w:highlight w:val="none"/>
              </w:rPr>
              <w:t>2.</w:t>
            </w:r>
            <w:r>
              <w:rPr>
                <w:rFonts w:hint="eastAsia" w:ascii="Times New Roman" w:hAnsi="Times New Roman" w:eastAsia="仿宋_GB2312" w:cs="仿宋_GB2312"/>
                <w:b/>
                <w:bCs/>
                <w:color w:val="000000"/>
                <w:kern w:val="2"/>
                <w:sz w:val="21"/>
                <w:szCs w:val="21"/>
                <w:highlight w:val="none"/>
              </w:rPr>
              <w:t>《建设项目环境保护管理条例》第十九条</w:t>
            </w:r>
            <w:r>
              <w:rPr>
                <w:rFonts w:ascii="Times New Roman" w:hAnsi="Times New Roman" w:eastAsia="仿宋_GB2312" w:cs="Times New Roman"/>
                <w:color w:val="000000"/>
                <w:kern w:val="2"/>
                <w:sz w:val="21"/>
                <w:szCs w:val="21"/>
                <w:highlight w:val="none"/>
              </w:rPr>
              <w:t xml:space="preserve"> </w:t>
            </w:r>
            <w:r>
              <w:rPr>
                <w:rFonts w:hint="eastAsia" w:ascii="Times New Roman" w:hAnsi="Times New Roman" w:eastAsia="仿宋_GB2312" w:cs="仿宋_GB2312"/>
                <w:color w:val="000000"/>
                <w:kern w:val="2"/>
                <w:sz w:val="21"/>
                <w:szCs w:val="21"/>
                <w:highlight w:val="none"/>
              </w:rPr>
              <w:t>编制环境影响报告书、环境影响报告表的建设项目，其配套建设的环境保护设施经验收合格，方可投入生产或者使用；未经验收或者验收不合格的，不得投入生产或者使用。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处罚依据</w:t>
            </w:r>
          </w:p>
        </w:tc>
        <w:tc>
          <w:tcPr>
            <w:tcW w:w="7938" w:type="dxa"/>
            <w:gridSpan w:val="2"/>
          </w:tcPr>
          <w:p>
            <w:pPr>
              <w:pStyle w:val="12"/>
              <w:snapToGrid w:val="0"/>
              <w:spacing w:before="93" w:beforeLines="30" w:beforeAutospacing="0" w:after="0" w:afterAutospacing="0" w:line="288" w:lineRule="auto"/>
              <w:ind w:firstLine="482"/>
              <w:rPr>
                <w:rFonts w:ascii="Times New Roman" w:hAnsi="Times New Roman" w:eastAsia="仿宋_GB2312" w:cs="Times New Roman"/>
                <w:color w:val="000000"/>
                <w:kern w:val="2"/>
                <w:sz w:val="21"/>
                <w:szCs w:val="21"/>
                <w:highlight w:val="none"/>
              </w:rPr>
            </w:pPr>
            <w:r>
              <w:rPr>
                <w:rFonts w:hint="eastAsia" w:ascii="Times New Roman" w:hAnsi="Times New Roman" w:eastAsia="仿宋_GB2312" w:cs="仿宋_GB2312"/>
                <w:b/>
                <w:bCs/>
                <w:color w:val="000000"/>
                <w:kern w:val="2"/>
                <w:sz w:val="21"/>
                <w:szCs w:val="21"/>
                <w:highlight w:val="none"/>
              </w:rPr>
              <w:t>《建设项目环境保护管理条例》第二十三条第一款</w:t>
            </w:r>
            <w:r>
              <w:rPr>
                <w:rFonts w:ascii="Times New Roman" w:hAnsi="Times New Roman" w:eastAsia="仿宋_GB2312" w:cs="Times New Roman"/>
                <w:color w:val="000000"/>
                <w:kern w:val="2"/>
                <w:sz w:val="21"/>
                <w:szCs w:val="21"/>
                <w:highlight w:val="none"/>
              </w:rPr>
              <w:t xml:space="preserve"> </w:t>
            </w:r>
            <w:r>
              <w:rPr>
                <w:rFonts w:hint="eastAsia" w:ascii="Times New Roman" w:hAnsi="Times New Roman" w:eastAsia="仿宋_GB2312" w:cs="仿宋_GB2312"/>
                <w:color w:val="000000"/>
                <w:kern w:val="2"/>
                <w:sz w:val="21"/>
                <w:szCs w:val="21"/>
                <w:highlight w:val="none"/>
              </w:rPr>
              <w:t>违反本条例规定，需要配套建设的环境保护设施未建成、未经验收或者验收不合格，建设项目即投入生产或者使用，或者在环境保护设施验收中弄虚作假的，由县级以上环境保护行政主管部门责令限期改正，处</w:t>
            </w:r>
            <w:r>
              <w:rPr>
                <w:rFonts w:ascii="Times New Roman" w:hAnsi="Times New Roman" w:eastAsia="仿宋_GB2312" w:cs="Times New Roman"/>
                <w:color w:val="000000"/>
                <w:kern w:val="2"/>
                <w:sz w:val="21"/>
                <w:szCs w:val="21"/>
                <w:highlight w:val="none"/>
              </w:rPr>
              <w:t>20</w:t>
            </w:r>
            <w:r>
              <w:rPr>
                <w:rFonts w:hint="eastAsia" w:ascii="Times New Roman" w:hAnsi="Times New Roman" w:eastAsia="仿宋_GB2312" w:cs="仿宋_GB2312"/>
                <w:color w:val="000000"/>
                <w:kern w:val="2"/>
                <w:sz w:val="21"/>
                <w:szCs w:val="21"/>
                <w:highlight w:val="none"/>
              </w:rPr>
              <w:t>万元以上</w:t>
            </w:r>
            <w:r>
              <w:rPr>
                <w:rFonts w:ascii="Times New Roman" w:hAnsi="Times New Roman" w:eastAsia="仿宋_GB2312" w:cs="Times New Roman"/>
                <w:color w:val="000000"/>
                <w:kern w:val="2"/>
                <w:sz w:val="21"/>
                <w:szCs w:val="21"/>
                <w:highlight w:val="none"/>
              </w:rPr>
              <w:t>100</w:t>
            </w:r>
            <w:r>
              <w:rPr>
                <w:rFonts w:hint="eastAsia" w:ascii="Times New Roman" w:hAnsi="Times New Roman" w:eastAsia="仿宋_GB2312" w:cs="仿宋_GB2312"/>
                <w:color w:val="000000"/>
                <w:kern w:val="2"/>
                <w:sz w:val="21"/>
                <w:szCs w:val="21"/>
                <w:highlight w:val="none"/>
              </w:rPr>
              <w:t>万元以下的罚款；逾期不改正的，处</w:t>
            </w:r>
            <w:r>
              <w:rPr>
                <w:rFonts w:ascii="Times New Roman" w:hAnsi="Times New Roman" w:eastAsia="仿宋_GB2312" w:cs="Times New Roman"/>
                <w:color w:val="000000"/>
                <w:kern w:val="2"/>
                <w:sz w:val="21"/>
                <w:szCs w:val="21"/>
                <w:highlight w:val="none"/>
              </w:rPr>
              <w:t>100</w:t>
            </w:r>
            <w:r>
              <w:rPr>
                <w:rFonts w:hint="eastAsia" w:ascii="Times New Roman" w:hAnsi="Times New Roman" w:eastAsia="仿宋_GB2312" w:cs="仿宋_GB2312"/>
                <w:color w:val="000000"/>
                <w:kern w:val="2"/>
                <w:sz w:val="21"/>
                <w:szCs w:val="21"/>
                <w:highlight w:val="none"/>
              </w:rPr>
              <w:t>万元以上</w:t>
            </w:r>
            <w:r>
              <w:rPr>
                <w:rFonts w:ascii="Times New Roman" w:hAnsi="Times New Roman" w:eastAsia="仿宋_GB2312" w:cs="Times New Roman"/>
                <w:color w:val="000000"/>
                <w:kern w:val="2"/>
                <w:sz w:val="21"/>
                <w:szCs w:val="21"/>
                <w:highlight w:val="none"/>
              </w:rPr>
              <w:t>200</w:t>
            </w:r>
            <w:r>
              <w:rPr>
                <w:rFonts w:hint="eastAsia" w:ascii="Times New Roman" w:hAnsi="Times New Roman" w:eastAsia="仿宋_GB2312" w:cs="仿宋_GB2312"/>
                <w:color w:val="000000"/>
                <w:kern w:val="2"/>
                <w:sz w:val="21"/>
                <w:szCs w:val="21"/>
                <w:highlight w:val="none"/>
              </w:rPr>
              <w:t>万元以下的罚款；对直接负责的主管人员和其他责任人员，处</w:t>
            </w:r>
            <w:r>
              <w:rPr>
                <w:rFonts w:ascii="Times New Roman" w:hAnsi="Times New Roman" w:eastAsia="仿宋_GB2312" w:cs="Times New Roman"/>
                <w:color w:val="000000"/>
                <w:kern w:val="2"/>
                <w:sz w:val="21"/>
                <w:szCs w:val="21"/>
                <w:highlight w:val="none"/>
              </w:rPr>
              <w:t>5</w:t>
            </w:r>
            <w:r>
              <w:rPr>
                <w:rFonts w:hint="eastAsia" w:ascii="Times New Roman" w:hAnsi="Times New Roman" w:eastAsia="仿宋_GB2312" w:cs="仿宋_GB2312"/>
                <w:color w:val="000000"/>
                <w:kern w:val="2"/>
                <w:sz w:val="21"/>
                <w:szCs w:val="21"/>
                <w:highlight w:val="none"/>
              </w:rPr>
              <w:t>万元以上</w:t>
            </w:r>
            <w:r>
              <w:rPr>
                <w:rFonts w:ascii="Times New Roman" w:hAnsi="Times New Roman" w:eastAsia="仿宋_GB2312" w:cs="Times New Roman"/>
                <w:color w:val="000000"/>
                <w:kern w:val="2"/>
                <w:sz w:val="21"/>
                <w:szCs w:val="21"/>
                <w:highlight w:val="none"/>
              </w:rPr>
              <w:t>20</w:t>
            </w:r>
            <w:r>
              <w:rPr>
                <w:rFonts w:hint="eastAsia" w:ascii="Times New Roman" w:hAnsi="Times New Roman" w:eastAsia="仿宋_GB2312" w:cs="仿宋_GB2312"/>
                <w:color w:val="000000"/>
                <w:kern w:val="2"/>
                <w:sz w:val="21"/>
                <w:szCs w:val="21"/>
                <w:highlight w:val="none"/>
              </w:rPr>
              <w:t>万元以下的罚款；造成重大环境污染或者生态破坏的，责令停止生产或者使用，或者报经有批准权的人民政府批准，责令关闭。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245"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9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45" w:type="dxa"/>
            <w:vAlign w:val="center"/>
          </w:tcPr>
          <w:p>
            <w:pPr>
              <w:pStyle w:val="11"/>
              <w:snapToGrid w:val="0"/>
              <w:jc w:val="center"/>
              <w:rPr>
                <w:rFonts w:ascii="Times New Roman" w:hAnsi="Times New Roman" w:eastAsia="仿宋_GB2312" w:cs="Times New Roman"/>
                <w:color w:val="000000"/>
                <w:kern w:val="2"/>
                <w:sz w:val="21"/>
                <w:szCs w:val="21"/>
                <w:highlight w:val="none"/>
              </w:rPr>
            </w:pPr>
            <w:r>
              <w:rPr>
                <w:rFonts w:hint="eastAsia" w:ascii="Times New Roman" w:hAnsi="Times New Roman" w:eastAsia="仿宋_GB2312" w:cs="仿宋_GB2312"/>
                <w:color w:val="000000"/>
                <w:kern w:val="2"/>
                <w:sz w:val="21"/>
                <w:szCs w:val="21"/>
                <w:highlight w:val="none"/>
              </w:rPr>
              <w:t>污染防治设施已建成未经验收或验收不合格，主体工程投入生产或者使用的</w:t>
            </w:r>
          </w:p>
        </w:tc>
        <w:tc>
          <w:tcPr>
            <w:tcW w:w="2693" w:type="dxa"/>
            <w:vAlign w:val="center"/>
          </w:tcPr>
          <w:p>
            <w:pPr>
              <w:snapToGrid w:val="0"/>
              <w:spacing w:line="288" w:lineRule="auto"/>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spacing w:line="288" w:lineRule="auto"/>
              <w:jc w:val="center"/>
              <w:rPr>
                <w:rFonts w:ascii="Times New Roman" w:hAnsi="Times New Roman" w:cs="Times New Roman"/>
                <w:b/>
                <w:bCs/>
                <w:color w:val="000000"/>
                <w:highlight w:val="none"/>
              </w:rPr>
            </w:pPr>
          </w:p>
        </w:tc>
        <w:tc>
          <w:tcPr>
            <w:tcW w:w="5245" w:type="dxa"/>
            <w:vAlign w:val="center"/>
          </w:tcPr>
          <w:p>
            <w:pPr>
              <w:pStyle w:val="11"/>
              <w:snapToGrid w:val="0"/>
              <w:jc w:val="center"/>
              <w:rPr>
                <w:rFonts w:ascii="Times New Roman" w:hAnsi="Times New Roman" w:eastAsia="仿宋_GB2312" w:cs="Times New Roman"/>
                <w:color w:val="000000"/>
                <w:kern w:val="2"/>
                <w:sz w:val="21"/>
                <w:szCs w:val="21"/>
                <w:highlight w:val="none"/>
              </w:rPr>
            </w:pPr>
            <w:r>
              <w:rPr>
                <w:rFonts w:hint="eastAsia" w:ascii="Times New Roman" w:hAnsi="Times New Roman" w:eastAsia="仿宋_GB2312" w:cs="仿宋_GB2312"/>
                <w:color w:val="000000"/>
                <w:kern w:val="2"/>
                <w:sz w:val="21"/>
                <w:szCs w:val="21"/>
                <w:highlight w:val="none"/>
              </w:rPr>
              <w:t>污染防治设施已动工建设尚未建成，主体工程投入生产或者使用的</w:t>
            </w:r>
          </w:p>
        </w:tc>
        <w:tc>
          <w:tcPr>
            <w:tcW w:w="2693" w:type="dxa"/>
            <w:vAlign w:val="center"/>
          </w:tcPr>
          <w:p>
            <w:pPr>
              <w:snapToGrid w:val="0"/>
              <w:spacing w:line="288" w:lineRule="auto"/>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Merge w:val="continue"/>
            <w:vAlign w:val="center"/>
          </w:tcPr>
          <w:p>
            <w:pPr>
              <w:snapToGrid w:val="0"/>
              <w:spacing w:line="288" w:lineRule="auto"/>
              <w:jc w:val="center"/>
              <w:rPr>
                <w:rFonts w:ascii="Times New Roman" w:hAnsi="Times New Roman" w:cs="Times New Roman"/>
                <w:b/>
                <w:bCs/>
                <w:color w:val="000000"/>
                <w:highlight w:val="none"/>
              </w:rPr>
            </w:pPr>
          </w:p>
        </w:tc>
        <w:tc>
          <w:tcPr>
            <w:tcW w:w="5245" w:type="dxa"/>
            <w:vAlign w:val="center"/>
          </w:tcPr>
          <w:p>
            <w:pPr>
              <w:pStyle w:val="11"/>
              <w:snapToGrid w:val="0"/>
              <w:jc w:val="center"/>
              <w:rPr>
                <w:rFonts w:ascii="Times New Roman" w:hAnsi="Times New Roman" w:eastAsia="仿宋_GB2312" w:cs="Times New Roman"/>
                <w:color w:val="000000"/>
                <w:kern w:val="2"/>
                <w:sz w:val="21"/>
                <w:szCs w:val="21"/>
                <w:highlight w:val="none"/>
              </w:rPr>
            </w:pPr>
            <w:r>
              <w:rPr>
                <w:rFonts w:hint="eastAsia" w:ascii="Times New Roman" w:hAnsi="Times New Roman" w:eastAsia="仿宋_GB2312" w:cs="仿宋_GB2312"/>
                <w:color w:val="000000"/>
                <w:kern w:val="2"/>
                <w:sz w:val="21"/>
                <w:szCs w:val="21"/>
                <w:highlight w:val="none"/>
              </w:rPr>
              <w:t>污染防治设施尚未建设，主体工程投入生产或使用的</w:t>
            </w:r>
          </w:p>
        </w:tc>
        <w:tc>
          <w:tcPr>
            <w:tcW w:w="2693" w:type="dxa"/>
            <w:vAlign w:val="center"/>
          </w:tcPr>
          <w:p>
            <w:pPr>
              <w:snapToGrid w:val="0"/>
              <w:spacing w:line="288" w:lineRule="auto"/>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highlight w:val="none"/>
              </w:rPr>
              <w:t>排放污染物类型</w:t>
            </w:r>
          </w:p>
        </w:tc>
        <w:tc>
          <w:tcPr>
            <w:tcW w:w="5245" w:type="dxa"/>
            <w:vAlign w:val="center"/>
          </w:tcPr>
          <w:p>
            <w:pPr>
              <w:snapToGrid w:val="0"/>
              <w:spacing w:line="288" w:lineRule="auto"/>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餐饮油烟（经营）</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生活废水</w:t>
            </w:r>
            <w:r>
              <w:rPr>
                <w:rFonts w:ascii="Times New Roman" w:hAnsi="Times New Roman" w:eastAsia="仿宋_GB2312" w:cs="Times New Roman"/>
                <w:color w:val="000000"/>
                <w:highlight w:val="none"/>
              </w:rPr>
              <w:t>/</w:t>
            </w:r>
            <w:r>
              <w:rPr>
                <w:rFonts w:hint="eastAsia" w:ascii="宋体" w:hAnsi="宋体" w:cs="宋体"/>
                <w:color w:val="000000"/>
                <w:highlight w:val="none"/>
              </w:rPr>
              <w:t>Ⅰ</w:t>
            </w:r>
            <w:r>
              <w:rPr>
                <w:rFonts w:hint="eastAsia" w:ascii="Times New Roman" w:hAnsi="Times New Roman" w:eastAsia="仿宋_GB2312" w:cs="仿宋_GB2312"/>
                <w:color w:val="000000"/>
                <w:highlight w:val="none"/>
              </w:rPr>
              <w:t>类一般工业固体废物</w:t>
            </w:r>
          </w:p>
        </w:tc>
        <w:tc>
          <w:tcPr>
            <w:tcW w:w="2693" w:type="dxa"/>
            <w:vAlign w:val="center"/>
          </w:tcPr>
          <w:p>
            <w:pPr>
              <w:snapToGrid w:val="0"/>
              <w:spacing w:line="288" w:lineRule="auto"/>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spacing w:line="288" w:lineRule="auto"/>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农业生产、畜禽养殖废气</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工业扬尘废气</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机械、汽车修理废气</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服务业废水</w:t>
            </w:r>
          </w:p>
        </w:tc>
        <w:tc>
          <w:tcPr>
            <w:tcW w:w="2693" w:type="dxa"/>
            <w:vAlign w:val="center"/>
          </w:tcPr>
          <w:p>
            <w:pPr>
              <w:snapToGrid w:val="0"/>
              <w:spacing w:line="288" w:lineRule="auto"/>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spacing w:line="288" w:lineRule="auto"/>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一般工业废气</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含恶臭污染物的废气</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医疗废气</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实验室废气</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一般工业废水</w:t>
            </w:r>
            <w:r>
              <w:rPr>
                <w:rFonts w:ascii="Times New Roman" w:hAnsi="Times New Roman" w:eastAsia="仿宋_GB2312" w:cs="Times New Roman"/>
                <w:color w:val="000000"/>
                <w:highlight w:val="none"/>
              </w:rPr>
              <w:t>/</w:t>
            </w:r>
            <w:r>
              <w:rPr>
                <w:rFonts w:hint="eastAsia" w:ascii="宋体" w:hAnsi="宋体" w:cs="宋体"/>
                <w:color w:val="000000"/>
                <w:highlight w:val="none"/>
              </w:rPr>
              <w:t>Ⅱ</w:t>
            </w:r>
            <w:r>
              <w:rPr>
                <w:rFonts w:hint="eastAsia" w:ascii="Times New Roman" w:hAnsi="Times New Roman" w:eastAsia="仿宋_GB2312" w:cs="仿宋_GB2312"/>
                <w:color w:val="000000"/>
                <w:highlight w:val="none"/>
              </w:rPr>
              <w:t>类一般工业固体废物</w:t>
            </w:r>
          </w:p>
        </w:tc>
        <w:tc>
          <w:tcPr>
            <w:tcW w:w="2693" w:type="dxa"/>
            <w:vAlign w:val="center"/>
          </w:tcPr>
          <w:p>
            <w:pPr>
              <w:snapToGrid w:val="0"/>
              <w:spacing w:line="288" w:lineRule="auto"/>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spacing w:line="288" w:lineRule="auto"/>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火电、钢铁、石化、水泥、炼焦、有色、化工废气、烟尘</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燃煤锅炉废气、烟尘</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含其他有毒有害物质的废水、医疗废水</w:t>
            </w:r>
          </w:p>
        </w:tc>
        <w:tc>
          <w:tcPr>
            <w:tcW w:w="2693" w:type="dxa"/>
            <w:vAlign w:val="center"/>
          </w:tcPr>
          <w:p>
            <w:pPr>
              <w:snapToGrid w:val="0"/>
              <w:spacing w:line="288" w:lineRule="auto"/>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spacing w:line="288" w:lineRule="auto"/>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含有毒有害物质的废气</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含一类污染物或重金属、病原体、放射性物质的废水</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危险废物</w:t>
            </w:r>
          </w:p>
        </w:tc>
        <w:tc>
          <w:tcPr>
            <w:tcW w:w="2693" w:type="dxa"/>
            <w:vAlign w:val="center"/>
          </w:tcPr>
          <w:p>
            <w:pPr>
              <w:snapToGrid w:val="0"/>
              <w:spacing w:line="288" w:lineRule="auto"/>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项目应报批的环评文件类别</w:t>
            </w: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报告表</w:t>
            </w:r>
          </w:p>
        </w:tc>
        <w:tc>
          <w:tcPr>
            <w:tcW w:w="2693" w:type="dxa"/>
            <w:vAlign w:val="center"/>
          </w:tcPr>
          <w:p>
            <w:pPr>
              <w:snapToGrid w:val="0"/>
              <w:spacing w:line="288" w:lineRule="auto"/>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spacing w:line="288" w:lineRule="auto"/>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报告书</w:t>
            </w:r>
          </w:p>
        </w:tc>
        <w:tc>
          <w:tcPr>
            <w:tcW w:w="2693" w:type="dxa"/>
            <w:vAlign w:val="center"/>
          </w:tcPr>
          <w:p>
            <w:pPr>
              <w:snapToGrid w:val="0"/>
              <w:spacing w:line="288" w:lineRule="auto"/>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spacing w:line="288" w:lineRule="auto"/>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报告书（化工、电镀、皮革、造纸、制浆、冶炼、放射性、印染、染料、炼焦、炼油项目）</w:t>
            </w:r>
          </w:p>
        </w:tc>
        <w:tc>
          <w:tcPr>
            <w:tcW w:w="2693" w:type="dxa"/>
            <w:vAlign w:val="center"/>
          </w:tcPr>
          <w:p>
            <w:pPr>
              <w:snapToGrid w:val="0"/>
              <w:spacing w:line="288" w:lineRule="auto"/>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项目建设</w:t>
            </w:r>
          </w:p>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地点</w:t>
            </w: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符合环境功能规划（或无环境功能规划）</w:t>
            </w:r>
          </w:p>
        </w:tc>
        <w:tc>
          <w:tcPr>
            <w:tcW w:w="2693" w:type="dxa"/>
            <w:vAlign w:val="center"/>
          </w:tcPr>
          <w:p>
            <w:pPr>
              <w:snapToGrid w:val="0"/>
              <w:spacing w:line="288" w:lineRule="auto"/>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spacing w:line="288" w:lineRule="auto"/>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不符合环境功能规划，但不在保护区内</w:t>
            </w:r>
          </w:p>
        </w:tc>
        <w:tc>
          <w:tcPr>
            <w:tcW w:w="2693" w:type="dxa"/>
            <w:vAlign w:val="center"/>
          </w:tcPr>
          <w:p>
            <w:pPr>
              <w:snapToGrid w:val="0"/>
              <w:spacing w:line="288" w:lineRule="auto"/>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spacing w:line="288" w:lineRule="auto"/>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位于自然保护区试验区</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饮用水水源准保护区</w:t>
            </w:r>
          </w:p>
        </w:tc>
        <w:tc>
          <w:tcPr>
            <w:tcW w:w="2693" w:type="dxa"/>
            <w:vAlign w:val="center"/>
          </w:tcPr>
          <w:p>
            <w:pPr>
              <w:snapToGrid w:val="0"/>
              <w:spacing w:line="288" w:lineRule="auto"/>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spacing w:line="288" w:lineRule="auto"/>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位于自然保护区缓冲区</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饮用水水源二级保护区</w:t>
            </w:r>
          </w:p>
        </w:tc>
        <w:tc>
          <w:tcPr>
            <w:tcW w:w="2693" w:type="dxa"/>
            <w:vAlign w:val="center"/>
          </w:tcPr>
          <w:p>
            <w:pPr>
              <w:snapToGrid w:val="0"/>
              <w:spacing w:line="288" w:lineRule="auto"/>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spacing w:line="288" w:lineRule="auto"/>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位于自然保护区核心区</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饮用水水源一级保护区</w:t>
            </w:r>
          </w:p>
        </w:tc>
        <w:tc>
          <w:tcPr>
            <w:tcW w:w="2693" w:type="dxa"/>
            <w:vAlign w:val="center"/>
          </w:tcPr>
          <w:p>
            <w:pPr>
              <w:snapToGrid w:val="0"/>
              <w:spacing w:line="288" w:lineRule="auto"/>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违法时间</w:t>
            </w: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个月以内的</w:t>
            </w:r>
          </w:p>
        </w:tc>
        <w:tc>
          <w:tcPr>
            <w:tcW w:w="2693" w:type="dxa"/>
            <w:vAlign w:val="center"/>
          </w:tcPr>
          <w:p>
            <w:pPr>
              <w:snapToGrid w:val="0"/>
              <w:spacing w:line="288" w:lineRule="auto"/>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tcPr>
          <w:p>
            <w:pPr>
              <w:snapToGrid w:val="0"/>
              <w:spacing w:line="288" w:lineRule="auto"/>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超过</w:t>
            </w: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个月并且在</w:t>
            </w: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个月以内的</w:t>
            </w:r>
          </w:p>
        </w:tc>
        <w:tc>
          <w:tcPr>
            <w:tcW w:w="2693" w:type="dxa"/>
            <w:vAlign w:val="center"/>
          </w:tcPr>
          <w:p>
            <w:pPr>
              <w:snapToGrid w:val="0"/>
              <w:spacing w:line="288" w:lineRule="auto"/>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tcPr>
          <w:p>
            <w:pPr>
              <w:snapToGrid w:val="0"/>
              <w:spacing w:line="288" w:lineRule="auto"/>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超过</w:t>
            </w: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个月并且在</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年以内的</w:t>
            </w:r>
          </w:p>
        </w:tc>
        <w:tc>
          <w:tcPr>
            <w:tcW w:w="2693" w:type="dxa"/>
            <w:vAlign w:val="center"/>
          </w:tcPr>
          <w:p>
            <w:pPr>
              <w:snapToGrid w:val="0"/>
              <w:spacing w:line="288" w:lineRule="auto"/>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tcPr>
          <w:p>
            <w:pPr>
              <w:snapToGrid w:val="0"/>
              <w:spacing w:line="288" w:lineRule="auto"/>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超过</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年并且在</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年以内的</w:t>
            </w:r>
          </w:p>
        </w:tc>
        <w:tc>
          <w:tcPr>
            <w:tcW w:w="2693" w:type="dxa"/>
            <w:vAlign w:val="center"/>
          </w:tcPr>
          <w:p>
            <w:pPr>
              <w:snapToGrid w:val="0"/>
              <w:spacing w:line="288" w:lineRule="auto"/>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tcPr>
          <w:p>
            <w:pPr>
              <w:snapToGrid w:val="0"/>
              <w:spacing w:line="288" w:lineRule="auto"/>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年以上的</w:t>
            </w:r>
          </w:p>
        </w:tc>
        <w:tc>
          <w:tcPr>
            <w:tcW w:w="2693" w:type="dxa"/>
            <w:vAlign w:val="center"/>
          </w:tcPr>
          <w:p>
            <w:pPr>
              <w:snapToGrid w:val="0"/>
              <w:spacing w:line="288" w:lineRule="auto"/>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超过限期</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改正时间（仅适用于</w:t>
            </w:r>
            <w:r>
              <w:rPr>
                <w:rFonts w:ascii="Times New Roman" w:hAnsi="Times New Roman" w:cs="宋体"/>
                <w:b/>
                <w:bCs/>
                <w:color w:val="000000"/>
                <w:highlight w:val="none"/>
              </w:rPr>
              <w:t>逾期不改正情形</w:t>
            </w:r>
            <w:r>
              <w:rPr>
                <w:rFonts w:hint="eastAsia" w:ascii="Times New Roman" w:hAnsi="Times New Roman" w:cs="宋体"/>
                <w:b/>
                <w:bCs/>
                <w:color w:val="000000"/>
                <w:highlight w:val="none"/>
              </w:rPr>
              <w:t>）</w:t>
            </w: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1个月</w:t>
            </w:r>
            <w:r>
              <w:rPr>
                <w:rFonts w:ascii="Times New Roman" w:hAnsi="Times New Roman" w:eastAsia="仿宋_GB2312" w:cs="仿宋_GB2312"/>
                <w:color w:val="000000"/>
                <w:highlight w:val="none"/>
              </w:rPr>
              <w:t>以内</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spacing w:line="288" w:lineRule="auto"/>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r>
              <w:rPr>
                <w:rFonts w:hint="eastAsia" w:ascii="Times New Roman" w:hAnsi="Times New Roman" w:eastAsia="仿宋_GB2312" w:cs="Times New Roman"/>
                <w:color w:val="000000"/>
                <w:highlight w:val="none"/>
              </w:rPr>
              <w:t>个月</w:t>
            </w:r>
            <w:r>
              <w:rPr>
                <w:rFonts w:hint="eastAsia" w:ascii="Times New Roman" w:hAnsi="Times New Roman" w:eastAsia="仿宋_GB2312" w:cs="仿宋_GB2312"/>
                <w:color w:val="000000"/>
                <w:highlight w:val="none"/>
              </w:rPr>
              <w:t>以上不足</w:t>
            </w:r>
            <w:r>
              <w:rPr>
                <w:rFonts w:ascii="Times New Roman" w:hAnsi="Times New Roman" w:eastAsia="仿宋_GB2312" w:cs="Times New Roman"/>
                <w:color w:val="000000"/>
                <w:highlight w:val="none"/>
              </w:rPr>
              <w:t>3</w:t>
            </w:r>
            <w:r>
              <w:rPr>
                <w:rFonts w:hint="eastAsia" w:ascii="Times New Roman" w:hAnsi="Times New Roman" w:eastAsia="仿宋_GB2312" w:cs="Times New Roman"/>
                <w:color w:val="000000"/>
                <w:highlight w:val="none"/>
              </w:rPr>
              <w:t>个月</w:t>
            </w:r>
          </w:p>
        </w:tc>
        <w:tc>
          <w:tcPr>
            <w:tcW w:w="2693" w:type="dxa"/>
            <w:vAlign w:val="center"/>
          </w:tcPr>
          <w:p>
            <w:pPr>
              <w:snapToGrid w:val="0"/>
              <w:spacing w:line="288" w:lineRule="auto"/>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spacing w:line="288" w:lineRule="auto"/>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Times New Roman"/>
                <w:color w:val="000000"/>
                <w:highlight w:val="none"/>
              </w:rPr>
              <w:t>个月</w:t>
            </w:r>
            <w:r>
              <w:rPr>
                <w:rFonts w:hint="eastAsia" w:ascii="Times New Roman" w:hAnsi="Times New Roman" w:eastAsia="仿宋_GB2312" w:cs="仿宋_GB2312"/>
                <w:color w:val="000000"/>
                <w:highlight w:val="none"/>
              </w:rPr>
              <w:t>以上不足</w:t>
            </w:r>
            <w:r>
              <w:rPr>
                <w:rFonts w:ascii="Times New Roman" w:hAnsi="Times New Roman" w:eastAsia="仿宋_GB2312" w:cs="Times New Roman"/>
                <w:color w:val="000000"/>
                <w:highlight w:val="none"/>
              </w:rPr>
              <w:t>6</w:t>
            </w:r>
            <w:r>
              <w:rPr>
                <w:rFonts w:hint="eastAsia" w:ascii="Times New Roman" w:hAnsi="Times New Roman" w:eastAsia="仿宋_GB2312" w:cs="Times New Roman"/>
                <w:color w:val="000000"/>
                <w:highlight w:val="none"/>
              </w:rPr>
              <w:t>个月</w:t>
            </w:r>
          </w:p>
        </w:tc>
        <w:tc>
          <w:tcPr>
            <w:tcW w:w="2693" w:type="dxa"/>
            <w:vAlign w:val="center"/>
          </w:tcPr>
          <w:p>
            <w:pPr>
              <w:snapToGrid w:val="0"/>
              <w:spacing w:line="288" w:lineRule="auto"/>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spacing w:line="288" w:lineRule="auto"/>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6</w:t>
            </w:r>
            <w:r>
              <w:rPr>
                <w:rFonts w:hint="eastAsia" w:ascii="Times New Roman" w:hAnsi="Times New Roman" w:eastAsia="仿宋_GB2312" w:cs="Times New Roman"/>
                <w:color w:val="000000"/>
                <w:highlight w:val="none"/>
              </w:rPr>
              <w:t>个月</w:t>
            </w:r>
            <w:r>
              <w:rPr>
                <w:rFonts w:hint="eastAsia" w:ascii="Times New Roman" w:hAnsi="Times New Roman" w:eastAsia="仿宋_GB2312" w:cs="仿宋_GB2312"/>
                <w:color w:val="000000"/>
                <w:highlight w:val="none"/>
              </w:rPr>
              <w:t>以上不足</w:t>
            </w:r>
            <w:r>
              <w:rPr>
                <w:rFonts w:ascii="Times New Roman" w:hAnsi="Times New Roman" w:eastAsia="仿宋_GB2312" w:cs="Times New Roman"/>
                <w:color w:val="000000"/>
                <w:highlight w:val="none"/>
              </w:rPr>
              <w:t>12</w:t>
            </w:r>
            <w:r>
              <w:rPr>
                <w:rFonts w:hint="eastAsia" w:ascii="Times New Roman" w:hAnsi="Times New Roman" w:eastAsia="仿宋_GB2312" w:cs="仿宋_GB2312"/>
                <w:color w:val="000000"/>
                <w:highlight w:val="none"/>
              </w:rPr>
              <w:t>个月</w:t>
            </w:r>
          </w:p>
        </w:tc>
        <w:tc>
          <w:tcPr>
            <w:tcW w:w="2693" w:type="dxa"/>
            <w:vAlign w:val="center"/>
          </w:tcPr>
          <w:p>
            <w:pPr>
              <w:snapToGrid w:val="0"/>
              <w:spacing w:line="288" w:lineRule="auto"/>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spacing w:line="288" w:lineRule="auto"/>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12</w:t>
            </w:r>
            <w:r>
              <w:rPr>
                <w:rFonts w:hint="eastAsia" w:ascii="Times New Roman" w:hAnsi="Times New Roman" w:eastAsia="仿宋_GB2312" w:cs="仿宋_GB2312"/>
                <w:color w:val="000000"/>
                <w:highlight w:val="none"/>
              </w:rPr>
              <w:t>个月以上</w:t>
            </w:r>
          </w:p>
        </w:tc>
        <w:tc>
          <w:tcPr>
            <w:tcW w:w="2693" w:type="dxa"/>
            <w:vAlign w:val="center"/>
          </w:tcPr>
          <w:p>
            <w:pPr>
              <w:snapToGrid w:val="0"/>
              <w:spacing w:line="288" w:lineRule="auto"/>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938" w:type="dxa"/>
            <w:gridSpan w:val="2"/>
          </w:tcPr>
          <w:p>
            <w:pPr>
              <w:snapToGrid w:val="0"/>
              <w:spacing w:before="93" w:beforeLines="30" w:line="288" w:lineRule="auto"/>
              <w:ind w:firstLine="420"/>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对企业的处罚和对直接负责的主管人员和其他责任人员的处罚，分别套用计算公式裁定处罚金额。</w:t>
            </w:r>
          </w:p>
        </w:tc>
      </w:tr>
    </w:tbl>
    <w:p>
      <w:pPr>
        <w:snapToGrid w:val="0"/>
        <w:rPr>
          <w:rFonts w:ascii="Times New Roman" w:hAnsi="Times New Roman" w:cs="Times New Roman"/>
          <w:color w:val="000000"/>
          <w:sz w:val="10"/>
          <w:szCs w:val="10"/>
          <w:highlight w:val="none"/>
        </w:rPr>
      </w:pPr>
      <w:r>
        <w:rPr>
          <w:rFonts w:ascii="Times New Roman" w:hAnsi="Times New Roman" w:cs="Times New Roman"/>
          <w:color w:val="000000"/>
          <w:highlight w:val="none"/>
        </w:rPr>
        <w:br w:type="page"/>
      </w:r>
    </w:p>
    <w:tbl>
      <w:tblPr>
        <w:tblStyle w:val="14"/>
        <w:tblW w:w="920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仿宋_GB2312"/>
                <w:b/>
                <w:bCs/>
                <w:sz w:val="32"/>
                <w:szCs w:val="32"/>
                <w:highlight w:val="none"/>
              </w:rPr>
              <w:t>（一）建设项目管理类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938" w:type="dxa"/>
            <w:gridSpan w:val="2"/>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38" w:type="dxa"/>
            <w:gridSpan w:val="2"/>
            <w:vAlign w:val="center"/>
          </w:tcPr>
          <w:p>
            <w:pPr>
              <w:snapToGrid w:val="0"/>
              <w:ind w:firstLine="42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在环境保护设施验收中弄虚作假的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违反条款</w:t>
            </w:r>
          </w:p>
        </w:tc>
        <w:tc>
          <w:tcPr>
            <w:tcW w:w="7938" w:type="dxa"/>
            <w:gridSpan w:val="2"/>
          </w:tcPr>
          <w:p>
            <w:pPr>
              <w:pStyle w:val="12"/>
              <w:snapToGrid w:val="0"/>
              <w:spacing w:before="93" w:beforeLines="30" w:beforeAutospacing="0" w:after="0" w:afterAutospacing="0" w:line="288" w:lineRule="auto"/>
              <w:ind w:firstLine="482"/>
              <w:rPr>
                <w:rFonts w:ascii="Times New Roman" w:hAnsi="Times New Roman" w:eastAsia="仿宋_GB2312" w:cs="Times New Roman"/>
                <w:color w:val="000000"/>
                <w:kern w:val="2"/>
                <w:sz w:val="21"/>
                <w:szCs w:val="21"/>
                <w:highlight w:val="none"/>
              </w:rPr>
            </w:pPr>
            <w:r>
              <w:rPr>
                <w:rFonts w:hint="eastAsia" w:ascii="Times New Roman" w:hAnsi="Times New Roman" w:eastAsia="仿宋_GB2312" w:cs="仿宋_GB2312"/>
                <w:b/>
                <w:bCs/>
                <w:color w:val="000000"/>
                <w:kern w:val="2"/>
                <w:sz w:val="21"/>
                <w:szCs w:val="21"/>
                <w:highlight w:val="none"/>
              </w:rPr>
              <w:t>《建设项目环境保护管理条例》第十七条第二款</w:t>
            </w:r>
            <w:r>
              <w:rPr>
                <w:rFonts w:ascii="Times New Roman" w:hAnsi="Times New Roman" w:eastAsia="仿宋_GB2312" w:cs="Times New Roman"/>
                <w:color w:val="000000"/>
                <w:kern w:val="2"/>
                <w:sz w:val="21"/>
                <w:szCs w:val="21"/>
                <w:highlight w:val="none"/>
              </w:rPr>
              <w:t xml:space="preserve"> </w:t>
            </w:r>
            <w:r>
              <w:rPr>
                <w:rFonts w:hint="eastAsia" w:ascii="Times New Roman" w:hAnsi="Times New Roman" w:eastAsia="仿宋_GB2312" w:cs="仿宋_GB2312"/>
                <w:color w:val="000000"/>
                <w:kern w:val="2"/>
                <w:sz w:val="21"/>
                <w:szCs w:val="21"/>
                <w:highlight w:val="none"/>
              </w:rPr>
              <w:t>建设单位在环境保护设施验收过程中，应当如实查验、监测、记载建设项目环境保护设施的建设和调试情况，不得弄虚作假。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处罚依据</w:t>
            </w:r>
          </w:p>
        </w:tc>
        <w:tc>
          <w:tcPr>
            <w:tcW w:w="7938" w:type="dxa"/>
            <w:gridSpan w:val="2"/>
          </w:tcPr>
          <w:p>
            <w:pPr>
              <w:pStyle w:val="12"/>
              <w:snapToGrid w:val="0"/>
              <w:spacing w:before="93" w:beforeLines="30" w:beforeAutospacing="0" w:after="0" w:afterAutospacing="0" w:line="288" w:lineRule="auto"/>
              <w:ind w:firstLine="420"/>
              <w:rPr>
                <w:rFonts w:ascii="Times New Roman" w:hAnsi="Times New Roman" w:eastAsia="仿宋_GB2312" w:cs="Times New Roman"/>
                <w:color w:val="000000"/>
                <w:kern w:val="2"/>
                <w:sz w:val="21"/>
                <w:szCs w:val="21"/>
                <w:highlight w:val="none"/>
              </w:rPr>
            </w:pPr>
            <w:r>
              <w:rPr>
                <w:rFonts w:hint="eastAsia" w:ascii="Times New Roman" w:hAnsi="Times New Roman" w:eastAsia="仿宋_GB2312" w:cs="仿宋_GB2312"/>
                <w:b/>
                <w:bCs/>
                <w:color w:val="000000"/>
                <w:kern w:val="2"/>
                <w:sz w:val="21"/>
                <w:szCs w:val="21"/>
                <w:highlight w:val="none"/>
              </w:rPr>
              <w:t>《建设项目环境保护管理条例》第二十三条第一款</w:t>
            </w:r>
            <w:r>
              <w:rPr>
                <w:rFonts w:ascii="Times New Roman" w:hAnsi="Times New Roman" w:eastAsia="仿宋_GB2312" w:cs="Times New Roman"/>
                <w:color w:val="000000"/>
                <w:kern w:val="2"/>
                <w:sz w:val="21"/>
                <w:szCs w:val="21"/>
                <w:highlight w:val="none"/>
              </w:rPr>
              <w:t xml:space="preserve"> </w:t>
            </w:r>
            <w:r>
              <w:rPr>
                <w:rFonts w:hint="eastAsia" w:ascii="Times New Roman" w:hAnsi="Times New Roman" w:eastAsia="仿宋_GB2312" w:cs="仿宋_GB2312"/>
                <w:color w:val="000000"/>
                <w:kern w:val="2"/>
                <w:sz w:val="21"/>
                <w:szCs w:val="21"/>
                <w:highlight w:val="none"/>
              </w:rPr>
              <w:t>违反本条例规定，需要配套建设的环境保护设施未建成、未经验收或者验收不合格，建设项目即投入生产或者使用，或者在环境保护设施验收中弄虚作假的，由县级以上环境保护行政主管部门责令限期改正，处</w:t>
            </w:r>
            <w:r>
              <w:rPr>
                <w:rFonts w:ascii="Times New Roman" w:hAnsi="Times New Roman" w:eastAsia="仿宋_GB2312" w:cs="Times New Roman"/>
                <w:color w:val="000000"/>
                <w:kern w:val="2"/>
                <w:sz w:val="21"/>
                <w:szCs w:val="21"/>
                <w:highlight w:val="none"/>
              </w:rPr>
              <w:t>20</w:t>
            </w:r>
            <w:r>
              <w:rPr>
                <w:rFonts w:hint="eastAsia" w:ascii="Times New Roman" w:hAnsi="Times New Roman" w:eastAsia="仿宋_GB2312" w:cs="仿宋_GB2312"/>
                <w:color w:val="000000"/>
                <w:kern w:val="2"/>
                <w:sz w:val="21"/>
                <w:szCs w:val="21"/>
                <w:highlight w:val="none"/>
              </w:rPr>
              <w:t>万元以上</w:t>
            </w:r>
            <w:r>
              <w:rPr>
                <w:rFonts w:ascii="Times New Roman" w:hAnsi="Times New Roman" w:eastAsia="仿宋_GB2312" w:cs="Times New Roman"/>
                <w:color w:val="000000"/>
                <w:kern w:val="2"/>
                <w:sz w:val="21"/>
                <w:szCs w:val="21"/>
                <w:highlight w:val="none"/>
              </w:rPr>
              <w:t>100</w:t>
            </w:r>
            <w:r>
              <w:rPr>
                <w:rFonts w:hint="eastAsia" w:ascii="Times New Roman" w:hAnsi="Times New Roman" w:eastAsia="仿宋_GB2312" w:cs="仿宋_GB2312"/>
                <w:color w:val="000000"/>
                <w:kern w:val="2"/>
                <w:sz w:val="21"/>
                <w:szCs w:val="21"/>
                <w:highlight w:val="none"/>
              </w:rPr>
              <w:t>万元以下的罚款；逾期不改正的，处</w:t>
            </w:r>
            <w:r>
              <w:rPr>
                <w:rFonts w:ascii="Times New Roman" w:hAnsi="Times New Roman" w:eastAsia="仿宋_GB2312" w:cs="Times New Roman"/>
                <w:color w:val="000000"/>
                <w:kern w:val="2"/>
                <w:sz w:val="21"/>
                <w:szCs w:val="21"/>
                <w:highlight w:val="none"/>
              </w:rPr>
              <w:t>100</w:t>
            </w:r>
            <w:r>
              <w:rPr>
                <w:rFonts w:hint="eastAsia" w:ascii="Times New Roman" w:hAnsi="Times New Roman" w:eastAsia="仿宋_GB2312" w:cs="仿宋_GB2312"/>
                <w:color w:val="000000"/>
                <w:kern w:val="2"/>
                <w:sz w:val="21"/>
                <w:szCs w:val="21"/>
                <w:highlight w:val="none"/>
              </w:rPr>
              <w:t>万元以上</w:t>
            </w:r>
            <w:r>
              <w:rPr>
                <w:rFonts w:ascii="Times New Roman" w:hAnsi="Times New Roman" w:eastAsia="仿宋_GB2312" w:cs="Times New Roman"/>
                <w:color w:val="000000"/>
                <w:kern w:val="2"/>
                <w:sz w:val="21"/>
                <w:szCs w:val="21"/>
                <w:highlight w:val="none"/>
              </w:rPr>
              <w:t>200</w:t>
            </w:r>
            <w:r>
              <w:rPr>
                <w:rFonts w:hint="eastAsia" w:ascii="Times New Roman" w:hAnsi="Times New Roman" w:eastAsia="仿宋_GB2312" w:cs="仿宋_GB2312"/>
                <w:color w:val="000000"/>
                <w:kern w:val="2"/>
                <w:sz w:val="21"/>
                <w:szCs w:val="21"/>
                <w:highlight w:val="none"/>
              </w:rPr>
              <w:t>万元以下的罚款；对直接负责的主管人员和其他责任人员，处</w:t>
            </w:r>
            <w:r>
              <w:rPr>
                <w:rFonts w:ascii="Times New Roman" w:hAnsi="Times New Roman" w:eastAsia="仿宋_GB2312" w:cs="Times New Roman"/>
                <w:color w:val="000000"/>
                <w:kern w:val="2"/>
                <w:sz w:val="21"/>
                <w:szCs w:val="21"/>
                <w:highlight w:val="none"/>
              </w:rPr>
              <w:t>5</w:t>
            </w:r>
            <w:r>
              <w:rPr>
                <w:rFonts w:hint="eastAsia" w:ascii="Times New Roman" w:hAnsi="Times New Roman" w:eastAsia="仿宋_GB2312" w:cs="仿宋_GB2312"/>
                <w:color w:val="000000"/>
                <w:kern w:val="2"/>
                <w:sz w:val="21"/>
                <w:szCs w:val="21"/>
                <w:highlight w:val="none"/>
              </w:rPr>
              <w:t>万元以上</w:t>
            </w:r>
            <w:r>
              <w:rPr>
                <w:rFonts w:ascii="Times New Roman" w:hAnsi="Times New Roman" w:eastAsia="仿宋_GB2312" w:cs="Times New Roman"/>
                <w:color w:val="000000"/>
                <w:kern w:val="2"/>
                <w:sz w:val="21"/>
                <w:szCs w:val="21"/>
                <w:highlight w:val="none"/>
              </w:rPr>
              <w:t>20</w:t>
            </w:r>
            <w:r>
              <w:rPr>
                <w:rFonts w:hint="eastAsia" w:ascii="Times New Roman" w:hAnsi="Times New Roman" w:eastAsia="仿宋_GB2312" w:cs="仿宋_GB2312"/>
                <w:color w:val="000000"/>
                <w:kern w:val="2"/>
                <w:sz w:val="21"/>
                <w:szCs w:val="21"/>
                <w:highlight w:val="none"/>
              </w:rPr>
              <w:t>万元以下的罚款；造成重大环境污染或者生态破坏的，责令停止生产或者使用，或者报经有批准权的人民政府批准，责令关闭。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245"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9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45" w:type="dxa"/>
            <w:vAlign w:val="center"/>
          </w:tcPr>
          <w:p>
            <w:pPr>
              <w:pStyle w:val="11"/>
              <w:snapToGrid w:val="0"/>
              <w:jc w:val="center"/>
              <w:rPr>
                <w:rFonts w:ascii="Times New Roman" w:hAnsi="Times New Roman" w:eastAsia="仿宋_GB2312" w:cs="Times New Roman"/>
                <w:color w:val="000000"/>
                <w:kern w:val="2"/>
                <w:sz w:val="21"/>
                <w:szCs w:val="21"/>
                <w:highlight w:val="none"/>
              </w:rPr>
            </w:pPr>
            <w:r>
              <w:rPr>
                <w:rFonts w:hint="eastAsia" w:ascii="Times New Roman" w:hAnsi="Times New Roman" w:eastAsia="仿宋_GB2312" w:cs="仿宋_GB2312"/>
                <w:color w:val="000000"/>
                <w:kern w:val="2"/>
                <w:sz w:val="21"/>
                <w:szCs w:val="21"/>
                <w:highlight w:val="none"/>
              </w:rPr>
              <w:t>在环境保护设施验收中设施</w:t>
            </w:r>
            <w:r>
              <w:rPr>
                <w:rFonts w:ascii="Times New Roman" w:hAnsi="Times New Roman" w:eastAsia="仿宋_GB2312" w:cs="仿宋_GB2312"/>
                <w:color w:val="000000"/>
                <w:kern w:val="2"/>
                <w:sz w:val="21"/>
                <w:szCs w:val="21"/>
                <w:highlight w:val="none"/>
              </w:rPr>
              <w:t>调试情况</w:t>
            </w:r>
            <w:r>
              <w:rPr>
                <w:rFonts w:hint="eastAsia" w:ascii="Times New Roman" w:hAnsi="Times New Roman" w:eastAsia="仿宋_GB2312" w:cs="仿宋_GB2312"/>
                <w:color w:val="000000"/>
                <w:kern w:val="2"/>
                <w:sz w:val="21"/>
                <w:szCs w:val="21"/>
                <w:highlight w:val="none"/>
              </w:rPr>
              <w:t>弄虚作假，未获得验收通过的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11"/>
              <w:snapToGrid w:val="0"/>
              <w:jc w:val="center"/>
              <w:rPr>
                <w:rFonts w:ascii="Times New Roman" w:hAnsi="Times New Roman" w:eastAsia="仿宋_GB2312" w:cs="仿宋_GB2312"/>
                <w:color w:val="000000"/>
                <w:kern w:val="2"/>
                <w:sz w:val="21"/>
                <w:szCs w:val="21"/>
                <w:highlight w:val="none"/>
              </w:rPr>
            </w:pPr>
            <w:r>
              <w:rPr>
                <w:rFonts w:hint="eastAsia" w:ascii="Times New Roman" w:hAnsi="Times New Roman" w:eastAsia="仿宋_GB2312" w:cs="仿宋_GB2312"/>
                <w:color w:val="000000"/>
                <w:kern w:val="2"/>
                <w:sz w:val="21"/>
                <w:szCs w:val="21"/>
                <w:highlight w:val="none"/>
              </w:rPr>
              <w:t>在环境保护设施验收中设施</w:t>
            </w:r>
            <w:r>
              <w:rPr>
                <w:rFonts w:ascii="Times New Roman" w:hAnsi="Times New Roman" w:eastAsia="仿宋_GB2312" w:cs="仿宋_GB2312"/>
                <w:color w:val="000000"/>
                <w:kern w:val="2"/>
                <w:sz w:val="21"/>
                <w:szCs w:val="21"/>
                <w:highlight w:val="none"/>
              </w:rPr>
              <w:t>建设情况</w:t>
            </w:r>
            <w:r>
              <w:rPr>
                <w:rFonts w:hint="eastAsia" w:ascii="Times New Roman" w:hAnsi="Times New Roman" w:eastAsia="仿宋_GB2312" w:cs="仿宋_GB2312"/>
                <w:color w:val="000000"/>
                <w:kern w:val="2"/>
                <w:sz w:val="21"/>
                <w:szCs w:val="21"/>
                <w:highlight w:val="none"/>
              </w:rPr>
              <w:t>弄虚作假，未获得验收通过的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11"/>
              <w:snapToGrid w:val="0"/>
              <w:jc w:val="center"/>
              <w:rPr>
                <w:rFonts w:ascii="Times New Roman" w:hAnsi="Times New Roman" w:eastAsia="仿宋_GB2312" w:cs="Times New Roman"/>
                <w:color w:val="000000"/>
                <w:kern w:val="2"/>
                <w:sz w:val="21"/>
                <w:szCs w:val="21"/>
                <w:highlight w:val="none"/>
              </w:rPr>
            </w:pPr>
            <w:r>
              <w:rPr>
                <w:rFonts w:hint="eastAsia" w:ascii="Times New Roman" w:hAnsi="Times New Roman" w:eastAsia="仿宋_GB2312" w:cs="仿宋_GB2312"/>
                <w:color w:val="000000"/>
                <w:kern w:val="2"/>
                <w:sz w:val="21"/>
                <w:szCs w:val="21"/>
                <w:highlight w:val="none"/>
              </w:rPr>
              <w:t>在环境保护设施验收中弄虚作假，且验收通过的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项目应报批的环评文件类别</w:t>
            </w: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报告表</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报告书</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报告书（化工、电镀、皮革、造纸、制浆、冶炼、放射性、印染、染料、炼焦、炼油项目）</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highlight w:val="none"/>
              </w:rPr>
              <w:t>排放污染物类型</w:t>
            </w: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餐饮油烟（经营）</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生活废水</w:t>
            </w:r>
            <w:r>
              <w:rPr>
                <w:rFonts w:ascii="Times New Roman" w:hAnsi="Times New Roman" w:eastAsia="仿宋_GB2312" w:cs="Times New Roman"/>
                <w:color w:val="000000"/>
                <w:highlight w:val="none"/>
              </w:rPr>
              <w:t>/</w:t>
            </w:r>
            <w:r>
              <w:rPr>
                <w:rFonts w:hint="eastAsia" w:ascii="宋体" w:hAnsi="宋体" w:cs="宋体"/>
                <w:color w:val="000000"/>
                <w:highlight w:val="none"/>
              </w:rPr>
              <w:t>Ⅰ</w:t>
            </w:r>
            <w:r>
              <w:rPr>
                <w:rFonts w:hint="eastAsia" w:ascii="Times New Roman" w:hAnsi="Times New Roman" w:eastAsia="仿宋_GB2312" w:cs="仿宋_GB2312"/>
                <w:color w:val="000000"/>
                <w:highlight w:val="none"/>
              </w:rPr>
              <w:t>类一般工业固体废物</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农业生产、畜禽养殖废气</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工业扬尘废气</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机械、汽车修理废气</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服务业废水</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一般工业废气</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含恶臭污染物的废气</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医疗废气</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实验室废气</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一般工业废水</w:t>
            </w:r>
            <w:r>
              <w:rPr>
                <w:rFonts w:ascii="Times New Roman" w:hAnsi="Times New Roman" w:eastAsia="仿宋_GB2312" w:cs="Times New Roman"/>
                <w:color w:val="000000"/>
                <w:highlight w:val="none"/>
              </w:rPr>
              <w:t>/</w:t>
            </w:r>
            <w:r>
              <w:rPr>
                <w:rFonts w:hint="eastAsia" w:ascii="宋体" w:hAnsi="宋体" w:cs="宋体"/>
                <w:color w:val="000000"/>
                <w:highlight w:val="none"/>
              </w:rPr>
              <w:t>Ⅱ</w:t>
            </w:r>
            <w:r>
              <w:rPr>
                <w:rFonts w:hint="eastAsia" w:ascii="Times New Roman" w:hAnsi="Times New Roman" w:eastAsia="仿宋_GB2312" w:cs="仿宋_GB2312"/>
                <w:color w:val="000000"/>
                <w:highlight w:val="none"/>
              </w:rPr>
              <w:t>类一般工业固体废物</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火电、钢铁、石化、水泥、炼焦、有色、化工废气、烟尘</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燃煤锅炉废气、烟尘</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含其他有毒有害物质的废水、医疗废水</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含有毒有害物质的废气</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含一类污染物或重金属、病原体、放射性物质的废水</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危险废物</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项目建设</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地点</w:t>
            </w: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符合环境功能规划（或无环境功能规划）</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不符合环境功能规划，但不在保护区内</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位于自然保护区试验区</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饮用水水源准保护区</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位于自然保护区缓冲区</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饮用水水源二级保护区</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位于自然保护区核心区</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饮用水水源一级保护区</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超过限期</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改正时间（仅适用于</w:t>
            </w:r>
            <w:r>
              <w:rPr>
                <w:rFonts w:ascii="Times New Roman" w:hAnsi="Times New Roman" w:cs="宋体"/>
                <w:b/>
                <w:bCs/>
                <w:color w:val="000000"/>
                <w:highlight w:val="none"/>
              </w:rPr>
              <w:t>逾期不改正情形</w:t>
            </w:r>
            <w:r>
              <w:rPr>
                <w:rFonts w:hint="eastAsia" w:ascii="Times New Roman" w:hAnsi="Times New Roman" w:cs="宋体"/>
                <w:b/>
                <w:bCs/>
                <w:color w:val="000000"/>
                <w:highlight w:val="none"/>
              </w:rPr>
              <w:t>）</w:t>
            </w: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1个月</w:t>
            </w:r>
            <w:r>
              <w:rPr>
                <w:rFonts w:ascii="Times New Roman" w:hAnsi="Times New Roman" w:eastAsia="仿宋_GB2312" w:cs="仿宋_GB2312"/>
                <w:color w:val="000000"/>
                <w:highlight w:val="none"/>
              </w:rPr>
              <w:t>以内</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r>
              <w:rPr>
                <w:rFonts w:hint="eastAsia" w:ascii="Times New Roman" w:hAnsi="Times New Roman" w:eastAsia="仿宋_GB2312" w:cs="Times New Roman"/>
                <w:color w:val="000000"/>
                <w:highlight w:val="none"/>
              </w:rPr>
              <w:t>个月</w:t>
            </w:r>
            <w:r>
              <w:rPr>
                <w:rFonts w:hint="eastAsia" w:ascii="Times New Roman" w:hAnsi="Times New Roman" w:eastAsia="仿宋_GB2312" w:cs="仿宋_GB2312"/>
                <w:color w:val="000000"/>
                <w:highlight w:val="none"/>
              </w:rPr>
              <w:t>以上不足</w:t>
            </w:r>
            <w:r>
              <w:rPr>
                <w:rFonts w:ascii="Times New Roman" w:hAnsi="Times New Roman" w:eastAsia="仿宋_GB2312" w:cs="Times New Roman"/>
                <w:color w:val="000000"/>
                <w:highlight w:val="none"/>
              </w:rPr>
              <w:t>3</w:t>
            </w:r>
            <w:r>
              <w:rPr>
                <w:rFonts w:hint="eastAsia" w:ascii="Times New Roman" w:hAnsi="Times New Roman" w:eastAsia="仿宋_GB2312" w:cs="Times New Roman"/>
                <w:color w:val="000000"/>
                <w:highlight w:val="none"/>
              </w:rPr>
              <w:t>个月</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Times New Roman"/>
                <w:color w:val="000000"/>
                <w:highlight w:val="none"/>
              </w:rPr>
              <w:t>个月</w:t>
            </w:r>
            <w:r>
              <w:rPr>
                <w:rFonts w:hint="eastAsia" w:ascii="Times New Roman" w:hAnsi="Times New Roman" w:eastAsia="仿宋_GB2312" w:cs="仿宋_GB2312"/>
                <w:color w:val="000000"/>
                <w:highlight w:val="none"/>
              </w:rPr>
              <w:t>以上不足</w:t>
            </w:r>
            <w:r>
              <w:rPr>
                <w:rFonts w:ascii="Times New Roman" w:hAnsi="Times New Roman" w:eastAsia="仿宋_GB2312" w:cs="Times New Roman"/>
                <w:color w:val="000000"/>
                <w:highlight w:val="none"/>
              </w:rPr>
              <w:t>6</w:t>
            </w:r>
            <w:r>
              <w:rPr>
                <w:rFonts w:hint="eastAsia" w:ascii="Times New Roman" w:hAnsi="Times New Roman" w:eastAsia="仿宋_GB2312" w:cs="Times New Roman"/>
                <w:color w:val="000000"/>
                <w:highlight w:val="none"/>
              </w:rPr>
              <w:t>个月</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6</w:t>
            </w:r>
            <w:r>
              <w:rPr>
                <w:rFonts w:hint="eastAsia" w:ascii="Times New Roman" w:hAnsi="Times New Roman" w:eastAsia="仿宋_GB2312" w:cs="Times New Roman"/>
                <w:color w:val="000000"/>
                <w:highlight w:val="none"/>
              </w:rPr>
              <w:t>个月</w:t>
            </w:r>
            <w:r>
              <w:rPr>
                <w:rFonts w:hint="eastAsia" w:ascii="Times New Roman" w:hAnsi="Times New Roman" w:eastAsia="仿宋_GB2312" w:cs="仿宋_GB2312"/>
                <w:color w:val="000000"/>
                <w:highlight w:val="none"/>
              </w:rPr>
              <w:t>以上不足</w:t>
            </w:r>
            <w:r>
              <w:rPr>
                <w:rFonts w:ascii="Times New Roman" w:hAnsi="Times New Roman" w:eastAsia="仿宋_GB2312" w:cs="Times New Roman"/>
                <w:color w:val="000000"/>
                <w:highlight w:val="none"/>
              </w:rPr>
              <w:t>12</w:t>
            </w:r>
            <w:r>
              <w:rPr>
                <w:rFonts w:hint="eastAsia" w:ascii="Times New Roman" w:hAnsi="Times New Roman" w:eastAsia="仿宋_GB2312" w:cs="仿宋_GB2312"/>
                <w:color w:val="000000"/>
                <w:highlight w:val="none"/>
              </w:rPr>
              <w:t>个月</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12</w:t>
            </w:r>
            <w:r>
              <w:rPr>
                <w:rFonts w:hint="eastAsia" w:ascii="Times New Roman" w:hAnsi="Times New Roman" w:eastAsia="仿宋_GB2312" w:cs="仿宋_GB2312"/>
                <w:color w:val="000000"/>
                <w:highlight w:val="none"/>
              </w:rPr>
              <w:t>个月以上</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938" w:type="dxa"/>
            <w:gridSpan w:val="2"/>
            <w:vAlign w:val="center"/>
          </w:tcPr>
          <w:p>
            <w:pPr>
              <w:snapToGrid w:val="0"/>
              <w:ind w:firstLine="420"/>
              <w:jc w:val="center"/>
              <w:rPr>
                <w:rFonts w:ascii="Times New Roman" w:hAnsi="Times New Roman" w:cs="Times New Roman"/>
                <w:color w:val="000000"/>
                <w:highlight w:val="none"/>
              </w:rPr>
            </w:pPr>
          </w:p>
        </w:tc>
      </w:tr>
    </w:tbl>
    <w:p>
      <w:pPr>
        <w:snapToGrid w:val="0"/>
        <w:rPr>
          <w:rFonts w:ascii="Times New Roman" w:hAnsi="Times New Roman" w:cs="Times New Roman"/>
          <w:color w:val="000000"/>
          <w:sz w:val="10"/>
          <w:szCs w:val="10"/>
          <w:highlight w:val="none"/>
        </w:rPr>
      </w:pPr>
      <w:r>
        <w:rPr>
          <w:rFonts w:ascii="Times New Roman" w:hAnsi="Times New Roman" w:cs="Times New Roman"/>
          <w:color w:val="000000"/>
          <w:highlight w:val="none"/>
        </w:rPr>
        <w:br w:type="page"/>
      </w:r>
    </w:p>
    <w:tbl>
      <w:tblPr>
        <w:tblStyle w:val="14"/>
        <w:tblW w:w="920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仿宋_GB2312"/>
                <w:b/>
                <w:bCs/>
                <w:sz w:val="32"/>
                <w:szCs w:val="32"/>
                <w:highlight w:val="none"/>
              </w:rPr>
              <w:t>（一）建设项目管理类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938" w:type="dxa"/>
            <w:gridSpan w:val="2"/>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38" w:type="dxa"/>
            <w:gridSpan w:val="2"/>
            <w:vAlign w:val="center"/>
          </w:tcPr>
          <w:p>
            <w:pPr>
              <w:snapToGrid w:val="0"/>
              <w:ind w:firstLine="42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建设单位未依法向社会公开环境保护设施验收报告的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违反条款</w:t>
            </w:r>
          </w:p>
        </w:tc>
        <w:tc>
          <w:tcPr>
            <w:tcW w:w="7938" w:type="dxa"/>
            <w:gridSpan w:val="2"/>
          </w:tcPr>
          <w:p>
            <w:pPr>
              <w:pStyle w:val="12"/>
              <w:snapToGrid w:val="0"/>
              <w:spacing w:before="93" w:beforeLines="30" w:beforeAutospacing="0" w:after="0" w:afterAutospacing="0" w:line="288" w:lineRule="auto"/>
              <w:ind w:firstLine="482"/>
              <w:rPr>
                <w:rFonts w:ascii="Times New Roman" w:hAnsi="Times New Roman" w:eastAsia="仿宋_GB2312" w:cs="Times New Roman"/>
                <w:color w:val="000000"/>
                <w:kern w:val="2"/>
                <w:sz w:val="21"/>
                <w:szCs w:val="21"/>
                <w:highlight w:val="none"/>
              </w:rPr>
            </w:pPr>
            <w:r>
              <w:rPr>
                <w:rFonts w:hint="eastAsia" w:ascii="Times New Roman" w:hAnsi="Times New Roman" w:eastAsia="仿宋_GB2312" w:cs="仿宋_GB2312"/>
                <w:b/>
                <w:bCs/>
                <w:color w:val="000000"/>
                <w:kern w:val="2"/>
                <w:sz w:val="21"/>
                <w:szCs w:val="21"/>
                <w:highlight w:val="none"/>
              </w:rPr>
              <w:t>《建设项目环境保护管理条例》第十七条第三款</w:t>
            </w:r>
            <w:r>
              <w:rPr>
                <w:rFonts w:ascii="Times New Roman" w:hAnsi="Times New Roman" w:eastAsia="仿宋_GB2312" w:cs="Times New Roman"/>
                <w:b/>
                <w:bCs/>
                <w:color w:val="000000"/>
                <w:kern w:val="2"/>
                <w:sz w:val="21"/>
                <w:szCs w:val="21"/>
                <w:highlight w:val="none"/>
              </w:rPr>
              <w:t xml:space="preserve"> </w:t>
            </w:r>
            <w:r>
              <w:rPr>
                <w:rFonts w:hint="eastAsia" w:ascii="Times New Roman" w:hAnsi="Times New Roman" w:eastAsia="仿宋_GB2312" w:cs="仿宋_GB2312"/>
                <w:color w:val="000000"/>
                <w:kern w:val="2"/>
                <w:sz w:val="21"/>
                <w:szCs w:val="21"/>
                <w:highlight w:val="none"/>
              </w:rPr>
              <w:t>除按照国家规定需要保密的情形外，建设单位应当依法向社会公开验收报告。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处罚依据</w:t>
            </w:r>
          </w:p>
        </w:tc>
        <w:tc>
          <w:tcPr>
            <w:tcW w:w="7938" w:type="dxa"/>
            <w:gridSpan w:val="2"/>
          </w:tcPr>
          <w:p>
            <w:pPr>
              <w:pStyle w:val="12"/>
              <w:snapToGrid w:val="0"/>
              <w:spacing w:before="93" w:beforeLines="30" w:beforeAutospacing="0" w:after="0" w:afterAutospacing="0" w:line="288" w:lineRule="auto"/>
              <w:ind w:firstLine="420"/>
              <w:rPr>
                <w:rFonts w:ascii="Times New Roman" w:hAnsi="Times New Roman" w:eastAsia="仿宋_GB2312" w:cs="Times New Roman"/>
                <w:color w:val="000000"/>
                <w:kern w:val="2"/>
                <w:sz w:val="21"/>
                <w:szCs w:val="21"/>
                <w:highlight w:val="none"/>
              </w:rPr>
            </w:pPr>
            <w:r>
              <w:rPr>
                <w:rFonts w:hint="eastAsia" w:ascii="Times New Roman" w:hAnsi="Times New Roman" w:eastAsia="仿宋_GB2312" w:cs="仿宋_GB2312"/>
                <w:b/>
                <w:bCs/>
                <w:color w:val="000000"/>
                <w:kern w:val="2"/>
                <w:sz w:val="21"/>
                <w:szCs w:val="21"/>
                <w:highlight w:val="none"/>
              </w:rPr>
              <w:t>《建设项目环境保护管理条例》第二十三条第二款</w:t>
            </w:r>
            <w:r>
              <w:rPr>
                <w:rFonts w:ascii="Times New Roman" w:hAnsi="Times New Roman" w:eastAsia="仿宋_GB2312" w:cs="Times New Roman"/>
                <w:b/>
                <w:bCs/>
                <w:color w:val="000000"/>
                <w:kern w:val="2"/>
                <w:sz w:val="21"/>
                <w:szCs w:val="21"/>
                <w:highlight w:val="none"/>
              </w:rPr>
              <w:t xml:space="preserve"> </w:t>
            </w:r>
            <w:r>
              <w:rPr>
                <w:rFonts w:hint="eastAsia" w:ascii="Times New Roman" w:hAnsi="Times New Roman" w:eastAsia="仿宋_GB2312" w:cs="仿宋_GB2312"/>
                <w:color w:val="000000"/>
                <w:kern w:val="2"/>
                <w:sz w:val="21"/>
                <w:szCs w:val="21"/>
                <w:highlight w:val="none"/>
              </w:rPr>
              <w:t>违反本条例规定，建设单位未依法向社会公开环境保护设施验收报告的，由县级以上环境保护行政主管部门责令公开，处</w:t>
            </w:r>
            <w:r>
              <w:rPr>
                <w:rFonts w:ascii="Times New Roman" w:hAnsi="Times New Roman" w:eastAsia="仿宋_GB2312" w:cs="Times New Roman"/>
                <w:color w:val="000000"/>
                <w:kern w:val="2"/>
                <w:sz w:val="21"/>
                <w:szCs w:val="21"/>
                <w:highlight w:val="none"/>
              </w:rPr>
              <w:t>5</w:t>
            </w:r>
            <w:r>
              <w:rPr>
                <w:rFonts w:hint="eastAsia" w:ascii="Times New Roman" w:hAnsi="Times New Roman" w:eastAsia="仿宋_GB2312" w:cs="仿宋_GB2312"/>
                <w:color w:val="000000"/>
                <w:kern w:val="2"/>
                <w:sz w:val="21"/>
                <w:szCs w:val="21"/>
                <w:highlight w:val="none"/>
              </w:rPr>
              <w:t>万元以上</w:t>
            </w:r>
            <w:r>
              <w:rPr>
                <w:rFonts w:ascii="Times New Roman" w:hAnsi="Times New Roman" w:eastAsia="仿宋_GB2312" w:cs="Times New Roman"/>
                <w:color w:val="000000"/>
                <w:kern w:val="2"/>
                <w:sz w:val="21"/>
                <w:szCs w:val="21"/>
                <w:highlight w:val="none"/>
              </w:rPr>
              <w:t>20</w:t>
            </w:r>
            <w:r>
              <w:rPr>
                <w:rFonts w:hint="eastAsia" w:ascii="Times New Roman" w:hAnsi="Times New Roman" w:eastAsia="仿宋_GB2312" w:cs="仿宋_GB2312"/>
                <w:color w:val="000000"/>
                <w:kern w:val="2"/>
                <w:sz w:val="21"/>
                <w:szCs w:val="21"/>
                <w:highlight w:val="none"/>
              </w:rPr>
              <w:t>万元以下的罚款，并予以公告。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245"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9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45" w:type="dxa"/>
            <w:vAlign w:val="center"/>
          </w:tcPr>
          <w:p>
            <w:pPr>
              <w:pStyle w:val="11"/>
              <w:snapToGrid w:val="0"/>
              <w:jc w:val="center"/>
              <w:rPr>
                <w:rFonts w:ascii="Times New Roman" w:hAnsi="Times New Roman" w:eastAsia="仿宋_GB2312" w:cs="Times New Roman"/>
                <w:color w:val="000000"/>
                <w:kern w:val="2"/>
                <w:sz w:val="21"/>
                <w:szCs w:val="21"/>
                <w:highlight w:val="none"/>
              </w:rPr>
            </w:pPr>
            <w:r>
              <w:rPr>
                <w:rFonts w:hint="eastAsia" w:ascii="Times New Roman" w:hAnsi="Times New Roman" w:eastAsia="仿宋_GB2312" w:cs="仿宋_GB2312"/>
                <w:color w:val="000000"/>
                <w:kern w:val="2"/>
                <w:sz w:val="21"/>
                <w:szCs w:val="21"/>
                <w:highlight w:val="none"/>
              </w:rPr>
              <w:t>已公开，但公开的载体不符合要求的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11"/>
              <w:snapToGrid w:val="0"/>
              <w:jc w:val="center"/>
              <w:rPr>
                <w:rFonts w:ascii="Times New Roman" w:hAnsi="Times New Roman" w:eastAsia="仿宋_GB2312" w:cs="Times New Roman"/>
                <w:color w:val="000000"/>
                <w:kern w:val="2"/>
                <w:sz w:val="21"/>
                <w:szCs w:val="21"/>
                <w:highlight w:val="none"/>
              </w:rPr>
            </w:pPr>
            <w:r>
              <w:rPr>
                <w:rFonts w:hint="eastAsia" w:ascii="Times New Roman" w:hAnsi="Times New Roman" w:eastAsia="仿宋_GB2312" w:cs="仿宋_GB2312"/>
                <w:color w:val="000000"/>
                <w:kern w:val="2"/>
                <w:sz w:val="21"/>
                <w:szCs w:val="21"/>
                <w:highlight w:val="none"/>
              </w:rPr>
              <w:t>已公开，但公开的验收报告不全的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11"/>
              <w:snapToGrid w:val="0"/>
              <w:jc w:val="center"/>
              <w:rPr>
                <w:rFonts w:ascii="Times New Roman" w:hAnsi="Times New Roman" w:eastAsia="仿宋_GB2312" w:cs="Times New Roman"/>
                <w:color w:val="000000"/>
                <w:kern w:val="2"/>
                <w:sz w:val="21"/>
                <w:szCs w:val="21"/>
                <w:highlight w:val="none"/>
              </w:rPr>
            </w:pPr>
            <w:r>
              <w:rPr>
                <w:rFonts w:hint="eastAsia" w:ascii="Times New Roman" w:hAnsi="Times New Roman" w:eastAsia="仿宋_GB2312" w:cs="仿宋_GB2312"/>
                <w:color w:val="000000"/>
                <w:kern w:val="2"/>
                <w:sz w:val="21"/>
                <w:szCs w:val="21"/>
                <w:highlight w:val="none"/>
              </w:rPr>
              <w:t>公开的验收报告弄虚作假或者未公开的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违法时间</w:t>
            </w: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不足</w:t>
            </w:r>
            <w:r>
              <w:rPr>
                <w:rFonts w:ascii="Times New Roman" w:hAnsi="Times New Roman" w:eastAsia="仿宋_GB2312" w:cs="Times New Roman"/>
                <w:highlight w:val="none"/>
              </w:rPr>
              <w:t>5</w:t>
            </w:r>
            <w:r>
              <w:rPr>
                <w:rFonts w:hint="eastAsia" w:ascii="Times New Roman" w:hAnsi="Times New Roman" w:eastAsia="仿宋_GB2312" w:cs="仿宋_GB2312"/>
                <w:highlight w:val="none"/>
              </w:rPr>
              <w:t>天</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b/>
                <w:bCs/>
                <w:highlight w:val="none"/>
              </w:rPr>
            </w:pPr>
            <w:r>
              <w:rPr>
                <w:rFonts w:ascii="Times New Roman" w:hAnsi="Times New Roman" w:eastAsia="仿宋_GB2312" w:cs="Times New Roman"/>
                <w:highlight w:val="none"/>
              </w:rPr>
              <w:t>5</w:t>
            </w:r>
            <w:r>
              <w:rPr>
                <w:rFonts w:hint="eastAsia" w:ascii="Times New Roman" w:hAnsi="Times New Roman" w:eastAsia="仿宋_GB2312" w:cs="仿宋_GB2312"/>
                <w:highlight w:val="none"/>
              </w:rPr>
              <w:t>天以上不足</w:t>
            </w:r>
            <w:r>
              <w:rPr>
                <w:rFonts w:ascii="Times New Roman" w:hAnsi="Times New Roman" w:eastAsia="仿宋_GB2312" w:cs="Times New Roman"/>
                <w:highlight w:val="none"/>
              </w:rPr>
              <w:t>10</w:t>
            </w:r>
            <w:r>
              <w:rPr>
                <w:rFonts w:hint="eastAsia" w:ascii="Times New Roman" w:hAnsi="Times New Roman" w:eastAsia="仿宋_GB2312" w:cs="仿宋_GB2312"/>
                <w:highlight w:val="none"/>
              </w:rPr>
              <w:t>天</w:t>
            </w:r>
          </w:p>
        </w:tc>
        <w:tc>
          <w:tcPr>
            <w:tcW w:w="2693" w:type="dxa"/>
            <w:vAlign w:val="center"/>
          </w:tcPr>
          <w:p>
            <w:pPr>
              <w:snapToGrid w:val="0"/>
              <w:jc w:val="center"/>
              <w:rPr>
                <w:rFonts w:ascii="Times New Roman" w:hAnsi="Times New Roman" w:eastAsia="仿宋_GB2312" w:cs="Times New Roman"/>
                <w:b/>
                <w:bCs/>
                <w:highlight w:val="none"/>
              </w:rPr>
            </w:pPr>
            <w:r>
              <w:rPr>
                <w:rFonts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b/>
                <w:bCs/>
                <w:highlight w:val="none"/>
              </w:rPr>
            </w:pPr>
            <w:r>
              <w:rPr>
                <w:rFonts w:ascii="Times New Roman" w:hAnsi="Times New Roman" w:eastAsia="仿宋_GB2312" w:cs="Times New Roman"/>
                <w:highlight w:val="none"/>
              </w:rPr>
              <w:t>10</w:t>
            </w:r>
            <w:r>
              <w:rPr>
                <w:rFonts w:hint="eastAsia" w:ascii="Times New Roman" w:hAnsi="Times New Roman" w:eastAsia="仿宋_GB2312" w:cs="仿宋_GB2312"/>
                <w:highlight w:val="none"/>
              </w:rPr>
              <w:t>天以上不足</w:t>
            </w:r>
            <w:r>
              <w:rPr>
                <w:rFonts w:ascii="Times New Roman" w:hAnsi="Times New Roman" w:eastAsia="仿宋_GB2312" w:cs="Times New Roman"/>
                <w:highlight w:val="none"/>
              </w:rPr>
              <w:t>20</w:t>
            </w:r>
            <w:r>
              <w:rPr>
                <w:rFonts w:hint="eastAsia" w:ascii="Times New Roman" w:hAnsi="Times New Roman" w:eastAsia="仿宋_GB2312" w:cs="仿宋_GB2312"/>
                <w:highlight w:val="none"/>
              </w:rPr>
              <w:t>天</w:t>
            </w:r>
          </w:p>
        </w:tc>
        <w:tc>
          <w:tcPr>
            <w:tcW w:w="2693" w:type="dxa"/>
            <w:vAlign w:val="center"/>
          </w:tcPr>
          <w:p>
            <w:pPr>
              <w:snapToGrid w:val="0"/>
              <w:jc w:val="center"/>
              <w:rPr>
                <w:rFonts w:ascii="Times New Roman" w:hAnsi="Times New Roman" w:eastAsia="仿宋_GB2312" w:cs="Times New Roman"/>
                <w:b/>
                <w:bCs/>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b/>
                <w:bCs/>
                <w:highlight w:val="none"/>
              </w:rPr>
            </w:pPr>
            <w:r>
              <w:rPr>
                <w:rFonts w:ascii="Times New Roman" w:hAnsi="Times New Roman" w:eastAsia="仿宋_GB2312" w:cs="Times New Roman"/>
                <w:highlight w:val="none"/>
              </w:rPr>
              <w:t>20</w:t>
            </w:r>
            <w:r>
              <w:rPr>
                <w:rFonts w:hint="eastAsia" w:ascii="Times New Roman" w:hAnsi="Times New Roman" w:eastAsia="仿宋_GB2312" w:cs="仿宋_GB2312"/>
                <w:highlight w:val="none"/>
              </w:rPr>
              <w:t>天以上不足</w:t>
            </w:r>
            <w:r>
              <w:rPr>
                <w:rFonts w:ascii="Times New Roman" w:hAnsi="Times New Roman" w:eastAsia="仿宋_GB2312" w:cs="Times New Roman"/>
                <w:highlight w:val="none"/>
              </w:rPr>
              <w:t>1</w:t>
            </w:r>
            <w:r>
              <w:rPr>
                <w:rFonts w:hint="eastAsia" w:ascii="Times New Roman" w:hAnsi="Times New Roman" w:eastAsia="仿宋_GB2312" w:cs="仿宋_GB2312"/>
                <w:highlight w:val="none"/>
              </w:rPr>
              <w:t>个月</w:t>
            </w:r>
          </w:p>
        </w:tc>
        <w:tc>
          <w:tcPr>
            <w:tcW w:w="2693" w:type="dxa"/>
            <w:vAlign w:val="center"/>
          </w:tcPr>
          <w:p>
            <w:pPr>
              <w:snapToGrid w:val="0"/>
              <w:jc w:val="center"/>
              <w:rPr>
                <w:rFonts w:ascii="Times New Roman" w:hAnsi="Times New Roman" w:eastAsia="仿宋_GB2312" w:cs="Times New Roman"/>
                <w:b/>
                <w:bCs/>
                <w:highlight w:val="none"/>
              </w:rPr>
            </w:pPr>
            <w:r>
              <w:rPr>
                <w:rFonts w:ascii="Times New Roman" w:hAnsi="Times New Roman" w:eastAsia="仿宋_GB2312"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b/>
                <w:bCs/>
                <w:highlight w:val="none"/>
              </w:rPr>
            </w:pPr>
            <w:r>
              <w:rPr>
                <w:rFonts w:ascii="Times New Roman" w:hAnsi="Times New Roman" w:eastAsia="仿宋_GB2312" w:cs="Times New Roman"/>
                <w:highlight w:val="none"/>
              </w:rPr>
              <w:t>1</w:t>
            </w:r>
            <w:r>
              <w:rPr>
                <w:rFonts w:hint="eastAsia" w:ascii="Times New Roman" w:hAnsi="Times New Roman" w:eastAsia="仿宋_GB2312" w:cs="仿宋_GB2312"/>
                <w:highlight w:val="none"/>
              </w:rPr>
              <w:t>个月以上</w:t>
            </w:r>
          </w:p>
        </w:tc>
        <w:tc>
          <w:tcPr>
            <w:tcW w:w="2693" w:type="dxa"/>
            <w:vAlign w:val="center"/>
          </w:tcPr>
          <w:p>
            <w:pPr>
              <w:snapToGrid w:val="0"/>
              <w:jc w:val="center"/>
              <w:rPr>
                <w:rFonts w:ascii="Times New Roman" w:hAnsi="Times New Roman" w:eastAsia="仿宋_GB2312" w:cs="Times New Roman"/>
                <w:b/>
                <w:bCs/>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宋体"/>
                <w:b/>
                <w:bCs/>
                <w:color w:val="000000"/>
                <w:highlight w:val="none"/>
              </w:rPr>
            </w:pPr>
            <w:r>
              <w:rPr>
                <w:rFonts w:hint="eastAsia" w:ascii="Times New Roman" w:hAnsi="Times New Roman" w:cs="宋体"/>
                <w:b/>
                <w:bCs/>
                <w:color w:val="000000"/>
                <w:highlight w:val="none"/>
              </w:rPr>
              <w:t>环评文件</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类别</w:t>
            </w: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报告表</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报告书</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报告书（化工、电镀、皮革、造纸、制浆、冶炼、放射性、印染、染料、炼焦、炼油项目）</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938" w:type="dxa"/>
            <w:gridSpan w:val="2"/>
          </w:tcPr>
          <w:p>
            <w:pPr>
              <w:snapToGrid w:val="0"/>
              <w:spacing w:line="288" w:lineRule="auto"/>
              <w:ind w:firstLine="420"/>
              <w:jc w:val="center"/>
              <w:rPr>
                <w:rFonts w:ascii="Times New Roman" w:hAnsi="Times New Roman" w:cs="Times New Roman"/>
                <w:color w:val="000000"/>
                <w:highlight w:val="none"/>
              </w:rPr>
            </w:pPr>
          </w:p>
        </w:tc>
      </w:tr>
    </w:tbl>
    <w:p>
      <w:pPr>
        <w:pStyle w:val="11"/>
        <w:snapToGrid w:val="0"/>
        <w:rPr>
          <w:rFonts w:ascii="Times New Roman" w:hAnsi="Times New Roman" w:cs="Times New Roman"/>
          <w:color w:val="000000"/>
          <w:sz w:val="10"/>
          <w:szCs w:val="10"/>
          <w:highlight w:val="none"/>
        </w:rPr>
      </w:pPr>
      <w:r>
        <w:rPr>
          <w:rFonts w:ascii="Times New Roman" w:hAnsi="Times New Roman" w:cs="Times New Roman"/>
          <w:color w:val="000000"/>
          <w:sz w:val="21"/>
          <w:szCs w:val="21"/>
          <w:highlight w:val="none"/>
        </w:rPr>
        <w:br w:type="page"/>
      </w:r>
    </w:p>
    <w:tbl>
      <w:tblPr>
        <w:tblStyle w:val="14"/>
        <w:tblW w:w="920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9209" w:type="dxa"/>
            <w:gridSpan w:val="3"/>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仿宋_GB2312"/>
                <w:b/>
                <w:bCs/>
                <w:sz w:val="32"/>
                <w:szCs w:val="32"/>
                <w:highlight w:val="none"/>
              </w:rPr>
              <w:t>（一）建设项目管理类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938" w:type="dxa"/>
            <w:gridSpan w:val="2"/>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38" w:type="dxa"/>
            <w:gridSpan w:val="2"/>
            <w:vAlign w:val="center"/>
          </w:tcPr>
          <w:p>
            <w:pPr>
              <w:pStyle w:val="12"/>
              <w:snapToGrid w:val="0"/>
              <w:spacing w:before="93" w:beforeLines="30" w:beforeAutospacing="0" w:after="0" w:afterAutospacing="0" w:line="288" w:lineRule="auto"/>
              <w:ind w:firstLine="420"/>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sz w:val="21"/>
                <w:szCs w:val="21"/>
                <w:highlight w:val="none"/>
              </w:rPr>
              <w:t>建设单位在组织编制环境影响评价文件中</w:t>
            </w:r>
            <w:bookmarkStart w:id="23" w:name="OLE_LINK30"/>
            <w:bookmarkStart w:id="24" w:name="OLE_LINK34"/>
            <w:bookmarkStart w:id="25" w:name="OLE_LINK32"/>
            <w:bookmarkStart w:id="26" w:name="OLE_LINK33"/>
            <w:bookmarkStart w:id="27" w:name="OLE_LINK28"/>
            <w:bookmarkStart w:id="28" w:name="OLE_LINK31"/>
            <w:bookmarkStart w:id="29" w:name="OLE_LINK35"/>
            <w:bookmarkStart w:id="30" w:name="OLE_LINK29"/>
            <w:r>
              <w:rPr>
                <w:rFonts w:hint="eastAsia" w:ascii="Times New Roman" w:hAnsi="Times New Roman" w:eastAsia="仿宋_GB2312" w:cs="仿宋_GB2312"/>
                <w:color w:val="000000"/>
                <w:sz w:val="21"/>
                <w:szCs w:val="21"/>
                <w:highlight w:val="none"/>
              </w:rPr>
              <w:t>提供虚假数据和资料，或者向生态环境行政主管部门提供虚假的意见和意见采纳情况说明的</w:t>
            </w:r>
            <w:bookmarkEnd w:id="23"/>
            <w:bookmarkEnd w:id="24"/>
            <w:bookmarkEnd w:id="25"/>
            <w:bookmarkEnd w:id="26"/>
            <w:bookmarkEnd w:id="27"/>
            <w:bookmarkEnd w:id="28"/>
            <w:bookmarkEnd w:id="29"/>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违反条款</w:t>
            </w:r>
          </w:p>
        </w:tc>
        <w:tc>
          <w:tcPr>
            <w:tcW w:w="7938" w:type="dxa"/>
            <w:gridSpan w:val="2"/>
          </w:tcPr>
          <w:p>
            <w:pPr>
              <w:pStyle w:val="12"/>
              <w:snapToGrid w:val="0"/>
              <w:spacing w:before="93" w:beforeLines="30" w:beforeAutospacing="0" w:after="0" w:afterAutospacing="0"/>
              <w:ind w:firstLine="482"/>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b/>
                <w:bCs/>
                <w:color w:val="000000"/>
                <w:sz w:val="21"/>
                <w:szCs w:val="21"/>
                <w:highlight w:val="none"/>
              </w:rPr>
              <w:t>《山东省实施</w:t>
            </w:r>
            <w:r>
              <w:rPr>
                <w:rFonts w:ascii="Times New Roman" w:hAnsi="Times New Roman" w:eastAsia="仿宋_GB2312" w:cs="Times New Roman"/>
                <w:b/>
                <w:bCs/>
                <w:color w:val="000000"/>
                <w:sz w:val="21"/>
                <w:szCs w:val="21"/>
                <w:highlight w:val="none"/>
              </w:rPr>
              <w:t>&lt;</w:t>
            </w:r>
            <w:r>
              <w:rPr>
                <w:rFonts w:hint="eastAsia" w:ascii="Times New Roman" w:hAnsi="Times New Roman" w:eastAsia="仿宋_GB2312" w:cs="仿宋_GB2312"/>
                <w:b/>
                <w:bCs/>
                <w:color w:val="000000"/>
                <w:sz w:val="21"/>
                <w:szCs w:val="21"/>
                <w:highlight w:val="none"/>
              </w:rPr>
              <w:t>中华人民共和国环境影响评价法</w:t>
            </w:r>
            <w:r>
              <w:rPr>
                <w:rFonts w:ascii="Times New Roman" w:hAnsi="Times New Roman" w:eastAsia="仿宋_GB2312" w:cs="Times New Roman"/>
                <w:b/>
                <w:bCs/>
                <w:color w:val="000000"/>
                <w:sz w:val="21"/>
                <w:szCs w:val="21"/>
                <w:highlight w:val="none"/>
              </w:rPr>
              <w:t>&gt;</w:t>
            </w:r>
            <w:r>
              <w:rPr>
                <w:rFonts w:hint="eastAsia" w:ascii="Times New Roman" w:hAnsi="Times New Roman" w:eastAsia="仿宋_GB2312" w:cs="仿宋_GB2312"/>
                <w:b/>
                <w:bCs/>
                <w:color w:val="000000"/>
                <w:sz w:val="21"/>
                <w:szCs w:val="21"/>
                <w:highlight w:val="none"/>
              </w:rPr>
              <w:t>办法》第十一条第二款</w:t>
            </w:r>
            <w:r>
              <w:rPr>
                <w:rFonts w:ascii="Times New Roman" w:hAnsi="Times New Roman" w:eastAsia="仿宋_GB2312" w:cs="Times New Roman"/>
                <w:b/>
                <w:bCs/>
                <w:color w:val="000000"/>
                <w:sz w:val="21"/>
                <w:szCs w:val="21"/>
                <w:highlight w:val="none"/>
              </w:rPr>
              <w:t xml:space="preserve"> </w:t>
            </w:r>
            <w:r>
              <w:rPr>
                <w:rFonts w:hint="eastAsia" w:ascii="Times New Roman" w:hAnsi="Times New Roman" w:eastAsia="仿宋_GB2312" w:cs="仿宋_GB2312"/>
                <w:color w:val="000000"/>
                <w:sz w:val="21"/>
                <w:szCs w:val="21"/>
                <w:highlight w:val="none"/>
              </w:rPr>
              <w:t>建设单位在组织编制环境影响评价文件中，不得提供虚假数据和资料，或者向生态环境行政主管部门提供虚假的意见和意见采纳情况说明。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处罚依据</w:t>
            </w:r>
          </w:p>
        </w:tc>
        <w:tc>
          <w:tcPr>
            <w:tcW w:w="7938" w:type="dxa"/>
            <w:gridSpan w:val="2"/>
          </w:tcPr>
          <w:p>
            <w:pPr>
              <w:snapToGrid w:val="0"/>
              <w:spacing w:before="93" w:beforeLines="30"/>
              <w:ind w:firstLine="422" w:firstLineChars="200"/>
              <w:rPr>
                <w:rFonts w:ascii="Times New Roman" w:hAnsi="Times New Roman" w:eastAsia="仿宋_GB2312" w:cs="Times New Roman"/>
                <w:color w:val="000000"/>
                <w:kern w:val="0"/>
                <w:highlight w:val="none"/>
              </w:rPr>
            </w:pPr>
            <w:r>
              <w:rPr>
                <w:rFonts w:hint="eastAsia" w:ascii="Times New Roman" w:hAnsi="Times New Roman" w:eastAsia="仿宋_GB2312" w:cs="仿宋_GB2312"/>
                <w:b/>
                <w:bCs/>
                <w:color w:val="000000"/>
                <w:kern w:val="0"/>
                <w:highlight w:val="none"/>
              </w:rPr>
              <w:t>《山东省实施</w:t>
            </w:r>
            <w:r>
              <w:rPr>
                <w:rFonts w:ascii="Times New Roman" w:hAnsi="Times New Roman" w:eastAsia="仿宋_GB2312" w:cs="Times New Roman"/>
                <w:b/>
                <w:bCs/>
                <w:color w:val="000000"/>
                <w:kern w:val="0"/>
                <w:highlight w:val="none"/>
              </w:rPr>
              <w:t>&lt;</w:t>
            </w:r>
            <w:r>
              <w:rPr>
                <w:rFonts w:hint="eastAsia" w:ascii="Times New Roman" w:hAnsi="Times New Roman" w:eastAsia="仿宋_GB2312" w:cs="仿宋_GB2312"/>
                <w:b/>
                <w:bCs/>
                <w:color w:val="000000"/>
                <w:kern w:val="0"/>
                <w:highlight w:val="none"/>
              </w:rPr>
              <w:t>中华人民共和国环境影响评价法</w:t>
            </w:r>
            <w:r>
              <w:rPr>
                <w:rFonts w:ascii="Times New Roman" w:hAnsi="Times New Roman" w:eastAsia="仿宋_GB2312" w:cs="Times New Roman"/>
                <w:b/>
                <w:bCs/>
                <w:color w:val="000000"/>
                <w:kern w:val="0"/>
                <w:highlight w:val="none"/>
              </w:rPr>
              <w:t>&gt;</w:t>
            </w:r>
            <w:r>
              <w:rPr>
                <w:rFonts w:hint="eastAsia" w:ascii="Times New Roman" w:hAnsi="Times New Roman" w:eastAsia="仿宋_GB2312" w:cs="仿宋_GB2312"/>
                <w:b/>
                <w:bCs/>
                <w:color w:val="000000"/>
                <w:kern w:val="0"/>
                <w:highlight w:val="none"/>
              </w:rPr>
              <w:t>办法》第二十四条第（一）项</w:t>
            </w:r>
            <w:r>
              <w:rPr>
                <w:rFonts w:ascii="Times New Roman" w:hAnsi="Times New Roman" w:cs="Times New Roman"/>
                <w:highlight w:val="none"/>
              </w:rPr>
              <w:t xml:space="preserve"> </w:t>
            </w:r>
            <w:r>
              <w:rPr>
                <w:rFonts w:hint="eastAsia" w:ascii="Times New Roman" w:hAnsi="Times New Roman" w:eastAsia="仿宋_GB2312" w:cs="仿宋_GB2312"/>
                <w:color w:val="000000"/>
                <w:kern w:val="0"/>
                <w:highlight w:val="none"/>
              </w:rPr>
              <w:t>违反本办法规定，建设单位有下列情形之一的，由县级以上人民政府生态环境行政主管部门按照下列规定予以处罚：</w:t>
            </w:r>
          </w:p>
          <w:p>
            <w:pPr>
              <w:pStyle w:val="12"/>
              <w:snapToGrid w:val="0"/>
              <w:spacing w:before="0" w:beforeAutospacing="0" w:after="0" w:afterAutospacing="0"/>
              <w:ind w:firstLine="420"/>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一）在组织编制环境影响评价文件中提供虚假数据和资料，或者向生态环境行政主管部门提供虚假的意见和意见采纳情况说明的，责令改正，处五万元以上二十万元以下的罚款；已取得环境影响评价文件审批决定的，撤销审批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245"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9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45" w:type="dxa"/>
            <w:vAlign w:val="center"/>
          </w:tcPr>
          <w:p>
            <w:pPr>
              <w:pStyle w:val="11"/>
              <w:snapToGrid w:val="0"/>
              <w:jc w:val="center"/>
              <w:rPr>
                <w:rFonts w:ascii="仿宋_GB2312" w:hAnsi="仿宋_GB2312" w:eastAsia="仿宋_GB2312" w:cs="Times New Roman"/>
                <w:color w:val="000000"/>
                <w:sz w:val="21"/>
                <w:szCs w:val="21"/>
                <w:highlight w:val="none"/>
              </w:rPr>
            </w:pPr>
            <w:r>
              <w:rPr>
                <w:rFonts w:hint="eastAsia" w:ascii="仿宋_GB2312" w:hAnsi="仿宋_GB2312" w:eastAsia="仿宋_GB2312" w:cs="仿宋_GB2312"/>
                <w:color w:val="000000"/>
                <w:sz w:val="21"/>
                <w:szCs w:val="21"/>
                <w:highlight w:val="none"/>
              </w:rPr>
              <w:t>提供部分虚假数据和资料，但不影响环评审批决定的</w:t>
            </w:r>
          </w:p>
        </w:tc>
        <w:tc>
          <w:tcPr>
            <w:tcW w:w="2693" w:type="dxa"/>
            <w:vAlign w:val="center"/>
          </w:tcPr>
          <w:p>
            <w:pPr>
              <w:snapToGrid w:val="0"/>
              <w:jc w:val="center"/>
              <w:rPr>
                <w:rFonts w:ascii="Times New Roman" w:hAnsi="Times New Roman" w:eastAsia="楷体" w:cs="Times New Roman"/>
                <w:color w:val="000000"/>
                <w:highlight w:val="none"/>
              </w:rPr>
            </w:pPr>
            <w:r>
              <w:rPr>
                <w:rFonts w:ascii="Times New Roman" w:hAnsi="Times New Roman" w:eastAsia="楷体"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11"/>
              <w:snapToGrid w:val="0"/>
              <w:jc w:val="center"/>
              <w:rPr>
                <w:rFonts w:ascii="仿宋_GB2312" w:hAnsi="仿宋_GB2312" w:eastAsia="仿宋_GB2312" w:cs="Times New Roman"/>
                <w:color w:val="000000"/>
                <w:sz w:val="21"/>
                <w:szCs w:val="21"/>
                <w:highlight w:val="none"/>
              </w:rPr>
            </w:pPr>
            <w:r>
              <w:rPr>
                <w:rFonts w:hint="eastAsia" w:ascii="仿宋_GB2312" w:hAnsi="仿宋_GB2312" w:eastAsia="仿宋_GB2312" w:cs="仿宋_GB2312"/>
                <w:color w:val="000000"/>
                <w:sz w:val="21"/>
                <w:szCs w:val="21"/>
                <w:highlight w:val="none"/>
              </w:rPr>
              <w:t>提供虚假数据和资料，或者向生态环境行政主管部门提供虚假的意见和意见采纳情况说明，未影响环评文件类别，但影响环评审批决定的</w:t>
            </w:r>
          </w:p>
        </w:tc>
        <w:tc>
          <w:tcPr>
            <w:tcW w:w="2693" w:type="dxa"/>
            <w:vAlign w:val="center"/>
          </w:tcPr>
          <w:p>
            <w:pPr>
              <w:snapToGrid w:val="0"/>
              <w:jc w:val="center"/>
              <w:rPr>
                <w:rFonts w:ascii="Times New Roman" w:hAnsi="Times New Roman" w:eastAsia="楷体" w:cs="Times New Roman"/>
                <w:color w:val="000000"/>
                <w:highlight w:val="none"/>
              </w:rPr>
            </w:pPr>
            <w:r>
              <w:rPr>
                <w:rFonts w:ascii="Times New Roman" w:hAnsi="Times New Roman" w:eastAsia="楷体"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11"/>
              <w:snapToGrid w:val="0"/>
              <w:jc w:val="center"/>
              <w:rPr>
                <w:rFonts w:ascii="仿宋_GB2312" w:hAnsi="仿宋_GB2312" w:eastAsia="仿宋_GB2312" w:cs="Times New Roman"/>
                <w:color w:val="000000"/>
                <w:sz w:val="21"/>
                <w:szCs w:val="21"/>
                <w:highlight w:val="none"/>
              </w:rPr>
            </w:pPr>
            <w:r>
              <w:rPr>
                <w:rFonts w:hint="eastAsia" w:ascii="仿宋_GB2312" w:hAnsi="仿宋_GB2312" w:eastAsia="仿宋_GB2312" w:cs="仿宋_GB2312"/>
                <w:color w:val="000000"/>
                <w:sz w:val="21"/>
                <w:szCs w:val="21"/>
                <w:highlight w:val="none"/>
              </w:rPr>
              <w:t>提供虚假数据和资料，或者向生态环境行政主管部门提供虚假的意见和意见采纳情况说明，影响环评文件类别或者环评审批决定的</w:t>
            </w:r>
          </w:p>
        </w:tc>
        <w:tc>
          <w:tcPr>
            <w:tcW w:w="2693" w:type="dxa"/>
            <w:vAlign w:val="center"/>
          </w:tcPr>
          <w:p>
            <w:pPr>
              <w:snapToGrid w:val="0"/>
              <w:jc w:val="center"/>
              <w:rPr>
                <w:rFonts w:ascii="Times New Roman" w:hAnsi="Times New Roman" w:eastAsia="楷体" w:cs="Times New Roman"/>
                <w:color w:val="000000"/>
                <w:highlight w:val="none"/>
              </w:rPr>
            </w:pPr>
            <w:r>
              <w:rPr>
                <w:rFonts w:ascii="Times New Roman" w:hAnsi="Times New Roman" w:eastAsia="楷体"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项目应报批的环评文件类别</w:t>
            </w:r>
          </w:p>
        </w:tc>
        <w:tc>
          <w:tcPr>
            <w:tcW w:w="5245" w:type="dxa"/>
            <w:vAlign w:val="center"/>
          </w:tcPr>
          <w:p>
            <w:pPr>
              <w:snapToGrid w:val="0"/>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报告表</w:t>
            </w:r>
          </w:p>
        </w:tc>
        <w:tc>
          <w:tcPr>
            <w:tcW w:w="2693" w:type="dxa"/>
            <w:vAlign w:val="center"/>
          </w:tcPr>
          <w:p>
            <w:pPr>
              <w:snapToGrid w:val="0"/>
              <w:jc w:val="center"/>
              <w:rPr>
                <w:rFonts w:ascii="Times New Roman" w:hAnsi="Times New Roman" w:eastAsia="楷体" w:cs="Times New Roman"/>
                <w:color w:val="000000"/>
                <w:highlight w:val="none"/>
              </w:rPr>
            </w:pPr>
            <w:r>
              <w:rPr>
                <w:rFonts w:ascii="Times New Roman" w:hAnsi="Times New Roman" w:eastAsia="楷体"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报告书</w:t>
            </w:r>
          </w:p>
        </w:tc>
        <w:tc>
          <w:tcPr>
            <w:tcW w:w="2693" w:type="dxa"/>
            <w:vAlign w:val="center"/>
          </w:tcPr>
          <w:p>
            <w:pPr>
              <w:snapToGrid w:val="0"/>
              <w:jc w:val="center"/>
              <w:rPr>
                <w:rFonts w:ascii="Times New Roman" w:hAnsi="Times New Roman" w:eastAsia="楷体" w:cs="Times New Roman"/>
                <w:color w:val="000000"/>
                <w:highlight w:val="none"/>
              </w:rPr>
            </w:pPr>
            <w:r>
              <w:rPr>
                <w:rFonts w:ascii="Times New Roman" w:hAnsi="Times New Roman" w:eastAsia="楷体"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报告书（化工、电镀、皮革、造纸、制浆、冶炼、放射性、印染、染料、炼焦、炼油项目）</w:t>
            </w:r>
          </w:p>
        </w:tc>
        <w:tc>
          <w:tcPr>
            <w:tcW w:w="2693" w:type="dxa"/>
            <w:vAlign w:val="center"/>
          </w:tcPr>
          <w:p>
            <w:pPr>
              <w:snapToGrid w:val="0"/>
              <w:jc w:val="center"/>
              <w:rPr>
                <w:rFonts w:ascii="Times New Roman" w:hAnsi="Times New Roman" w:eastAsia="楷体" w:cs="Times New Roman"/>
                <w:color w:val="000000"/>
                <w:highlight w:val="none"/>
              </w:rPr>
            </w:pPr>
            <w:r>
              <w:rPr>
                <w:rFonts w:ascii="Times New Roman" w:hAnsi="Times New Roman" w:eastAsia="楷体"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项目建设</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情况</w:t>
            </w:r>
          </w:p>
        </w:tc>
        <w:tc>
          <w:tcPr>
            <w:tcW w:w="5245" w:type="dxa"/>
            <w:vAlign w:val="center"/>
          </w:tcPr>
          <w:p>
            <w:pPr>
              <w:snapToGrid w:val="0"/>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已开工建设但主体工程未建成的</w:t>
            </w:r>
          </w:p>
        </w:tc>
        <w:tc>
          <w:tcPr>
            <w:tcW w:w="2693" w:type="dxa"/>
            <w:vAlign w:val="center"/>
          </w:tcPr>
          <w:p>
            <w:pPr>
              <w:snapToGrid w:val="0"/>
              <w:jc w:val="center"/>
              <w:rPr>
                <w:rFonts w:ascii="Times New Roman" w:hAnsi="Times New Roman" w:eastAsia="楷体" w:cs="Times New Roman"/>
                <w:color w:val="000000"/>
                <w:highlight w:val="none"/>
              </w:rPr>
            </w:pPr>
            <w:r>
              <w:rPr>
                <w:rFonts w:ascii="Times New Roman" w:hAnsi="Times New Roman" w:eastAsia="楷体"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主体工程已建成但尚未投入生产或者使用的</w:t>
            </w:r>
          </w:p>
        </w:tc>
        <w:tc>
          <w:tcPr>
            <w:tcW w:w="2693" w:type="dxa"/>
            <w:vAlign w:val="center"/>
          </w:tcPr>
          <w:p>
            <w:pPr>
              <w:snapToGrid w:val="0"/>
              <w:jc w:val="center"/>
              <w:rPr>
                <w:rFonts w:ascii="Times New Roman" w:hAnsi="Times New Roman" w:eastAsia="楷体" w:cs="Times New Roman"/>
                <w:color w:val="000000"/>
                <w:highlight w:val="none"/>
              </w:rPr>
            </w:pPr>
            <w:r>
              <w:rPr>
                <w:rFonts w:ascii="Times New Roman" w:hAnsi="Times New Roman" w:eastAsia="楷体"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主体工程已投入生产或者使用的</w:t>
            </w:r>
          </w:p>
        </w:tc>
        <w:tc>
          <w:tcPr>
            <w:tcW w:w="2693" w:type="dxa"/>
            <w:vAlign w:val="center"/>
          </w:tcPr>
          <w:p>
            <w:pPr>
              <w:snapToGrid w:val="0"/>
              <w:jc w:val="center"/>
              <w:rPr>
                <w:rFonts w:ascii="Times New Roman" w:hAnsi="Times New Roman" w:eastAsia="楷体" w:cs="Times New Roman"/>
                <w:color w:val="000000"/>
                <w:highlight w:val="none"/>
              </w:rPr>
            </w:pPr>
            <w:r>
              <w:rPr>
                <w:rFonts w:ascii="Times New Roman" w:hAnsi="Times New Roman" w:eastAsia="楷体"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项目建设</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地点</w:t>
            </w:r>
          </w:p>
        </w:tc>
        <w:tc>
          <w:tcPr>
            <w:tcW w:w="5245" w:type="dxa"/>
            <w:vAlign w:val="center"/>
          </w:tcPr>
          <w:p>
            <w:pPr>
              <w:snapToGrid w:val="0"/>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符合环境功能规划（或无环境功能规划）</w:t>
            </w:r>
          </w:p>
        </w:tc>
        <w:tc>
          <w:tcPr>
            <w:tcW w:w="2693" w:type="dxa"/>
            <w:vAlign w:val="center"/>
          </w:tcPr>
          <w:p>
            <w:pPr>
              <w:snapToGrid w:val="0"/>
              <w:jc w:val="center"/>
              <w:rPr>
                <w:rFonts w:ascii="Times New Roman" w:hAnsi="Times New Roman" w:eastAsia="楷体" w:cs="Times New Roman"/>
                <w:color w:val="000000"/>
                <w:highlight w:val="none"/>
              </w:rPr>
            </w:pPr>
            <w:r>
              <w:rPr>
                <w:rFonts w:ascii="Times New Roman" w:hAnsi="Times New Roman" w:eastAsia="楷体"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不符合环境功能规划，但不在保护区内</w:t>
            </w:r>
          </w:p>
        </w:tc>
        <w:tc>
          <w:tcPr>
            <w:tcW w:w="2693" w:type="dxa"/>
            <w:vAlign w:val="center"/>
          </w:tcPr>
          <w:p>
            <w:pPr>
              <w:snapToGrid w:val="0"/>
              <w:jc w:val="center"/>
              <w:rPr>
                <w:rFonts w:ascii="Times New Roman" w:hAnsi="Times New Roman" w:eastAsia="楷体" w:cs="Times New Roman"/>
                <w:color w:val="000000"/>
                <w:highlight w:val="none"/>
              </w:rPr>
            </w:pPr>
            <w:r>
              <w:rPr>
                <w:rFonts w:ascii="Times New Roman" w:hAnsi="Times New Roman" w:eastAsia="楷体"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位于自然保护区试验区</w:t>
            </w:r>
            <w:r>
              <w:rPr>
                <w:rFonts w:ascii="仿宋_GB2312" w:hAnsi="仿宋_GB2312" w:eastAsia="仿宋_GB2312" w:cs="仿宋_GB2312"/>
                <w:color w:val="000000"/>
                <w:highlight w:val="none"/>
              </w:rPr>
              <w:t>/</w:t>
            </w:r>
            <w:r>
              <w:rPr>
                <w:rFonts w:hint="eastAsia" w:ascii="仿宋_GB2312" w:hAnsi="仿宋_GB2312" w:eastAsia="仿宋_GB2312" w:cs="仿宋_GB2312"/>
                <w:color w:val="000000"/>
                <w:highlight w:val="none"/>
              </w:rPr>
              <w:t>饮用水水源准保护区</w:t>
            </w:r>
          </w:p>
        </w:tc>
        <w:tc>
          <w:tcPr>
            <w:tcW w:w="2693" w:type="dxa"/>
            <w:vAlign w:val="center"/>
          </w:tcPr>
          <w:p>
            <w:pPr>
              <w:snapToGrid w:val="0"/>
              <w:jc w:val="center"/>
              <w:rPr>
                <w:rFonts w:ascii="Times New Roman" w:hAnsi="Times New Roman" w:eastAsia="楷体" w:cs="Times New Roman"/>
                <w:color w:val="000000"/>
                <w:highlight w:val="none"/>
              </w:rPr>
            </w:pPr>
            <w:r>
              <w:rPr>
                <w:rFonts w:ascii="Times New Roman" w:hAnsi="Times New Roman" w:eastAsia="楷体"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位于自然保护区缓冲区</w:t>
            </w:r>
            <w:r>
              <w:rPr>
                <w:rFonts w:ascii="仿宋_GB2312" w:hAnsi="仿宋_GB2312" w:eastAsia="仿宋_GB2312" w:cs="仿宋_GB2312"/>
                <w:color w:val="000000"/>
                <w:highlight w:val="none"/>
              </w:rPr>
              <w:t>/</w:t>
            </w:r>
            <w:r>
              <w:rPr>
                <w:rFonts w:hint="eastAsia" w:ascii="仿宋_GB2312" w:hAnsi="仿宋_GB2312" w:eastAsia="仿宋_GB2312" w:cs="仿宋_GB2312"/>
                <w:color w:val="000000"/>
                <w:highlight w:val="none"/>
              </w:rPr>
              <w:t>饮用水水源二级保护区</w:t>
            </w:r>
          </w:p>
        </w:tc>
        <w:tc>
          <w:tcPr>
            <w:tcW w:w="2693" w:type="dxa"/>
            <w:vAlign w:val="center"/>
          </w:tcPr>
          <w:p>
            <w:pPr>
              <w:snapToGrid w:val="0"/>
              <w:jc w:val="center"/>
              <w:rPr>
                <w:rFonts w:ascii="Times New Roman" w:hAnsi="Times New Roman" w:eastAsia="楷体" w:cs="Times New Roman"/>
                <w:color w:val="000000"/>
                <w:highlight w:val="none"/>
              </w:rPr>
            </w:pPr>
            <w:r>
              <w:rPr>
                <w:rFonts w:ascii="Times New Roman" w:hAnsi="Times New Roman" w:eastAsia="楷体"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位于自然保护区核心区</w:t>
            </w:r>
            <w:r>
              <w:rPr>
                <w:rFonts w:ascii="仿宋_GB2312" w:hAnsi="仿宋_GB2312" w:eastAsia="仿宋_GB2312" w:cs="仿宋_GB2312"/>
                <w:color w:val="000000"/>
                <w:highlight w:val="none"/>
              </w:rPr>
              <w:t>/</w:t>
            </w:r>
            <w:r>
              <w:rPr>
                <w:rFonts w:hint="eastAsia" w:ascii="仿宋_GB2312" w:hAnsi="仿宋_GB2312" w:eastAsia="仿宋_GB2312" w:cs="仿宋_GB2312"/>
                <w:color w:val="000000"/>
                <w:highlight w:val="none"/>
              </w:rPr>
              <w:t>饮用水水源一级保护区</w:t>
            </w:r>
          </w:p>
        </w:tc>
        <w:tc>
          <w:tcPr>
            <w:tcW w:w="2693" w:type="dxa"/>
            <w:vAlign w:val="center"/>
          </w:tcPr>
          <w:p>
            <w:pPr>
              <w:snapToGrid w:val="0"/>
              <w:jc w:val="center"/>
              <w:rPr>
                <w:rFonts w:ascii="Times New Roman" w:hAnsi="Times New Roman" w:eastAsia="楷体" w:cs="Times New Roman"/>
                <w:color w:val="000000"/>
                <w:highlight w:val="none"/>
              </w:rPr>
            </w:pPr>
            <w:r>
              <w:rPr>
                <w:rFonts w:ascii="Times New Roman" w:hAnsi="Times New Roman" w:eastAsia="楷体"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938" w:type="dxa"/>
            <w:gridSpan w:val="2"/>
          </w:tcPr>
          <w:p>
            <w:pPr>
              <w:snapToGrid w:val="0"/>
              <w:spacing w:line="288" w:lineRule="auto"/>
              <w:ind w:firstLine="420"/>
              <w:jc w:val="center"/>
              <w:rPr>
                <w:rFonts w:ascii="Times New Roman" w:hAnsi="Times New Roman" w:cs="Times New Roman"/>
                <w:color w:val="000000"/>
                <w:highlight w:val="none"/>
              </w:rPr>
            </w:pPr>
          </w:p>
        </w:tc>
      </w:tr>
    </w:tbl>
    <w:p>
      <w:pPr>
        <w:pStyle w:val="11"/>
        <w:snapToGrid w:val="0"/>
        <w:spacing w:line="288" w:lineRule="auto"/>
        <w:rPr>
          <w:rFonts w:ascii="Times New Roman" w:hAnsi="Times New Roman" w:cs="Times New Roman"/>
          <w:color w:val="000000"/>
          <w:sz w:val="21"/>
          <w:szCs w:val="21"/>
          <w:highlight w:val="none"/>
        </w:rPr>
      </w:pPr>
      <w:r>
        <w:rPr>
          <w:rFonts w:ascii="Times New Roman" w:hAnsi="Times New Roman" w:cs="Times New Roman"/>
          <w:color w:val="000000"/>
          <w:sz w:val="21"/>
          <w:szCs w:val="21"/>
          <w:highlight w:val="none"/>
        </w:rPr>
        <w:br w:type="page"/>
      </w:r>
    </w:p>
    <w:p>
      <w:pPr>
        <w:widowControl/>
        <w:snapToGrid w:val="0"/>
        <w:spacing w:line="360" w:lineRule="auto"/>
        <w:jc w:val="center"/>
        <w:outlineLvl w:val="1"/>
        <w:rPr>
          <w:rFonts w:ascii="Times New Roman" w:hAnsi="Times New Roman" w:eastAsia="仿宋_GB2312" w:cs="Times New Roman"/>
          <w:b/>
          <w:bCs/>
          <w:sz w:val="32"/>
          <w:szCs w:val="32"/>
          <w:highlight w:val="none"/>
        </w:rPr>
      </w:pPr>
      <w:bookmarkStart w:id="31" w:name="_Toc25240282"/>
      <w:bookmarkStart w:id="32" w:name="_Toc91081269"/>
      <w:r>
        <w:rPr>
          <w:rFonts w:hint="eastAsia" w:ascii="Times New Roman" w:hAnsi="Times New Roman" w:eastAsia="仿宋_GB2312" w:cs="仿宋_GB2312"/>
          <w:b/>
          <w:bCs/>
          <w:sz w:val="32"/>
          <w:szCs w:val="32"/>
          <w:highlight w:val="none"/>
        </w:rPr>
        <w:t>（二）大气污染防治类</w:t>
      </w:r>
      <w:bookmarkEnd w:id="31"/>
      <w:bookmarkEnd w:id="32"/>
    </w:p>
    <w:p>
      <w:pPr>
        <w:widowControl/>
        <w:snapToGrid w:val="0"/>
        <w:spacing w:line="288" w:lineRule="auto"/>
        <w:jc w:val="left"/>
        <w:rPr>
          <w:rFonts w:ascii="Times New Roman" w:hAnsi="Times New Roman" w:cs="Times New Roman"/>
          <w:highlight w:val="none"/>
        </w:rPr>
      </w:pPr>
    </w:p>
    <w:p>
      <w:pPr>
        <w:widowControl/>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w:t>
      </w:r>
      <w:r>
        <w:rPr>
          <w:rFonts w:hint="eastAsia" w:ascii="Times New Roman" w:hAnsi="Times New Roman" w:eastAsia="仿宋_GB2312" w:cs="仿宋_GB2312"/>
          <w:sz w:val="32"/>
          <w:szCs w:val="32"/>
          <w:highlight w:val="none"/>
        </w:rPr>
        <w:t>以拒绝进入现场等方式拒不接受生态环境主管部门及其环境执法机构或者其他负有大气环境保护监督管理职责的部门的监督检查，或者在接受监督检查时弄虚作假的</w:t>
      </w:r>
    </w:p>
    <w:p>
      <w:pPr>
        <w:widowControl/>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w:t>
      </w:r>
      <w:r>
        <w:rPr>
          <w:rFonts w:hint="eastAsia" w:ascii="Times New Roman" w:hAnsi="Times New Roman" w:eastAsia="仿宋_GB2312" w:cs="仿宋_GB2312"/>
          <w:sz w:val="32"/>
          <w:szCs w:val="32"/>
          <w:highlight w:val="none"/>
        </w:rPr>
        <w:t>未依法取得排污许可证排放大气污染物的</w:t>
      </w:r>
    </w:p>
    <w:p>
      <w:pPr>
        <w:widowControl/>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w:t>
      </w:r>
      <w:r>
        <w:rPr>
          <w:rFonts w:hint="eastAsia" w:ascii="Times New Roman" w:hAnsi="Times New Roman" w:eastAsia="仿宋_GB2312" w:cs="仿宋_GB2312"/>
          <w:sz w:val="32"/>
          <w:szCs w:val="32"/>
          <w:highlight w:val="none"/>
        </w:rPr>
        <w:t>超过大气污染物排放标准排放大气污染物的</w:t>
      </w:r>
    </w:p>
    <w:p>
      <w:pPr>
        <w:widowControl/>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w:t>
      </w:r>
      <w:r>
        <w:rPr>
          <w:rFonts w:hint="eastAsia" w:ascii="Times New Roman" w:hAnsi="Times New Roman" w:eastAsia="仿宋_GB2312" w:cs="仿宋_GB2312"/>
          <w:sz w:val="32"/>
          <w:szCs w:val="32"/>
          <w:highlight w:val="none"/>
        </w:rPr>
        <w:t>超过重点大气污染物排放总量控制指标排放大气污染物的</w:t>
      </w:r>
    </w:p>
    <w:p>
      <w:pPr>
        <w:widowControl/>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5.</w:t>
      </w:r>
      <w:r>
        <w:rPr>
          <w:rFonts w:hint="eastAsia" w:ascii="Times New Roman" w:hAnsi="Times New Roman" w:eastAsia="仿宋_GB2312" w:cs="仿宋_GB2312"/>
          <w:sz w:val="32"/>
          <w:szCs w:val="32"/>
          <w:highlight w:val="none"/>
        </w:rPr>
        <w:t>通过逃避监管的方式排放大气污染物的</w:t>
      </w:r>
    </w:p>
    <w:p>
      <w:pPr>
        <w:widowControl/>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6.</w:t>
      </w:r>
      <w:r>
        <w:rPr>
          <w:rFonts w:hint="eastAsia" w:ascii="Times New Roman" w:hAnsi="Times New Roman" w:eastAsia="仿宋_GB2312" w:cs="仿宋_GB2312"/>
          <w:sz w:val="32"/>
          <w:szCs w:val="32"/>
          <w:highlight w:val="none"/>
        </w:rPr>
        <w:t>侵占、损毁或者擅自移动、改变大气环境质量监测设施或者大气污染物排放自动监测设备的</w:t>
      </w:r>
    </w:p>
    <w:p>
      <w:pPr>
        <w:widowControl/>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7.</w:t>
      </w:r>
      <w:r>
        <w:rPr>
          <w:rFonts w:hint="eastAsia" w:ascii="Times New Roman" w:hAnsi="Times New Roman" w:eastAsia="仿宋_GB2312" w:cs="仿宋_GB2312"/>
          <w:sz w:val="32"/>
          <w:szCs w:val="32"/>
          <w:highlight w:val="none"/>
        </w:rPr>
        <w:t>未按照规定对所排放的工业废气和有毒有害大气污染物进行监测并保存原始监测记录的</w:t>
      </w:r>
    </w:p>
    <w:p>
      <w:pPr>
        <w:widowControl/>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8.</w:t>
      </w:r>
      <w:r>
        <w:rPr>
          <w:rFonts w:hint="eastAsia" w:ascii="Times New Roman" w:hAnsi="Times New Roman" w:eastAsia="仿宋_GB2312" w:cs="仿宋_GB2312"/>
          <w:sz w:val="32"/>
          <w:szCs w:val="32"/>
          <w:highlight w:val="none"/>
        </w:rPr>
        <w:t>未按照规定安装、使用大气污染物排放自动监测设备或者未按照规定与生态环境主管部门的监控设备联网，并保证监测设备正常运行的</w:t>
      </w:r>
    </w:p>
    <w:p>
      <w:pPr>
        <w:widowControl/>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9.</w:t>
      </w:r>
      <w:r>
        <w:rPr>
          <w:rFonts w:hint="eastAsia" w:ascii="Times New Roman" w:hAnsi="Times New Roman" w:eastAsia="仿宋_GB2312" w:cs="仿宋_GB2312"/>
          <w:sz w:val="32"/>
          <w:szCs w:val="32"/>
          <w:highlight w:val="none"/>
        </w:rPr>
        <w:t>重点排污单位不公开或者不如实公开自动监测数据的</w:t>
      </w:r>
    </w:p>
    <w:p>
      <w:pPr>
        <w:widowControl/>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10.</w:t>
      </w:r>
      <w:r>
        <w:rPr>
          <w:rFonts w:hint="eastAsia" w:ascii="Times New Roman" w:hAnsi="Times New Roman" w:eastAsia="仿宋_GB2312" w:cs="仿宋_GB2312"/>
          <w:sz w:val="32"/>
          <w:szCs w:val="32"/>
          <w:highlight w:val="none"/>
        </w:rPr>
        <w:t>未按照规定设置大气污染物排放口的</w:t>
      </w:r>
    </w:p>
    <w:p>
      <w:pPr>
        <w:widowControl/>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11.</w:t>
      </w:r>
      <w:r>
        <w:rPr>
          <w:rFonts w:hint="eastAsia" w:ascii="Times New Roman" w:hAnsi="Times New Roman" w:eastAsia="仿宋_GB2312" w:cs="仿宋_GB2312"/>
          <w:sz w:val="32"/>
          <w:szCs w:val="32"/>
          <w:highlight w:val="none"/>
        </w:rPr>
        <w:t>燃用不符合质量标准的煤炭、石油焦的</w:t>
      </w:r>
    </w:p>
    <w:p>
      <w:pPr>
        <w:widowControl/>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12.</w:t>
      </w:r>
      <w:r>
        <w:rPr>
          <w:rFonts w:hint="eastAsia" w:ascii="Times New Roman" w:hAnsi="Times New Roman" w:eastAsia="仿宋_GB2312" w:cs="仿宋_GB2312"/>
          <w:sz w:val="32"/>
          <w:szCs w:val="32"/>
          <w:highlight w:val="none"/>
        </w:rPr>
        <w:t>在禁燃区内新建、扩建燃用高污染燃料的设施，或者未按照规定停止燃用高污染燃料的</w:t>
      </w:r>
    </w:p>
    <w:p>
      <w:pPr>
        <w:widowControl/>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13.</w:t>
      </w:r>
      <w:r>
        <w:rPr>
          <w:rFonts w:hint="eastAsia" w:ascii="Times New Roman" w:hAnsi="Times New Roman" w:eastAsia="仿宋_GB2312" w:cs="仿宋_GB2312"/>
          <w:sz w:val="32"/>
          <w:szCs w:val="32"/>
          <w:highlight w:val="none"/>
        </w:rPr>
        <w:t>在城市集中供热管网覆盖地区新建、扩建分散燃煤供热锅炉的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14.</w:t>
      </w:r>
      <w:r>
        <w:rPr>
          <w:rFonts w:hint="eastAsia" w:ascii="Times New Roman" w:hAnsi="Times New Roman" w:eastAsia="仿宋_GB2312" w:cs="仿宋_GB2312"/>
          <w:sz w:val="32"/>
          <w:szCs w:val="32"/>
          <w:highlight w:val="none"/>
        </w:rPr>
        <w:t>未按照规定拆除已建成的不能达标排放的燃煤供热锅炉的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15.</w:t>
      </w:r>
      <w:r>
        <w:rPr>
          <w:rFonts w:hint="eastAsia" w:ascii="Times New Roman" w:hAnsi="Times New Roman" w:eastAsia="仿宋_GB2312" w:cs="仿宋_GB2312"/>
          <w:sz w:val="32"/>
          <w:szCs w:val="32"/>
          <w:highlight w:val="none"/>
        </w:rPr>
        <w:t>生产、进口、销售或者使用不符合规定标准或者要求的锅炉的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kern w:val="0"/>
          <w:sz w:val="32"/>
          <w:szCs w:val="32"/>
          <w:highlight w:val="none"/>
        </w:rPr>
        <w:t>16</w:t>
      </w:r>
      <w:r>
        <w:rPr>
          <w:rFonts w:ascii="Times New Roman" w:hAnsi="Times New Roman" w:eastAsia="仿宋_GB2312" w:cs="Times New Roman"/>
          <w:sz w:val="32"/>
          <w:szCs w:val="32"/>
          <w:highlight w:val="none"/>
        </w:rPr>
        <w:t>.</w:t>
      </w:r>
      <w:r>
        <w:rPr>
          <w:rFonts w:hint="eastAsia" w:ascii="Times New Roman" w:hAnsi="Times New Roman" w:eastAsia="仿宋_GB2312" w:cs="仿宋_GB2312"/>
          <w:sz w:val="32"/>
          <w:szCs w:val="32"/>
          <w:highlight w:val="none"/>
        </w:rPr>
        <w:t>产生含挥发性有机物废气的生产和服务活动，未在密闭空间或者设备中进行，未按照规定安装、使用污染防治设施，或者未采取减少废气排放措施的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kern w:val="0"/>
          <w:sz w:val="32"/>
          <w:szCs w:val="32"/>
          <w:highlight w:val="none"/>
        </w:rPr>
        <w:t>17</w:t>
      </w:r>
      <w:r>
        <w:rPr>
          <w:rFonts w:ascii="Times New Roman" w:hAnsi="Times New Roman" w:eastAsia="仿宋_GB2312" w:cs="Times New Roman"/>
          <w:sz w:val="32"/>
          <w:szCs w:val="32"/>
          <w:highlight w:val="none"/>
        </w:rPr>
        <w:t>.</w:t>
      </w:r>
      <w:r>
        <w:rPr>
          <w:rFonts w:hint="eastAsia" w:ascii="Times New Roman" w:hAnsi="Times New Roman" w:eastAsia="仿宋_GB2312" w:cs="仿宋_GB2312"/>
          <w:sz w:val="32"/>
          <w:szCs w:val="32"/>
          <w:highlight w:val="none"/>
        </w:rPr>
        <w:t>工业涂装企业未使用低挥发性有机物含量涂料或者未建立、保存台账的</w:t>
      </w:r>
    </w:p>
    <w:p>
      <w:pPr>
        <w:widowControl/>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18.</w:t>
      </w:r>
      <w:r>
        <w:rPr>
          <w:rFonts w:hint="eastAsia" w:ascii="Times New Roman" w:hAnsi="Times New Roman" w:eastAsia="仿宋_GB2312" w:cs="仿宋_GB2312"/>
          <w:sz w:val="32"/>
          <w:szCs w:val="32"/>
          <w:highlight w:val="none"/>
        </w:rPr>
        <w:t>石油、化工以及其他生产和使用有机溶剂的企业，未采取措施对管道、设备进行日常维护、维修，减少物料泄漏或者对泄漏的物料未及时收集处理的</w:t>
      </w:r>
    </w:p>
    <w:p>
      <w:pPr>
        <w:widowControl/>
        <w:shd w:val="clear" w:color="auto" w:fill="FFFFFF"/>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19.</w:t>
      </w:r>
      <w:r>
        <w:rPr>
          <w:rFonts w:hint="eastAsia" w:ascii="Times New Roman" w:hAnsi="Times New Roman" w:eastAsia="仿宋_GB2312" w:cs="仿宋_GB2312"/>
          <w:sz w:val="32"/>
          <w:szCs w:val="32"/>
          <w:highlight w:val="none"/>
        </w:rPr>
        <w:t>储油储气库、加油加气站和油罐车、气罐车等，未按照国家有关规定安装并正常使用油气回收装置的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w:t>
      </w:r>
      <w:r>
        <w:rPr>
          <w:rFonts w:hint="eastAsia" w:ascii="Times New Roman" w:hAnsi="Times New Roman" w:eastAsia="仿宋_GB2312" w:cs="仿宋_GB2312"/>
          <w:sz w:val="32"/>
          <w:szCs w:val="32"/>
          <w:highlight w:val="none"/>
        </w:rPr>
        <w:t>钢铁、建材、有色金属、石油、化工、制药、矿产开采等企业，未采取集中收集处理、密闭、围挡、遮盖、清扫、洒水等措施，控制、减少粉尘和气态污染物排放的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21</w:t>
      </w:r>
      <w:r>
        <w:rPr>
          <w:rFonts w:hint="eastAsia" w:ascii="Times New Roman" w:hAnsi="Times New Roman" w:eastAsia="仿宋_GB2312" w:cs="仿宋_GB2312"/>
          <w:sz w:val="32"/>
          <w:szCs w:val="32"/>
          <w:highlight w:val="none"/>
        </w:rPr>
        <w:t>．工业生产、垃圾填埋或者其他活动中产生的可燃性气体未回收利用，不具备回收利用条件未进行防治污染处理，或者可燃性气体回收利用装置不能正常作业，未及时修复或者更新的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22.</w:t>
      </w:r>
      <w:r>
        <w:rPr>
          <w:rFonts w:hint="eastAsia" w:ascii="Times New Roman" w:hAnsi="Times New Roman" w:eastAsia="仿宋_GB2312" w:cs="仿宋_GB2312"/>
          <w:sz w:val="32"/>
          <w:szCs w:val="32"/>
          <w:highlight w:val="none"/>
        </w:rPr>
        <w:t>生产超过污染物排放标准的机动车、非道路移动机械的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23.</w:t>
      </w:r>
      <w:r>
        <w:rPr>
          <w:rFonts w:hint="eastAsia" w:ascii="Times New Roman" w:hAnsi="Times New Roman" w:eastAsia="仿宋_GB2312" w:cs="仿宋_GB2312"/>
          <w:sz w:val="32"/>
          <w:szCs w:val="32"/>
          <w:highlight w:val="none"/>
        </w:rPr>
        <w:t>机动车、非道路移动机械生产企业对发动机、污染控制装置弄虚作假、以次充好，冒充排放检验合格产品出厂销售的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24.</w:t>
      </w:r>
      <w:r>
        <w:rPr>
          <w:rFonts w:hint="eastAsia" w:ascii="Times New Roman" w:hAnsi="Times New Roman" w:eastAsia="仿宋_GB2312" w:cs="仿宋_GB2312"/>
          <w:sz w:val="32"/>
          <w:szCs w:val="32"/>
          <w:highlight w:val="none"/>
        </w:rPr>
        <w:t>机动车生产、进口企业未按照规定向社会公布其生产、进口机动车车型的排放检验信息或者污染控制技术信息的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25.</w:t>
      </w:r>
      <w:r>
        <w:rPr>
          <w:rFonts w:hint="eastAsia" w:ascii="Times New Roman" w:hAnsi="Times New Roman" w:eastAsia="仿宋_GB2312" w:cs="仿宋_GB2312"/>
          <w:sz w:val="32"/>
          <w:szCs w:val="32"/>
          <w:highlight w:val="none"/>
        </w:rPr>
        <w:t>伪造机动车、非道路移动机械排放检验结果或者出具虚假排放检验报告的</w:t>
      </w:r>
    </w:p>
    <w:p>
      <w:pPr>
        <w:widowControl/>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26.</w:t>
      </w:r>
      <w:r>
        <w:rPr>
          <w:rFonts w:hint="eastAsia" w:ascii="Times New Roman" w:hAnsi="Times New Roman" w:eastAsia="仿宋_GB2312" w:cs="仿宋_GB2312"/>
          <w:sz w:val="32"/>
          <w:szCs w:val="32"/>
          <w:highlight w:val="none"/>
        </w:rPr>
        <w:t>未密闭煤炭、煤矸石、煤渣、煤灰、水泥、石灰、石膏、砂土等易产生扬尘的物料的</w:t>
      </w:r>
    </w:p>
    <w:p>
      <w:pPr>
        <w:widowControl/>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27.</w:t>
      </w:r>
      <w:r>
        <w:rPr>
          <w:rFonts w:hint="eastAsia" w:ascii="Times New Roman" w:hAnsi="Times New Roman" w:eastAsia="仿宋_GB2312" w:cs="仿宋_GB2312"/>
          <w:sz w:val="32"/>
          <w:szCs w:val="32"/>
          <w:highlight w:val="none"/>
        </w:rPr>
        <w:t>对不能密闭的易产生扬尘的物料，未设置不低于堆放物高度的严密围挡，或者未采取有效覆盖措施防治扬尘污染的</w:t>
      </w:r>
    </w:p>
    <w:p>
      <w:pPr>
        <w:widowControl/>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28.</w:t>
      </w:r>
      <w:r>
        <w:rPr>
          <w:rFonts w:hint="eastAsia" w:ascii="Times New Roman" w:hAnsi="Times New Roman" w:eastAsia="仿宋_GB2312" w:cs="仿宋_GB2312"/>
          <w:sz w:val="32"/>
          <w:szCs w:val="32"/>
          <w:highlight w:val="none"/>
        </w:rPr>
        <w:t>装卸物料未采取密闭或者喷淋等方式控制扬尘排放的</w:t>
      </w:r>
    </w:p>
    <w:p>
      <w:pPr>
        <w:widowControl/>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29.</w:t>
      </w:r>
      <w:r>
        <w:rPr>
          <w:rFonts w:hint="eastAsia" w:ascii="Times New Roman" w:hAnsi="Times New Roman" w:eastAsia="仿宋_GB2312" w:cs="仿宋_GB2312"/>
          <w:sz w:val="32"/>
          <w:szCs w:val="32"/>
          <w:highlight w:val="none"/>
        </w:rPr>
        <w:t>存放煤炭、煤矸石、煤渣、煤灰等物料，未采取防燃措施的</w:t>
      </w:r>
    </w:p>
    <w:p>
      <w:pPr>
        <w:widowControl/>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30.</w:t>
      </w:r>
      <w:r>
        <w:rPr>
          <w:rFonts w:hint="eastAsia" w:ascii="Times New Roman" w:hAnsi="Times New Roman" w:eastAsia="仿宋_GB2312" w:cs="仿宋_GB2312"/>
          <w:sz w:val="32"/>
          <w:szCs w:val="32"/>
          <w:highlight w:val="none"/>
        </w:rPr>
        <w:t>码头、矿山、填埋场和消纳场未采取有效措施防治扬尘污染的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31</w:t>
      </w:r>
      <w:r>
        <w:rPr>
          <w:rFonts w:hint="eastAsia" w:ascii="Times New Roman" w:hAnsi="Times New Roman" w:eastAsia="仿宋_GB2312" w:cs="仿宋_GB2312"/>
          <w:sz w:val="32"/>
          <w:szCs w:val="32"/>
          <w:highlight w:val="none"/>
        </w:rPr>
        <w:t>．排放有毒有害大气污染物名录中所列有毒有害大气污染物的企业事业单位，未按照规定建设环境风险预警体系或者对排放口和周边环境进行定期监测、排查环境安全隐患并采取有效措施防范环境风险的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32.</w:t>
      </w:r>
      <w:r>
        <w:rPr>
          <w:rFonts w:hint="eastAsia" w:ascii="Times New Roman" w:hAnsi="Times New Roman" w:eastAsia="仿宋_GB2312" w:cs="仿宋_GB2312"/>
          <w:sz w:val="32"/>
          <w:szCs w:val="32"/>
          <w:highlight w:val="none"/>
        </w:rPr>
        <w:t>向大气排放有毒有害污染物或者持久性有机污染物的企业事业单位和其他生产经营者以及废弃物焚烧设施的运营单位，未按照国家有关规定采取有利于减少污染物排放的技术方法和工艺，配备净化装置并保持正常运行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kern w:val="0"/>
          <w:sz w:val="32"/>
          <w:szCs w:val="32"/>
          <w:highlight w:val="none"/>
        </w:rPr>
        <w:t>33</w:t>
      </w:r>
      <w:r>
        <w:rPr>
          <w:rFonts w:ascii="Times New Roman" w:hAnsi="Times New Roman" w:eastAsia="仿宋_GB2312" w:cs="Times New Roman"/>
          <w:sz w:val="32"/>
          <w:szCs w:val="32"/>
          <w:highlight w:val="none"/>
        </w:rPr>
        <w:t>.</w:t>
      </w:r>
      <w:r>
        <w:rPr>
          <w:rFonts w:hint="eastAsia" w:ascii="Times New Roman" w:hAnsi="Times New Roman" w:eastAsia="仿宋_GB2312" w:cs="仿宋_GB2312"/>
          <w:sz w:val="32"/>
          <w:szCs w:val="32"/>
          <w:highlight w:val="none"/>
        </w:rPr>
        <w:t>未采取措施防止排放恶臭气体的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sz w:val="32"/>
          <w:szCs w:val="32"/>
          <w:highlight w:val="none"/>
        </w:rPr>
        <w:t>34.</w:t>
      </w:r>
      <w:r>
        <w:rPr>
          <w:rFonts w:hint="eastAsia" w:ascii="Times New Roman" w:hAnsi="Times New Roman" w:eastAsia="仿宋_GB2312" w:cs="仿宋_GB2312"/>
          <w:sz w:val="32"/>
          <w:szCs w:val="32"/>
          <w:highlight w:val="none"/>
        </w:rPr>
        <w:t>从事服装干洗和机动车维修等服务活动，未设置异味和</w:t>
      </w:r>
      <w:r>
        <w:rPr>
          <w:rFonts w:hint="eastAsia" w:ascii="Times New Roman" w:hAnsi="Times New Roman" w:eastAsia="仿宋_GB2312" w:cs="仿宋_GB2312"/>
          <w:color w:val="000000"/>
          <w:sz w:val="32"/>
          <w:szCs w:val="32"/>
          <w:highlight w:val="none"/>
        </w:rPr>
        <w:t>废气处理装置等污染防治设施并保持正常使用，影响周边环境的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kern w:val="0"/>
          <w:sz w:val="32"/>
          <w:szCs w:val="32"/>
          <w:highlight w:val="none"/>
        </w:rPr>
        <w:t>35.</w:t>
      </w:r>
      <w:r>
        <w:rPr>
          <w:rFonts w:hint="eastAsia" w:ascii="Times New Roman" w:hAnsi="Times New Roman" w:eastAsia="仿宋_GB2312" w:cs="仿宋_GB2312"/>
          <w:color w:val="000000"/>
          <w:sz w:val="32"/>
          <w:szCs w:val="32"/>
          <w:highlight w:val="none"/>
        </w:rPr>
        <w:t>造成大气污染事故的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36.</w:t>
      </w:r>
      <w:r>
        <w:rPr>
          <w:rFonts w:hint="eastAsia" w:ascii="Times New Roman" w:hAnsi="Times New Roman" w:eastAsia="仿宋_GB2312" w:cs="仿宋_GB2312"/>
          <w:color w:val="000000"/>
          <w:sz w:val="32"/>
          <w:szCs w:val="32"/>
          <w:highlight w:val="none"/>
        </w:rPr>
        <w:t>排放工业废气或者有毒有害大气污染物的排污单位未按照规定和监测规范设置监测点位和采样监测平台的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37.</w:t>
      </w:r>
      <w:r>
        <w:rPr>
          <w:rFonts w:hint="eastAsia" w:ascii="Times New Roman" w:hAnsi="Times New Roman" w:eastAsia="仿宋_GB2312" w:cs="仿宋_GB2312"/>
          <w:sz w:val="32"/>
          <w:szCs w:val="32"/>
          <w:highlight w:val="none"/>
        </w:rPr>
        <w:t>企业事业单位未按照规定要求编制重污染天气应急响应操作方案，责令改正拒不改正的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38.</w:t>
      </w:r>
      <w:r>
        <w:rPr>
          <w:rFonts w:hint="eastAsia" w:ascii="Times New Roman" w:hAnsi="Times New Roman" w:eastAsia="仿宋_GB2312" w:cs="仿宋_GB2312"/>
          <w:sz w:val="32"/>
          <w:szCs w:val="32"/>
          <w:highlight w:val="none"/>
        </w:rPr>
        <w:t>在集中供热管网覆盖区域内，已建成的分散燃煤供热锅炉未在规定的期限内停止使用的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39.</w:t>
      </w:r>
      <w:r>
        <w:rPr>
          <w:rFonts w:hint="eastAsia" w:ascii="Times New Roman" w:hAnsi="Times New Roman" w:eastAsia="仿宋_GB2312" w:cs="仿宋_GB2312"/>
          <w:sz w:val="32"/>
          <w:szCs w:val="32"/>
          <w:highlight w:val="none"/>
        </w:rPr>
        <w:t>除国家和省另有规定外，在城市建成区、开发区、工业园区内，新建额定蒸发量二十吨以下的直接燃煤、重油、渣油锅炉以及直接燃用生物质的锅炉的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40</w:t>
      </w:r>
      <w:r>
        <w:rPr>
          <w:rFonts w:hint="eastAsia" w:ascii="Times New Roman" w:hAnsi="Times New Roman" w:eastAsia="仿宋_GB2312" w:cs="仿宋_GB2312"/>
          <w:sz w:val="32"/>
          <w:szCs w:val="32"/>
          <w:highlight w:val="none"/>
        </w:rPr>
        <w:t>．排污单位未按照规定对不经过排气筒集中排放的大气污染物采取必要的污染防治措施的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41.</w:t>
      </w:r>
      <w:r>
        <w:rPr>
          <w:rFonts w:hint="eastAsia" w:ascii="Times New Roman" w:hAnsi="Times New Roman" w:eastAsia="仿宋_GB2312" w:cs="仿宋_GB2312"/>
          <w:sz w:val="32"/>
          <w:szCs w:val="32"/>
          <w:highlight w:val="none"/>
        </w:rPr>
        <w:t>在需要特殊保护的区域及其周边，新建、改建和扩建石化、焦化、制药、油漆、塑料、橡胶、造纸、饲料等生产项目的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42.</w:t>
      </w:r>
      <w:r>
        <w:rPr>
          <w:rFonts w:hint="eastAsia" w:ascii="Times New Roman" w:hAnsi="Times New Roman" w:eastAsia="仿宋_GB2312" w:cs="仿宋_GB2312"/>
          <w:sz w:val="32"/>
          <w:szCs w:val="32"/>
          <w:highlight w:val="none"/>
        </w:rPr>
        <w:t>在需要特殊保护的区域及其周边从事产生恶臭气体的生产经营活动的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43.</w:t>
      </w:r>
      <w:r>
        <w:rPr>
          <w:rFonts w:hint="eastAsia" w:ascii="Times New Roman" w:hAnsi="Times New Roman" w:eastAsia="仿宋_GB2312" w:cs="仿宋_GB2312"/>
          <w:sz w:val="32"/>
          <w:szCs w:val="32"/>
          <w:highlight w:val="none"/>
        </w:rPr>
        <w:t>未按照规定建立科学有效的回收利用和安全处置制度，随意排放、抛洒或者丢弃消耗臭氧层物质的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44.</w:t>
      </w:r>
      <w:r>
        <w:rPr>
          <w:rFonts w:hint="eastAsia" w:ascii="Times New Roman" w:hAnsi="Times New Roman" w:eastAsia="仿宋_GB2312" w:cs="仿宋_GB2312"/>
          <w:sz w:val="32"/>
          <w:szCs w:val="32"/>
          <w:highlight w:val="none"/>
        </w:rPr>
        <w:t>在禁止区域内从事砂、石、粘土开采和加工等易产生扬尘污染活动的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45.</w:t>
      </w:r>
      <w:r>
        <w:rPr>
          <w:rFonts w:hint="eastAsia" w:ascii="Times New Roman" w:hAnsi="Times New Roman" w:eastAsia="仿宋_GB2312" w:cs="仿宋_GB2312"/>
          <w:sz w:val="32"/>
          <w:szCs w:val="32"/>
          <w:highlight w:val="none"/>
        </w:rPr>
        <w:t>道路运输经营单位拒绝申报登记机动车排气污染物排放状况的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仿宋_GB2312"/>
          <w:sz w:val="32"/>
          <w:szCs w:val="32"/>
          <w:highlight w:val="none"/>
        </w:rPr>
      </w:pPr>
      <w:r>
        <w:rPr>
          <w:rFonts w:ascii="Times New Roman" w:hAnsi="Times New Roman" w:eastAsia="仿宋_GB2312" w:cs="Times New Roman"/>
          <w:sz w:val="32"/>
          <w:szCs w:val="32"/>
          <w:highlight w:val="none"/>
        </w:rPr>
        <w:t>46.</w:t>
      </w:r>
      <w:r>
        <w:rPr>
          <w:rFonts w:hint="eastAsia" w:ascii="Times New Roman" w:hAnsi="Times New Roman" w:eastAsia="仿宋_GB2312" w:cs="仿宋_GB2312"/>
          <w:sz w:val="32"/>
          <w:szCs w:val="32"/>
          <w:highlight w:val="none"/>
        </w:rPr>
        <w:t>机动车环保检验机构从事机动车排气污染维修治理业务的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4</w:t>
      </w:r>
      <w:r>
        <w:rPr>
          <w:rFonts w:ascii="Times New Roman" w:hAnsi="Times New Roman" w:eastAsia="仿宋_GB2312" w:cs="仿宋_GB2312"/>
          <w:sz w:val="32"/>
          <w:szCs w:val="32"/>
          <w:highlight w:val="none"/>
        </w:rPr>
        <w:t>7</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color w:val="000000"/>
          <w:highlight w:val="none"/>
        </w:rPr>
        <w:t xml:space="preserve"> </w:t>
      </w:r>
      <w:r>
        <w:rPr>
          <w:rFonts w:hint="eastAsia" w:ascii="Times New Roman" w:hAnsi="Times New Roman" w:eastAsia="仿宋_GB2312" w:cs="仿宋_GB2312"/>
          <w:sz w:val="32"/>
          <w:szCs w:val="32"/>
          <w:highlight w:val="none"/>
        </w:rPr>
        <w:t>非道路移动机械所有人未按照规定提供登记信息或者及时进行变更、注销登记信息，或者提供虚假登记信息的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4</w:t>
      </w:r>
      <w:r>
        <w:rPr>
          <w:rFonts w:ascii="Times New Roman" w:hAnsi="Times New Roman" w:eastAsia="仿宋_GB2312" w:cs="仿宋_GB2312"/>
          <w:sz w:val="32"/>
          <w:szCs w:val="32"/>
          <w:highlight w:val="none"/>
        </w:rPr>
        <w:t>8</w:t>
      </w:r>
      <w:r>
        <w:rPr>
          <w:rFonts w:hint="eastAsia" w:ascii="Times New Roman" w:hAnsi="Times New Roman" w:eastAsia="仿宋_GB2312" w:cs="仿宋_GB2312"/>
          <w:sz w:val="32"/>
          <w:szCs w:val="32"/>
          <w:highlight w:val="none"/>
        </w:rPr>
        <w:t>.非道路移动机械所有人或者使用人拒不接受监督抽测的</w:t>
      </w:r>
    </w:p>
    <w:p>
      <w:pPr>
        <w:widowControl/>
        <w:snapToGrid w:val="0"/>
        <w:jc w:val="left"/>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07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5198"/>
        <w:gridCol w:w="2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72" w:type="dxa"/>
            <w:gridSpan w:val="3"/>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（二）大气污染防治类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816"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6"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816" w:type="dxa"/>
            <w:gridSpan w:val="2"/>
          </w:tcPr>
          <w:p>
            <w:pPr>
              <w:snapToGrid w:val="0"/>
              <w:spacing w:before="62" w:beforeLines="20"/>
              <w:ind w:firstLine="420" w:firstLineChars="200"/>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以拒绝进入现场等方式拒不接受生态环境主管部门及其环境执法机构或者其他负有大气环境保护监督管理职责的部门的监督检查，或者在接受监督检查时弄虚作假的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6"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816" w:type="dxa"/>
            <w:gridSpan w:val="2"/>
          </w:tcPr>
          <w:p>
            <w:pPr>
              <w:pStyle w:val="12"/>
              <w:snapToGrid w:val="0"/>
              <w:spacing w:before="62" w:beforeLines="20" w:beforeAutospacing="0" w:after="0" w:afterAutospacing="0" w:line="288" w:lineRule="auto"/>
              <w:ind w:firstLine="482"/>
              <w:jc w:val="both"/>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《中华人民共和国大气污染防治法》第二十九条</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生态环境主管部门及其环境执法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6"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816" w:type="dxa"/>
            <w:gridSpan w:val="2"/>
          </w:tcPr>
          <w:p>
            <w:pPr>
              <w:pStyle w:val="12"/>
              <w:snapToGrid w:val="0"/>
              <w:spacing w:before="62" w:beforeLines="20" w:beforeAutospacing="0" w:after="0" w:afterAutospacing="0" w:line="288" w:lineRule="auto"/>
              <w:ind w:firstLine="420"/>
              <w:jc w:val="both"/>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《中华人民共和国大气污染防治法》第九十八条</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违反本法规定，以拒绝进入现场等方式拒不接受生态环境主管部门及其环境执法机构或者其他负有大气环境保护监督管理职责的部门的监督检查，或者在接受监督检查时弄虚作假的，由县级以上人民政府生态环境主管部门或者其他负有大气环境保护监督管理职责的部门责令改正，处二万元以上二十万元以下的罚款</w:t>
            </w:r>
            <w:r>
              <w:rPr>
                <w:rFonts w:ascii="Times New Roman" w:hAnsi="Times New Roman" w:eastAsia="仿宋_GB2312" w:cs="Times New Roman"/>
                <w:sz w:val="21"/>
                <w:szCs w:val="21"/>
                <w:highlight w:val="none"/>
              </w:rPr>
              <w:t>;</w:t>
            </w:r>
            <w:r>
              <w:rPr>
                <w:rFonts w:hint="eastAsia" w:ascii="Times New Roman" w:hAnsi="Times New Roman" w:eastAsia="仿宋_GB2312" w:cs="仿宋_GB2312"/>
                <w:sz w:val="21"/>
                <w:szCs w:val="21"/>
                <w:highlight w:val="none"/>
              </w:rPr>
              <w:t>构成违反治安管理行为的，由公安机关依法予以处罚。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198"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18"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198"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迟滞</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分钟以上</w:t>
            </w:r>
            <w:r>
              <w:rPr>
                <w:rFonts w:ascii="Times New Roman" w:hAnsi="Times New Roman" w:eastAsia="仿宋_GB2312" w:cs="Times New Roman"/>
                <w:sz w:val="21"/>
                <w:szCs w:val="21"/>
                <w:highlight w:val="none"/>
              </w:rPr>
              <w:t>30</w:t>
            </w:r>
            <w:r>
              <w:rPr>
                <w:rFonts w:hint="eastAsia" w:ascii="Times New Roman" w:hAnsi="Times New Roman" w:eastAsia="仿宋_GB2312" w:cs="仿宋_GB2312"/>
                <w:sz w:val="21"/>
                <w:szCs w:val="21"/>
                <w:highlight w:val="none"/>
              </w:rPr>
              <w:t>分钟以内/提供非关键性假信息</w:t>
            </w:r>
          </w:p>
        </w:tc>
        <w:tc>
          <w:tcPr>
            <w:tcW w:w="2618"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6" w:type="dxa"/>
            <w:vMerge w:val="continue"/>
            <w:vAlign w:val="center"/>
          </w:tcPr>
          <w:p>
            <w:pPr>
              <w:snapToGrid w:val="0"/>
              <w:jc w:val="center"/>
              <w:rPr>
                <w:rFonts w:ascii="Times New Roman" w:hAnsi="Times New Roman" w:cs="Times New Roman"/>
                <w:b/>
                <w:bCs/>
                <w:color w:val="000000"/>
                <w:highlight w:val="none"/>
              </w:rPr>
            </w:pPr>
          </w:p>
        </w:tc>
        <w:tc>
          <w:tcPr>
            <w:tcW w:w="5198"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迟滞超过半小时</w:t>
            </w:r>
          </w:p>
        </w:tc>
        <w:tc>
          <w:tcPr>
            <w:tcW w:w="2618"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6" w:type="dxa"/>
            <w:vMerge w:val="continue"/>
            <w:vAlign w:val="center"/>
          </w:tcPr>
          <w:p>
            <w:pPr>
              <w:snapToGrid w:val="0"/>
              <w:jc w:val="center"/>
              <w:rPr>
                <w:rFonts w:ascii="Times New Roman" w:hAnsi="Times New Roman" w:cs="Times New Roman"/>
                <w:b/>
                <w:bCs/>
                <w:color w:val="000000"/>
                <w:highlight w:val="none"/>
              </w:rPr>
            </w:pPr>
          </w:p>
        </w:tc>
        <w:tc>
          <w:tcPr>
            <w:tcW w:w="5198"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阻碍或隐匿部分资料/提供假信息</w:t>
            </w:r>
          </w:p>
        </w:tc>
        <w:tc>
          <w:tcPr>
            <w:tcW w:w="2618"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6" w:type="dxa"/>
            <w:vMerge w:val="continue"/>
            <w:vAlign w:val="center"/>
          </w:tcPr>
          <w:p>
            <w:pPr>
              <w:snapToGrid w:val="0"/>
              <w:jc w:val="center"/>
              <w:rPr>
                <w:rFonts w:ascii="Times New Roman" w:hAnsi="Times New Roman" w:cs="Times New Roman"/>
                <w:b/>
                <w:bCs/>
                <w:color w:val="000000"/>
                <w:highlight w:val="none"/>
              </w:rPr>
            </w:pPr>
          </w:p>
        </w:tc>
        <w:tc>
          <w:tcPr>
            <w:tcW w:w="5198"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围堵、滞留执法人员或拒绝提供资料</w:t>
            </w:r>
          </w:p>
        </w:tc>
        <w:tc>
          <w:tcPr>
            <w:tcW w:w="2618"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6" w:type="dxa"/>
            <w:vMerge w:val="continue"/>
            <w:vAlign w:val="center"/>
          </w:tcPr>
          <w:p>
            <w:pPr>
              <w:snapToGrid w:val="0"/>
              <w:jc w:val="center"/>
              <w:rPr>
                <w:rFonts w:ascii="Times New Roman" w:hAnsi="Times New Roman" w:cs="Times New Roman"/>
                <w:b/>
                <w:bCs/>
                <w:color w:val="000000"/>
                <w:highlight w:val="none"/>
              </w:rPr>
            </w:pPr>
          </w:p>
        </w:tc>
        <w:tc>
          <w:tcPr>
            <w:tcW w:w="5198"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暴力抗法/伪造现场或证据</w:t>
            </w:r>
          </w:p>
        </w:tc>
        <w:tc>
          <w:tcPr>
            <w:tcW w:w="2618"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816" w:type="dxa"/>
            <w:gridSpan w:val="2"/>
            <w:vAlign w:val="center"/>
          </w:tcPr>
          <w:p>
            <w:pPr>
              <w:snapToGrid w:val="0"/>
              <w:ind w:firstLine="420"/>
              <w:jc w:val="center"/>
              <w:rPr>
                <w:rFonts w:ascii="Times New Roman" w:hAnsi="Times New Roman" w:cs="Times New Roman"/>
                <w:highlight w:val="none"/>
              </w:rPr>
            </w:pPr>
          </w:p>
        </w:tc>
      </w:tr>
    </w:tbl>
    <w:p>
      <w:pPr>
        <w:widowControl/>
        <w:snapToGrid w:val="0"/>
        <w:jc w:val="left"/>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（二）大气污染防治类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未依法取得排污许可证排放大气污染物的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2"/>
              <w:snapToGrid w:val="0"/>
              <w:spacing w:before="93" w:beforeLines="30" w:beforeAutospacing="0" w:after="0" w:afterAutospacing="0" w:line="288" w:lineRule="auto"/>
              <w:ind w:firstLine="420"/>
              <w:rPr>
                <w:rFonts w:ascii="Times New Roman" w:hAnsi="Times New Roman" w:eastAsia="仿宋_GB2312" w:cs="仿宋_GB2312"/>
                <w:sz w:val="21"/>
                <w:szCs w:val="21"/>
                <w:highlight w:val="none"/>
              </w:rPr>
            </w:pPr>
            <w:r>
              <w:rPr>
                <w:rFonts w:hint="eastAsia" w:ascii="Times New Roman" w:hAnsi="Times New Roman" w:eastAsia="仿宋_GB2312" w:cs="仿宋_GB2312"/>
                <w:b/>
                <w:bCs/>
                <w:sz w:val="21"/>
                <w:szCs w:val="21"/>
                <w:highlight w:val="none"/>
              </w:rPr>
              <w:t>1.《中华人民共和国大气污染防治法》第十九条</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排放工业废气或者本法第七十八条规定名录中所列有毒有害大气污染物的企业事业单位、集中供热设施的燃煤热源生产运营单位以及其他依法实行排污许可管理的单位，应当取得排污许可证。排污许可的具体办法和实施步骤由国务院规定。</w:t>
            </w:r>
          </w:p>
          <w:p>
            <w:pPr>
              <w:pStyle w:val="12"/>
              <w:snapToGrid w:val="0"/>
              <w:spacing w:before="0" w:beforeAutospacing="0" w:after="0" w:afterAutospacing="0" w:line="288" w:lineRule="auto"/>
              <w:ind w:firstLine="420"/>
              <w:rPr>
                <w:rFonts w:ascii="Times New Roman" w:hAnsi="Times New Roman" w:eastAsia="仿宋_GB2312" w:cs="Times New Roman"/>
                <w:sz w:val="21"/>
                <w:szCs w:val="21"/>
                <w:highlight w:val="none"/>
              </w:rPr>
            </w:pPr>
            <w:r>
              <w:rPr>
                <w:rFonts w:ascii="Times New Roman" w:hAnsi="Times New Roman" w:eastAsia="仿宋_GB2312" w:cs="Times New Roman"/>
                <w:b/>
                <w:bCs/>
                <w:sz w:val="21"/>
                <w:szCs w:val="21"/>
                <w:highlight w:val="none"/>
              </w:rPr>
              <w:t>2.</w:t>
            </w:r>
            <w:r>
              <w:rPr>
                <w:rFonts w:hint="eastAsia" w:ascii="Times New Roman" w:hAnsi="Times New Roman" w:eastAsia="仿宋_GB2312" w:cs="仿宋_GB2312"/>
                <w:b/>
                <w:bCs/>
                <w:sz w:val="21"/>
                <w:szCs w:val="21"/>
                <w:highlight w:val="none"/>
              </w:rPr>
              <w:t>《山东省环境保护条例》第十七条第一款</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实行排污许可管理制度。纳入排污许可管理目录的排污单位，应当依法申请领取排污许可证。未取得排污许可证的，不得排放污染物。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2"/>
              <w:snapToGrid w:val="0"/>
              <w:spacing w:before="93" w:beforeLines="30" w:beforeAutospacing="0" w:after="0" w:afterAutospacing="0"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1.《中华人民共和国大气污染防治法》第九十九条第（一）项</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违反本法规定，有下列行为之一的，由县级以上人民政府生态环境主管部门责令改正或者限制生产、停产整治，并处十万元以上一百万元以下的罚款；情节严重的，报经有批准权的人民政府批准，责令停业、关闭：</w:t>
            </w:r>
          </w:p>
          <w:p>
            <w:pPr>
              <w:pStyle w:val="12"/>
              <w:numPr>
                <w:ilvl w:val="0"/>
                <w:numId w:val="1"/>
              </w:numPr>
              <w:snapToGrid w:val="0"/>
              <w:spacing w:before="0" w:beforeAutospacing="0" w:after="0" w:afterAutospacing="0" w:line="288" w:lineRule="auto"/>
              <w:rPr>
                <w:rFonts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未依法取得排污许可证排放大气污染物的。</w:t>
            </w:r>
          </w:p>
          <w:p>
            <w:pPr>
              <w:snapToGrid w:val="0"/>
              <w:spacing w:line="288" w:lineRule="auto"/>
              <w:ind w:firstLine="422" w:firstLineChars="200"/>
              <w:rPr>
                <w:rFonts w:ascii="Times New Roman" w:hAnsi="Times New Roman" w:eastAsia="仿宋_GB2312" w:cs="Times New Roman"/>
                <w:kern w:val="0"/>
                <w:highlight w:val="none"/>
              </w:rPr>
            </w:pPr>
            <w:r>
              <w:rPr>
                <w:rFonts w:ascii="Times New Roman" w:hAnsi="Times New Roman" w:eastAsia="仿宋_GB2312" w:cs="Times New Roman"/>
                <w:b/>
                <w:bCs/>
                <w:kern w:val="0"/>
                <w:highlight w:val="none"/>
              </w:rPr>
              <w:t>2.</w:t>
            </w:r>
            <w:r>
              <w:rPr>
                <w:rFonts w:hint="eastAsia" w:ascii="Times New Roman" w:hAnsi="Times New Roman" w:eastAsia="仿宋_GB2312" w:cs="仿宋_GB2312"/>
                <w:b/>
                <w:bCs/>
                <w:kern w:val="0"/>
                <w:highlight w:val="none"/>
              </w:rPr>
              <w:t>《山东省环境保护条例》第七十条第（二）项</w:t>
            </w:r>
            <w:r>
              <w:rPr>
                <w:rFonts w:ascii="Times New Roman" w:hAnsi="Times New Roman" w:eastAsia="仿宋_GB2312" w:cs="Times New Roman"/>
                <w:b/>
                <w:bCs/>
                <w:kern w:val="0"/>
                <w:highlight w:val="none"/>
              </w:rPr>
              <w:t xml:space="preserve"> </w:t>
            </w:r>
            <w:r>
              <w:rPr>
                <w:rFonts w:hint="eastAsia" w:ascii="Times New Roman" w:hAnsi="Times New Roman" w:eastAsia="仿宋_GB2312" w:cs="仿宋_GB2312"/>
                <w:kern w:val="0"/>
                <w:highlight w:val="none"/>
              </w:rPr>
              <w:t>违反本条例规定，排污单位有下列行为之一的，由县级以上人民政府生态环境主管部门责令改正或者责令限制生产、停产整治，并处十万元以上一百万元以下的罚款；情节严重的，报经有批准权的人民政府批准，责令停业、关闭：</w:t>
            </w:r>
          </w:p>
          <w:p>
            <w:pPr>
              <w:pStyle w:val="12"/>
              <w:snapToGrid w:val="0"/>
              <w:spacing w:before="0" w:beforeAutospacing="0" w:after="0" w:afterAutospacing="0" w:line="288" w:lineRule="auto"/>
              <w:ind w:left="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（二）未按照要求取得排污许可证或者违反排污许可证的规定排放污染物的。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排污单位</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管理类别★</w:t>
            </w: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简化管理</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重点管理</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重点</w:t>
            </w:r>
            <w:r>
              <w:rPr>
                <w:rFonts w:ascii="Times New Roman" w:hAnsi="Times New Roman" w:eastAsia="仿宋_GB2312" w:cs="Times New Roman"/>
                <w:color w:val="000000"/>
                <w:highlight w:val="none"/>
              </w:rPr>
              <w:t>管理（</w:t>
            </w:r>
            <w:r>
              <w:rPr>
                <w:rFonts w:hint="eastAsia" w:ascii="Times New Roman" w:hAnsi="Times New Roman" w:eastAsia="仿宋_GB2312" w:cs="Times New Roman"/>
                <w:color w:val="000000"/>
                <w:highlight w:val="none"/>
              </w:rPr>
              <w:t>含</w:t>
            </w:r>
            <w:r>
              <w:rPr>
                <w:rFonts w:ascii="Times New Roman" w:hAnsi="Times New Roman" w:eastAsia="仿宋_GB2312" w:cs="Times New Roman"/>
                <w:color w:val="000000"/>
                <w:highlight w:val="none"/>
              </w:rPr>
              <w:t>有毒有害物质的废气）</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废气类别★</w:t>
            </w: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餐饮油烟（经营）</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b/>
                <w:bCs/>
                <w:highlight w:val="none"/>
              </w:rPr>
            </w:pPr>
            <w:r>
              <w:rPr>
                <w:rFonts w:hint="eastAsia" w:ascii="Times New Roman" w:hAnsi="Times New Roman" w:eastAsia="仿宋_GB2312" w:cs="仿宋_GB2312"/>
                <w:highlight w:val="none"/>
              </w:rPr>
              <w:t>农业生产、畜禽养殖</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工地扬尘</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机械、汽车修理</w:t>
            </w:r>
          </w:p>
        </w:tc>
        <w:tc>
          <w:tcPr>
            <w:tcW w:w="2693" w:type="dxa"/>
            <w:vAlign w:val="center"/>
          </w:tcPr>
          <w:p>
            <w:pPr>
              <w:snapToGrid w:val="0"/>
              <w:jc w:val="center"/>
              <w:rPr>
                <w:rFonts w:ascii="Times New Roman" w:hAnsi="Times New Roman" w:eastAsia="仿宋_GB2312" w:cs="Times New Roman"/>
                <w:b/>
                <w:bCs/>
                <w:highlight w:val="none"/>
              </w:rPr>
            </w:pPr>
            <w:r>
              <w:rPr>
                <w:rFonts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b/>
                <w:bCs/>
                <w:highlight w:val="none"/>
              </w:rPr>
            </w:pPr>
            <w:r>
              <w:rPr>
                <w:rFonts w:hint="eastAsia" w:ascii="Times New Roman" w:hAnsi="Times New Roman" w:eastAsia="仿宋_GB2312" w:cs="仿宋_GB2312"/>
                <w:highlight w:val="none"/>
              </w:rPr>
              <w:t>一般工业废气</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含恶臭污染物的废气</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医疗</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实验室</w:t>
            </w:r>
          </w:p>
        </w:tc>
        <w:tc>
          <w:tcPr>
            <w:tcW w:w="2693" w:type="dxa"/>
            <w:vAlign w:val="center"/>
          </w:tcPr>
          <w:p>
            <w:pPr>
              <w:snapToGrid w:val="0"/>
              <w:jc w:val="center"/>
              <w:rPr>
                <w:rFonts w:ascii="Times New Roman" w:hAnsi="Times New Roman" w:eastAsia="仿宋_GB2312" w:cs="Times New Roman"/>
                <w:b/>
                <w:bCs/>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b/>
                <w:bCs/>
                <w:highlight w:val="none"/>
              </w:rPr>
            </w:pPr>
            <w:r>
              <w:rPr>
                <w:rFonts w:hint="eastAsia" w:ascii="Times New Roman" w:hAnsi="Times New Roman" w:eastAsia="仿宋_GB2312" w:cs="仿宋_GB2312"/>
                <w:highlight w:val="none"/>
              </w:rPr>
              <w:t>火电、钢铁、石化、水泥、炼焦、有色、化工废气、烟尘</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燃煤锅炉废气、烟尘</w:t>
            </w:r>
          </w:p>
        </w:tc>
        <w:tc>
          <w:tcPr>
            <w:tcW w:w="2693" w:type="dxa"/>
            <w:vAlign w:val="center"/>
          </w:tcPr>
          <w:p>
            <w:pPr>
              <w:snapToGrid w:val="0"/>
              <w:jc w:val="center"/>
              <w:rPr>
                <w:rFonts w:ascii="Times New Roman" w:hAnsi="Times New Roman" w:eastAsia="仿宋_GB2312" w:cs="Times New Roman"/>
                <w:b/>
                <w:bCs/>
                <w:highlight w:val="none"/>
              </w:rPr>
            </w:pPr>
            <w:r>
              <w:rPr>
                <w:rFonts w:ascii="Times New Roman" w:hAnsi="Times New Roman" w:eastAsia="仿宋_GB2312"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b/>
                <w:bCs/>
                <w:highlight w:val="none"/>
              </w:rPr>
            </w:pPr>
            <w:r>
              <w:rPr>
                <w:rFonts w:hint="eastAsia" w:ascii="Times New Roman" w:hAnsi="Times New Roman" w:eastAsia="仿宋_GB2312" w:cs="仿宋_GB2312"/>
                <w:highlight w:val="none"/>
              </w:rPr>
              <w:t>含有毒有害物质的废气</w:t>
            </w:r>
          </w:p>
        </w:tc>
        <w:tc>
          <w:tcPr>
            <w:tcW w:w="2693" w:type="dxa"/>
            <w:vAlign w:val="center"/>
          </w:tcPr>
          <w:p>
            <w:pPr>
              <w:snapToGrid w:val="0"/>
              <w:jc w:val="center"/>
              <w:rPr>
                <w:rFonts w:ascii="Times New Roman" w:hAnsi="Times New Roman" w:eastAsia="仿宋_GB2312" w:cs="Times New Roman"/>
                <w:b/>
                <w:bCs/>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项目建设</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地点</w:t>
            </w: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highlight w:val="none"/>
              </w:rPr>
              <w:t>二类功能区（工业区和农村地区）</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二类功能区（居民区、商业交通居民混合区、文化区）</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一类功能区</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违法持续</w:t>
            </w:r>
          </w:p>
          <w:p>
            <w:pPr>
              <w:snapToGrid w:val="0"/>
              <w:jc w:val="center"/>
              <w:rPr>
                <w:rFonts w:ascii="Times New Roman" w:hAnsi="Times New Roman" w:cs="Times New Roman"/>
                <w:b/>
                <w:bCs/>
                <w:highlight w:val="none"/>
              </w:rPr>
            </w:pPr>
            <w:r>
              <w:rPr>
                <w:rFonts w:hint="eastAsia" w:ascii="Times New Roman" w:hAnsi="Times New Roman" w:cs="宋体"/>
                <w:b/>
                <w:bCs/>
                <w:color w:val="000000"/>
                <w:highlight w:val="none"/>
              </w:rPr>
              <w:t>时间</w:t>
            </w: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1个月</w:t>
            </w:r>
            <w:r>
              <w:rPr>
                <w:rFonts w:ascii="Times New Roman" w:hAnsi="Times New Roman" w:eastAsia="仿宋_GB2312" w:cs="仿宋_GB2312"/>
                <w:color w:val="000000"/>
                <w:highlight w:val="none"/>
              </w:rPr>
              <w:t>以内</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r>
              <w:rPr>
                <w:rFonts w:hint="eastAsia" w:ascii="Times New Roman" w:hAnsi="Times New Roman" w:eastAsia="仿宋_GB2312" w:cs="Times New Roman"/>
                <w:color w:val="000000"/>
                <w:highlight w:val="none"/>
              </w:rPr>
              <w:t>个月</w:t>
            </w:r>
            <w:r>
              <w:rPr>
                <w:rFonts w:hint="eastAsia" w:ascii="Times New Roman" w:hAnsi="Times New Roman" w:eastAsia="仿宋_GB2312" w:cs="仿宋_GB2312"/>
                <w:color w:val="000000"/>
                <w:highlight w:val="none"/>
              </w:rPr>
              <w:t>以上不足</w:t>
            </w:r>
            <w:r>
              <w:rPr>
                <w:rFonts w:ascii="Times New Roman" w:hAnsi="Times New Roman" w:eastAsia="仿宋_GB2312" w:cs="Times New Roman"/>
                <w:color w:val="000000"/>
                <w:highlight w:val="none"/>
              </w:rPr>
              <w:t>3</w:t>
            </w:r>
            <w:r>
              <w:rPr>
                <w:rFonts w:hint="eastAsia" w:ascii="Times New Roman" w:hAnsi="Times New Roman" w:eastAsia="仿宋_GB2312" w:cs="Times New Roman"/>
                <w:color w:val="000000"/>
                <w:highlight w:val="none"/>
              </w:rPr>
              <w:t>个月</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Times New Roman"/>
                <w:color w:val="000000"/>
                <w:highlight w:val="none"/>
              </w:rPr>
              <w:t>个月</w:t>
            </w:r>
            <w:r>
              <w:rPr>
                <w:rFonts w:hint="eastAsia" w:ascii="Times New Roman" w:hAnsi="Times New Roman" w:eastAsia="仿宋_GB2312" w:cs="仿宋_GB2312"/>
                <w:color w:val="000000"/>
                <w:highlight w:val="none"/>
              </w:rPr>
              <w:t>以上不足</w:t>
            </w:r>
            <w:r>
              <w:rPr>
                <w:rFonts w:ascii="Times New Roman" w:hAnsi="Times New Roman" w:eastAsia="仿宋_GB2312" w:cs="Times New Roman"/>
                <w:color w:val="000000"/>
                <w:highlight w:val="none"/>
              </w:rPr>
              <w:t>6</w:t>
            </w:r>
            <w:r>
              <w:rPr>
                <w:rFonts w:hint="eastAsia" w:ascii="Times New Roman" w:hAnsi="Times New Roman" w:eastAsia="仿宋_GB2312" w:cs="Times New Roman"/>
                <w:color w:val="000000"/>
                <w:highlight w:val="none"/>
              </w:rPr>
              <w:t>个月</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b/>
                <w:bCs/>
                <w:color w:val="000000"/>
                <w:highlight w:val="none"/>
              </w:rPr>
            </w:pPr>
            <w:r>
              <w:rPr>
                <w:rFonts w:ascii="Times New Roman" w:hAnsi="Times New Roman" w:eastAsia="仿宋_GB2312" w:cs="Times New Roman"/>
                <w:color w:val="000000"/>
                <w:highlight w:val="none"/>
              </w:rPr>
              <w:t>6</w:t>
            </w:r>
            <w:r>
              <w:rPr>
                <w:rFonts w:hint="eastAsia" w:ascii="Times New Roman" w:hAnsi="Times New Roman" w:eastAsia="仿宋_GB2312" w:cs="Times New Roman"/>
                <w:color w:val="000000"/>
                <w:highlight w:val="none"/>
              </w:rPr>
              <w:t>个月</w:t>
            </w:r>
            <w:r>
              <w:rPr>
                <w:rFonts w:hint="eastAsia" w:ascii="Times New Roman" w:hAnsi="Times New Roman" w:eastAsia="仿宋_GB2312" w:cs="仿宋_GB2312"/>
                <w:color w:val="000000"/>
                <w:highlight w:val="none"/>
              </w:rPr>
              <w:t>以上不足</w:t>
            </w:r>
            <w:r>
              <w:rPr>
                <w:rFonts w:ascii="Times New Roman" w:hAnsi="Times New Roman" w:eastAsia="仿宋_GB2312" w:cs="Times New Roman"/>
                <w:color w:val="000000"/>
                <w:highlight w:val="none"/>
              </w:rPr>
              <w:t>12</w:t>
            </w:r>
            <w:r>
              <w:rPr>
                <w:rFonts w:hint="eastAsia" w:ascii="Times New Roman" w:hAnsi="Times New Roman" w:eastAsia="仿宋_GB2312" w:cs="仿宋_GB2312"/>
                <w:color w:val="000000"/>
                <w:highlight w:val="none"/>
              </w:rPr>
              <w:t>个月</w:t>
            </w:r>
          </w:p>
        </w:tc>
        <w:tc>
          <w:tcPr>
            <w:tcW w:w="2693" w:type="dxa"/>
            <w:vAlign w:val="center"/>
          </w:tcPr>
          <w:p>
            <w:pPr>
              <w:snapToGrid w:val="0"/>
              <w:jc w:val="center"/>
              <w:rPr>
                <w:rFonts w:ascii="Times New Roman" w:hAnsi="Times New Roman" w:eastAsia="仿宋_GB2312" w:cs="Times New Roman"/>
                <w:b/>
                <w:bCs/>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b/>
                <w:bCs/>
                <w:color w:val="000000"/>
                <w:highlight w:val="none"/>
              </w:rPr>
            </w:pPr>
            <w:r>
              <w:rPr>
                <w:rFonts w:ascii="Times New Roman" w:hAnsi="Times New Roman" w:eastAsia="仿宋_GB2312" w:cs="Times New Roman"/>
                <w:color w:val="000000"/>
                <w:highlight w:val="none"/>
              </w:rPr>
              <w:t>12</w:t>
            </w:r>
            <w:r>
              <w:rPr>
                <w:rFonts w:hint="eastAsia" w:ascii="Times New Roman" w:hAnsi="Times New Roman" w:eastAsia="仿宋_GB2312" w:cs="仿宋_GB2312"/>
                <w:color w:val="000000"/>
                <w:highlight w:val="none"/>
              </w:rPr>
              <w:t>个月以上</w:t>
            </w:r>
          </w:p>
        </w:tc>
        <w:tc>
          <w:tcPr>
            <w:tcW w:w="2693" w:type="dxa"/>
            <w:vAlign w:val="center"/>
          </w:tcPr>
          <w:p>
            <w:pPr>
              <w:snapToGrid w:val="0"/>
              <w:jc w:val="center"/>
              <w:rPr>
                <w:rFonts w:ascii="Times New Roman" w:hAnsi="Times New Roman" w:eastAsia="仿宋_GB2312" w:cs="Times New Roman"/>
                <w:b/>
                <w:bCs/>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firstLineChars="200"/>
              <w:jc w:val="left"/>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根据《排污许可管理条例》，应</w:t>
            </w:r>
            <w:r>
              <w:rPr>
                <w:rFonts w:ascii="Times New Roman" w:hAnsi="Times New Roman" w:eastAsia="仿宋_GB2312" w:cs="Times New Roman"/>
                <w:color w:val="000000"/>
                <w:highlight w:val="none"/>
              </w:rPr>
              <w:t>纳入排污许可证管理的排污单位</w:t>
            </w:r>
            <w:r>
              <w:rPr>
                <w:rFonts w:hint="eastAsia" w:ascii="Times New Roman" w:hAnsi="Times New Roman" w:eastAsia="仿宋_GB2312" w:cs="Times New Roman"/>
                <w:color w:val="000000"/>
                <w:highlight w:val="none"/>
              </w:rPr>
              <w:t>N值（法定罚款金额下限）取20万元。</w:t>
            </w:r>
          </w:p>
        </w:tc>
      </w:tr>
    </w:tbl>
    <w:p>
      <w:pPr>
        <w:widowControl/>
        <w:snapToGrid w:val="0"/>
        <w:jc w:val="left"/>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07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5039"/>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72" w:type="dxa"/>
            <w:gridSpan w:val="3"/>
          </w:tcPr>
          <w:p>
            <w:pPr>
              <w:snapToGrid w:val="0"/>
              <w:jc w:val="center"/>
              <w:rPr>
                <w:rFonts w:ascii="Times New Roman" w:hAnsi="Times New Roman" w:cs="Times New Roman"/>
                <w:highlight w:val="none"/>
              </w:rPr>
            </w:pPr>
            <w:bookmarkStart w:id="33" w:name="OLE_LINK10"/>
            <w:bookmarkStart w:id="34" w:name="OLE_LINK12"/>
            <w:bookmarkStart w:id="35" w:name="OLE_LINK8"/>
            <w:bookmarkStart w:id="36" w:name="OLE_LINK9"/>
            <w:bookmarkStart w:id="37" w:name="OLE_LINK11"/>
            <w:r>
              <w:rPr>
                <w:rFonts w:hint="eastAsia" w:ascii="Times New Roman" w:hAnsi="Times New Roman" w:eastAsia="仿宋_GB2312" w:cs="仿宋_GB2312"/>
                <w:b/>
                <w:bCs/>
                <w:sz w:val="32"/>
                <w:szCs w:val="32"/>
                <w:highlight w:val="none"/>
              </w:rPr>
              <w:t>（二）大气污染防治类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68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688"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超过大气污染物排放标准排放大气污染物的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688" w:type="dxa"/>
            <w:gridSpan w:val="2"/>
          </w:tcPr>
          <w:p>
            <w:pPr>
              <w:pStyle w:val="11"/>
              <w:snapToGrid w:val="0"/>
              <w:spacing w:before="93" w:beforeLines="30" w:line="288" w:lineRule="auto"/>
              <w:ind w:firstLine="422" w:firstLineChars="200"/>
              <w:rPr>
                <w:rFonts w:ascii="Times New Roman" w:hAnsi="Times New Roman" w:eastAsia="仿宋_GB2312" w:cs="Times New Roman"/>
                <w:sz w:val="21"/>
                <w:szCs w:val="21"/>
                <w:highlight w:val="none"/>
              </w:rPr>
            </w:pPr>
            <w:r>
              <w:rPr>
                <w:rFonts w:ascii="Times New Roman" w:hAnsi="Times New Roman" w:eastAsia="仿宋_GB2312" w:cs="Times New Roman"/>
                <w:b/>
                <w:bCs/>
                <w:sz w:val="21"/>
                <w:szCs w:val="21"/>
                <w:highlight w:val="none"/>
              </w:rPr>
              <w:t>1.</w:t>
            </w:r>
            <w:r>
              <w:rPr>
                <w:rFonts w:hint="eastAsia" w:ascii="Times New Roman" w:hAnsi="Times New Roman" w:eastAsia="仿宋_GB2312" w:cs="仿宋_GB2312"/>
                <w:b/>
                <w:bCs/>
                <w:sz w:val="21"/>
                <w:szCs w:val="21"/>
                <w:highlight w:val="none"/>
              </w:rPr>
              <w:t>《中华人民共和国大气污染防治法》第十八条</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企业事业单位和其他生产经营者建设对大气环境有影响的项目，应当依法进行环境影响评价、公开环境影响评价文件；向大气排放污染物的，应当符合大气污染物排放标准，遵守重点大气污染物排放总量控制要求。</w:t>
            </w:r>
          </w:p>
          <w:p>
            <w:pPr>
              <w:pStyle w:val="11"/>
              <w:snapToGrid w:val="0"/>
              <w:spacing w:line="288" w:lineRule="auto"/>
              <w:ind w:firstLine="422" w:firstLineChars="200"/>
              <w:rPr>
                <w:rFonts w:ascii="Times New Roman" w:hAnsi="Times New Roman" w:eastAsia="仿宋_GB2312" w:cs="Times New Roman"/>
                <w:sz w:val="21"/>
                <w:szCs w:val="21"/>
                <w:highlight w:val="none"/>
              </w:rPr>
            </w:pPr>
            <w:r>
              <w:rPr>
                <w:rFonts w:ascii="Times New Roman" w:hAnsi="Times New Roman" w:eastAsia="仿宋_GB2312" w:cs="Times New Roman"/>
                <w:b/>
                <w:bCs/>
                <w:sz w:val="21"/>
                <w:szCs w:val="21"/>
                <w:highlight w:val="none"/>
              </w:rPr>
              <w:t>2.</w:t>
            </w:r>
            <w:r>
              <w:rPr>
                <w:rFonts w:hint="eastAsia" w:ascii="Times New Roman" w:hAnsi="Times New Roman" w:eastAsia="仿宋_GB2312" w:cs="仿宋_GB2312"/>
                <w:b/>
                <w:bCs/>
                <w:sz w:val="21"/>
                <w:szCs w:val="21"/>
                <w:highlight w:val="none"/>
              </w:rPr>
              <w:t>《山东省大气污染防治条例》第十一条</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企业事业单位和其他生产经营者排放的大气污染物，不得超过国家和省规定的排放标准，不得超过核定的重点大气污染物排放总量控制指标。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688" w:type="dxa"/>
            <w:gridSpan w:val="2"/>
          </w:tcPr>
          <w:p>
            <w:pPr>
              <w:pStyle w:val="12"/>
              <w:snapToGrid w:val="0"/>
              <w:spacing w:before="93" w:beforeLines="30" w:beforeAutospacing="0" w:after="0" w:afterAutospacing="0" w:line="288" w:lineRule="auto"/>
              <w:ind w:firstLine="422" w:firstLineChars="200"/>
              <w:rPr>
                <w:rFonts w:ascii="Times New Roman" w:hAnsi="Times New Roman" w:eastAsia="仿宋_GB2312" w:cs="Times New Roman"/>
                <w:sz w:val="21"/>
                <w:szCs w:val="21"/>
                <w:highlight w:val="none"/>
              </w:rPr>
            </w:pPr>
            <w:r>
              <w:rPr>
                <w:rFonts w:ascii="Times New Roman" w:hAnsi="Times New Roman" w:eastAsia="仿宋_GB2312" w:cs="Times New Roman"/>
                <w:b/>
                <w:bCs/>
                <w:sz w:val="21"/>
                <w:szCs w:val="21"/>
                <w:highlight w:val="none"/>
              </w:rPr>
              <w:t>1.</w:t>
            </w:r>
            <w:r>
              <w:rPr>
                <w:rFonts w:hint="eastAsia" w:ascii="Times New Roman" w:hAnsi="Times New Roman" w:eastAsia="仿宋_GB2312" w:cs="仿宋_GB2312"/>
                <w:b/>
                <w:bCs/>
                <w:sz w:val="21"/>
                <w:szCs w:val="21"/>
                <w:highlight w:val="none"/>
              </w:rPr>
              <w:t>《中华人民共和国大气污染防治法》第九十九条第（二）项</w:t>
            </w:r>
            <w:bookmarkStart w:id="38" w:name="OLE_LINK6"/>
            <w:bookmarkStart w:id="39" w:name="OLE_LINK7"/>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违反本法规定，有下列行为之一的，由县级以上人民政府生态环境主管部门责令改正或者限制生产、停产整治，并处十万元以上一百万元以下的罚款；情节严重的，报经有批准权的人民政府批准，责令停业、关闭：</w:t>
            </w:r>
          </w:p>
          <w:p>
            <w:pPr>
              <w:pStyle w:val="12"/>
              <w:snapToGrid w:val="0"/>
              <w:spacing w:before="0" w:beforeAutospacing="0" w:after="0" w:afterAutospacing="0" w:line="288" w:lineRule="auto"/>
              <w:ind w:firstLine="420" w:firstLineChars="20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（二）超过大气污染物排放标准或者超过重点大气污染物排放总量控制指标排放大气污染物的</w:t>
            </w:r>
            <w:bookmarkEnd w:id="38"/>
            <w:bookmarkEnd w:id="39"/>
            <w:r>
              <w:rPr>
                <w:rFonts w:hint="eastAsia" w:ascii="Times New Roman" w:hAnsi="Times New Roman" w:eastAsia="仿宋_GB2312" w:cs="仿宋_GB2312"/>
                <w:sz w:val="21"/>
                <w:szCs w:val="21"/>
                <w:highlight w:val="none"/>
              </w:rPr>
              <w:t>。</w:t>
            </w:r>
          </w:p>
          <w:p>
            <w:pPr>
              <w:pStyle w:val="12"/>
              <w:snapToGrid w:val="0"/>
              <w:spacing w:before="0" w:beforeAutospacing="0" w:after="0" w:afterAutospacing="0" w:line="288" w:lineRule="auto"/>
              <w:ind w:firstLine="422" w:firstLineChars="200"/>
              <w:rPr>
                <w:rFonts w:ascii="Times New Roman" w:hAnsi="Times New Roman" w:eastAsia="仿宋_GB2312" w:cs="Times New Roman"/>
                <w:sz w:val="21"/>
                <w:szCs w:val="21"/>
                <w:highlight w:val="none"/>
              </w:rPr>
            </w:pPr>
            <w:r>
              <w:rPr>
                <w:rFonts w:ascii="Times New Roman" w:hAnsi="Times New Roman" w:eastAsia="仿宋_GB2312" w:cs="Times New Roman"/>
                <w:b/>
                <w:bCs/>
                <w:sz w:val="21"/>
                <w:szCs w:val="21"/>
                <w:highlight w:val="none"/>
              </w:rPr>
              <w:t>2.</w:t>
            </w:r>
            <w:r>
              <w:rPr>
                <w:rFonts w:hint="eastAsia" w:ascii="Times New Roman" w:hAnsi="Times New Roman" w:eastAsia="仿宋_GB2312" w:cs="仿宋_GB2312"/>
                <w:b/>
                <w:bCs/>
                <w:sz w:val="21"/>
                <w:szCs w:val="21"/>
                <w:highlight w:val="none"/>
              </w:rPr>
              <w:t>《山东省大气污染防治条例》第六十七条</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违反本条例规定，超过大气污染物排放标准或者超过重点大气污染物排放总量控制指标排放大气污染物的，由县级以上人民政府生态环境主管部门责令改正或者限制生产、停产整治，并处十万元以上一百万元以下的罚款；拒不改正的，依法作出处罚决定的生态环境主管部门可以自责令改正之日的次日起，按照原处罚数额按日连续处罚；情节严重的，报经有批准权的人民政府批准，责令停业、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03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4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超标排放</w:t>
            </w:r>
          </w:p>
          <w:p>
            <w:pPr>
              <w:snapToGrid w:val="0"/>
              <w:jc w:val="center"/>
              <w:rPr>
                <w:rFonts w:ascii="Times New Roman" w:hAnsi="Times New Roman" w:cs="宋体"/>
                <w:b/>
                <w:bCs/>
                <w:color w:val="000000"/>
                <w:highlight w:val="none"/>
              </w:rPr>
            </w:pPr>
            <w:r>
              <w:rPr>
                <w:rFonts w:hint="eastAsia" w:ascii="Times New Roman" w:hAnsi="Times New Roman" w:cs="宋体"/>
                <w:b/>
                <w:bCs/>
                <w:color w:val="000000"/>
                <w:highlight w:val="none"/>
              </w:rPr>
              <w:t>情况★</w:t>
            </w:r>
          </w:p>
        </w:tc>
        <w:tc>
          <w:tcPr>
            <w:tcW w:w="5039" w:type="dxa"/>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超标</w:t>
            </w:r>
            <w:r>
              <w:rPr>
                <w:rFonts w:ascii="Times New Roman" w:hAnsi="Times New Roman" w:eastAsia="仿宋_GB2312" w:cs="Times New Roman"/>
                <w:highlight w:val="none"/>
              </w:rPr>
              <w:t>0.5</w:t>
            </w:r>
            <w:r>
              <w:rPr>
                <w:rFonts w:hint="eastAsia" w:ascii="Times New Roman" w:hAnsi="Times New Roman" w:eastAsia="仿宋_GB2312" w:cs="仿宋_GB2312"/>
                <w:highlight w:val="none"/>
              </w:rPr>
              <w:t>倍以下</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林格曼黑度</w:t>
            </w:r>
            <w:r>
              <w:rPr>
                <w:rFonts w:ascii="Times New Roman" w:hAnsi="Times New Roman" w:eastAsia="仿宋_GB2312" w:cs="Times New Roman"/>
                <w:highlight w:val="none"/>
              </w:rPr>
              <w:t>1</w:t>
            </w:r>
            <w:r>
              <w:rPr>
                <w:rFonts w:hint="eastAsia" w:ascii="Times New Roman" w:hAnsi="Times New Roman" w:eastAsia="仿宋_GB2312" w:cs="仿宋_GB2312"/>
                <w:highlight w:val="none"/>
              </w:rPr>
              <w:t>级</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Merge w:val="continue"/>
            <w:vAlign w:val="center"/>
          </w:tcPr>
          <w:p>
            <w:pPr>
              <w:snapToGrid w:val="0"/>
              <w:jc w:val="center"/>
              <w:rPr>
                <w:rFonts w:ascii="Times New Roman" w:hAnsi="Times New Roman" w:cs="宋体"/>
                <w:b/>
                <w:bCs/>
                <w:color w:val="000000"/>
                <w:highlight w:val="none"/>
              </w:rPr>
            </w:pPr>
          </w:p>
        </w:tc>
        <w:tc>
          <w:tcPr>
            <w:tcW w:w="5039" w:type="dxa"/>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超标</w:t>
            </w:r>
            <w:r>
              <w:rPr>
                <w:rFonts w:ascii="Times New Roman" w:hAnsi="Times New Roman" w:eastAsia="仿宋_GB2312" w:cs="Times New Roman"/>
                <w:highlight w:val="none"/>
              </w:rPr>
              <w:t>0.5</w:t>
            </w:r>
            <w:r>
              <w:rPr>
                <w:rFonts w:hint="eastAsia" w:ascii="Times New Roman" w:hAnsi="Times New Roman" w:eastAsia="仿宋_GB2312" w:cs="仿宋_GB2312"/>
                <w:highlight w:val="none"/>
              </w:rPr>
              <w:t>倍以上</w:t>
            </w:r>
            <w:r>
              <w:rPr>
                <w:rFonts w:ascii="Times New Roman" w:hAnsi="Times New Roman" w:eastAsia="仿宋_GB2312" w:cs="Times New Roman"/>
                <w:highlight w:val="none"/>
              </w:rPr>
              <w:t>1</w:t>
            </w:r>
            <w:r>
              <w:rPr>
                <w:rFonts w:hint="eastAsia" w:ascii="Times New Roman" w:hAnsi="Times New Roman" w:eastAsia="仿宋_GB2312" w:cs="仿宋_GB2312"/>
                <w:highlight w:val="none"/>
              </w:rPr>
              <w:t>倍以下</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林格曼黑度</w:t>
            </w:r>
            <w:r>
              <w:rPr>
                <w:rFonts w:ascii="Times New Roman" w:hAnsi="Times New Roman" w:eastAsia="仿宋_GB2312" w:cs="Times New Roman"/>
                <w:highlight w:val="none"/>
              </w:rPr>
              <w:t>2</w:t>
            </w:r>
            <w:r>
              <w:rPr>
                <w:rFonts w:hint="eastAsia" w:ascii="Times New Roman" w:hAnsi="Times New Roman" w:eastAsia="仿宋_GB2312" w:cs="仿宋_GB2312"/>
                <w:highlight w:val="none"/>
              </w:rPr>
              <w:t>级</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Merge w:val="continue"/>
            <w:vAlign w:val="center"/>
          </w:tcPr>
          <w:p>
            <w:pPr>
              <w:snapToGrid w:val="0"/>
              <w:jc w:val="center"/>
              <w:rPr>
                <w:rFonts w:ascii="Times New Roman" w:hAnsi="Times New Roman" w:cs="宋体"/>
                <w:b/>
                <w:bCs/>
                <w:color w:val="000000"/>
                <w:highlight w:val="none"/>
              </w:rPr>
            </w:pPr>
          </w:p>
        </w:tc>
        <w:tc>
          <w:tcPr>
            <w:tcW w:w="5039" w:type="dxa"/>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超标</w:t>
            </w:r>
            <w:r>
              <w:rPr>
                <w:rFonts w:ascii="Times New Roman" w:hAnsi="Times New Roman" w:eastAsia="仿宋_GB2312" w:cs="Times New Roman"/>
                <w:highlight w:val="none"/>
              </w:rPr>
              <w:t>1</w:t>
            </w:r>
            <w:r>
              <w:rPr>
                <w:rFonts w:hint="eastAsia" w:ascii="Times New Roman" w:hAnsi="Times New Roman" w:eastAsia="仿宋_GB2312" w:cs="仿宋_GB2312"/>
                <w:highlight w:val="none"/>
              </w:rPr>
              <w:t>倍以上</w:t>
            </w:r>
            <w:r>
              <w:rPr>
                <w:rFonts w:ascii="Times New Roman" w:hAnsi="Times New Roman" w:eastAsia="仿宋_GB2312" w:cs="Times New Roman"/>
                <w:highlight w:val="none"/>
              </w:rPr>
              <w:t>3</w:t>
            </w:r>
            <w:r>
              <w:rPr>
                <w:rFonts w:hint="eastAsia" w:ascii="Times New Roman" w:hAnsi="Times New Roman" w:eastAsia="仿宋_GB2312" w:cs="仿宋_GB2312"/>
                <w:highlight w:val="none"/>
              </w:rPr>
              <w:t>倍以下</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林格曼黑度</w:t>
            </w:r>
            <w:r>
              <w:rPr>
                <w:rFonts w:ascii="Times New Roman" w:hAnsi="Times New Roman" w:eastAsia="仿宋_GB2312" w:cs="Times New Roman"/>
                <w:highlight w:val="none"/>
              </w:rPr>
              <w:t>3</w:t>
            </w:r>
            <w:r>
              <w:rPr>
                <w:rFonts w:hint="eastAsia" w:ascii="Times New Roman" w:hAnsi="Times New Roman" w:eastAsia="仿宋_GB2312" w:cs="仿宋_GB2312"/>
                <w:highlight w:val="none"/>
              </w:rPr>
              <w:t>级</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Merge w:val="continue"/>
            <w:vAlign w:val="center"/>
          </w:tcPr>
          <w:p>
            <w:pPr>
              <w:snapToGrid w:val="0"/>
              <w:jc w:val="center"/>
              <w:rPr>
                <w:rFonts w:ascii="Times New Roman" w:hAnsi="Times New Roman" w:cs="宋体"/>
                <w:b/>
                <w:bCs/>
                <w:color w:val="000000"/>
                <w:highlight w:val="none"/>
              </w:rPr>
            </w:pPr>
          </w:p>
        </w:tc>
        <w:tc>
          <w:tcPr>
            <w:tcW w:w="5039" w:type="dxa"/>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超标</w:t>
            </w:r>
            <w:r>
              <w:rPr>
                <w:rFonts w:ascii="Times New Roman" w:hAnsi="Times New Roman" w:eastAsia="仿宋_GB2312" w:cs="Times New Roman"/>
                <w:highlight w:val="none"/>
              </w:rPr>
              <w:t>3</w:t>
            </w:r>
            <w:r>
              <w:rPr>
                <w:rFonts w:hint="eastAsia" w:ascii="Times New Roman" w:hAnsi="Times New Roman" w:eastAsia="仿宋_GB2312" w:cs="仿宋_GB2312"/>
                <w:highlight w:val="none"/>
              </w:rPr>
              <w:t>倍以上</w:t>
            </w:r>
            <w:r>
              <w:rPr>
                <w:rFonts w:ascii="Times New Roman" w:hAnsi="Times New Roman" w:eastAsia="仿宋_GB2312" w:cs="Times New Roman"/>
                <w:highlight w:val="none"/>
              </w:rPr>
              <w:t>5</w:t>
            </w:r>
            <w:r>
              <w:rPr>
                <w:rFonts w:hint="eastAsia" w:ascii="Times New Roman" w:hAnsi="Times New Roman" w:eastAsia="仿宋_GB2312" w:cs="仿宋_GB2312"/>
                <w:highlight w:val="none"/>
              </w:rPr>
              <w:t>倍以下</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林格曼黑度</w:t>
            </w:r>
            <w:r>
              <w:rPr>
                <w:rFonts w:ascii="Times New Roman" w:hAnsi="Times New Roman" w:eastAsia="仿宋_GB2312" w:cs="Times New Roman"/>
                <w:highlight w:val="none"/>
              </w:rPr>
              <w:t>4</w:t>
            </w:r>
            <w:r>
              <w:rPr>
                <w:rFonts w:hint="eastAsia" w:ascii="Times New Roman" w:hAnsi="Times New Roman" w:eastAsia="仿宋_GB2312" w:cs="仿宋_GB2312"/>
                <w:highlight w:val="none"/>
              </w:rPr>
              <w:t>级</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Merge w:val="continue"/>
            <w:vAlign w:val="center"/>
          </w:tcPr>
          <w:p>
            <w:pPr>
              <w:snapToGrid w:val="0"/>
              <w:jc w:val="center"/>
              <w:rPr>
                <w:rFonts w:ascii="Times New Roman" w:hAnsi="Times New Roman" w:cs="宋体"/>
                <w:b/>
                <w:bCs/>
                <w:color w:val="000000"/>
                <w:highlight w:val="none"/>
              </w:rPr>
            </w:pPr>
          </w:p>
        </w:tc>
        <w:tc>
          <w:tcPr>
            <w:tcW w:w="5039" w:type="dxa"/>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超标</w:t>
            </w:r>
            <w:r>
              <w:rPr>
                <w:rFonts w:ascii="Times New Roman" w:hAnsi="Times New Roman" w:eastAsia="仿宋_GB2312" w:cs="Times New Roman"/>
                <w:highlight w:val="none"/>
              </w:rPr>
              <w:t>5</w:t>
            </w:r>
            <w:r>
              <w:rPr>
                <w:rFonts w:hint="eastAsia" w:ascii="Times New Roman" w:hAnsi="Times New Roman" w:eastAsia="仿宋_GB2312" w:cs="仿宋_GB2312"/>
                <w:highlight w:val="none"/>
              </w:rPr>
              <w:t>倍以上</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林格曼黑度</w:t>
            </w:r>
            <w:r>
              <w:rPr>
                <w:rFonts w:ascii="Times New Roman" w:hAnsi="Times New Roman" w:eastAsia="仿宋_GB2312" w:cs="Times New Roman"/>
                <w:highlight w:val="none"/>
              </w:rPr>
              <w:t>5</w:t>
            </w:r>
            <w:r>
              <w:rPr>
                <w:rFonts w:hint="eastAsia" w:ascii="Times New Roman" w:hAnsi="Times New Roman" w:eastAsia="仿宋_GB2312" w:cs="仿宋_GB2312"/>
                <w:highlight w:val="none"/>
              </w:rPr>
              <w:t>级</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Merge w:val="restart"/>
            <w:vAlign w:val="center"/>
          </w:tcPr>
          <w:p>
            <w:pPr>
              <w:widowControl/>
              <w:jc w:val="center"/>
              <w:textAlignment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小时烟气</w:t>
            </w:r>
          </w:p>
          <w:p>
            <w:pPr>
              <w:snapToGrid w:val="0"/>
              <w:jc w:val="center"/>
              <w:rPr>
                <w:rFonts w:ascii="Times New Roman" w:hAnsi="Times New Roman" w:cs="宋体"/>
                <w:b/>
                <w:bCs/>
                <w:color w:val="000000"/>
                <w:highlight w:val="none"/>
              </w:rPr>
            </w:pPr>
            <w:r>
              <w:rPr>
                <w:rFonts w:hint="eastAsia" w:ascii="Times New Roman" w:hAnsi="Times New Roman" w:cs="宋体"/>
                <w:b/>
                <w:bCs/>
                <w:color w:val="000000"/>
                <w:highlight w:val="none"/>
              </w:rPr>
              <w:t>流量★</w:t>
            </w:r>
          </w:p>
        </w:tc>
        <w:tc>
          <w:tcPr>
            <w:tcW w:w="5039" w:type="dxa"/>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1000</w:t>
            </w:r>
            <w:r>
              <w:rPr>
                <w:rFonts w:hint="eastAsia" w:ascii="Times New Roman" w:hAnsi="Times New Roman" w:eastAsia="仿宋_GB2312" w:cs="仿宋_GB2312"/>
                <w:color w:val="000000"/>
                <w:highlight w:val="none"/>
              </w:rPr>
              <w:t>标立方米</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kern w:val="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Merge w:val="continue"/>
            <w:vAlign w:val="center"/>
          </w:tcPr>
          <w:p>
            <w:pPr>
              <w:snapToGrid w:val="0"/>
              <w:jc w:val="center"/>
              <w:rPr>
                <w:rFonts w:ascii="Times New Roman" w:hAnsi="Times New Roman" w:cs="宋体"/>
                <w:b/>
                <w:bCs/>
                <w:highlight w:val="none"/>
              </w:rPr>
            </w:pPr>
          </w:p>
        </w:tc>
        <w:tc>
          <w:tcPr>
            <w:tcW w:w="5039" w:type="dxa"/>
            <w:vAlign w:val="center"/>
          </w:tcPr>
          <w:p>
            <w:pPr>
              <w:snapToGrid w:val="0"/>
              <w:jc w:val="center"/>
              <w:rPr>
                <w:rFonts w:ascii="Times New Roman" w:hAnsi="Times New Roman" w:eastAsia="仿宋_GB2312" w:cs="仿宋_GB2312"/>
                <w:highlight w:val="none"/>
              </w:rPr>
            </w:pPr>
            <w:r>
              <w:rPr>
                <w:rFonts w:ascii="Times New Roman" w:hAnsi="Times New Roman" w:eastAsia="仿宋_GB2312" w:cs="Times New Roman"/>
                <w:color w:val="000000"/>
                <w:highlight w:val="none"/>
              </w:rPr>
              <w:t>1000</w:t>
            </w:r>
            <w:r>
              <w:rPr>
                <w:rFonts w:hint="eastAsia" w:ascii="Times New Roman" w:hAnsi="Times New Roman" w:eastAsia="仿宋_GB2312" w:cs="仿宋_GB2312"/>
                <w:color w:val="000000"/>
                <w:highlight w:val="none"/>
              </w:rPr>
              <w:t>标立方米以上不足</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万标立方米</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kern w:val="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Merge w:val="continue"/>
            <w:vAlign w:val="center"/>
          </w:tcPr>
          <w:p>
            <w:pPr>
              <w:snapToGrid w:val="0"/>
              <w:jc w:val="center"/>
              <w:rPr>
                <w:rFonts w:ascii="Times New Roman" w:hAnsi="Times New Roman" w:cs="宋体"/>
                <w:b/>
                <w:bCs/>
                <w:highlight w:val="none"/>
              </w:rPr>
            </w:pPr>
          </w:p>
        </w:tc>
        <w:tc>
          <w:tcPr>
            <w:tcW w:w="5039" w:type="dxa"/>
            <w:vAlign w:val="center"/>
          </w:tcPr>
          <w:p>
            <w:pPr>
              <w:snapToGrid w:val="0"/>
              <w:jc w:val="center"/>
              <w:rPr>
                <w:rFonts w:ascii="Times New Roman" w:hAnsi="Times New Roman" w:eastAsia="仿宋_GB2312" w:cs="仿宋_GB2312"/>
                <w:highlight w:val="none"/>
              </w:rPr>
            </w:pP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万标立方米以上不足</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万标立方米</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kern w:val="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Merge w:val="continue"/>
            <w:vAlign w:val="center"/>
          </w:tcPr>
          <w:p>
            <w:pPr>
              <w:snapToGrid w:val="0"/>
              <w:jc w:val="center"/>
              <w:rPr>
                <w:rFonts w:ascii="Times New Roman" w:hAnsi="Times New Roman" w:cs="宋体"/>
                <w:b/>
                <w:bCs/>
                <w:highlight w:val="none"/>
              </w:rPr>
            </w:pPr>
          </w:p>
        </w:tc>
        <w:tc>
          <w:tcPr>
            <w:tcW w:w="503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万标立方米以上不足</w:t>
            </w: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万标立方米</w:t>
            </w:r>
          </w:p>
        </w:tc>
        <w:tc>
          <w:tcPr>
            <w:tcW w:w="2649" w:type="dxa"/>
            <w:vAlign w:val="center"/>
          </w:tcPr>
          <w:p>
            <w:pPr>
              <w:snapToGrid w:val="0"/>
              <w:jc w:val="center"/>
              <w:rPr>
                <w:rFonts w:ascii="Times New Roman" w:hAnsi="Times New Roman" w:cs="Times New Roman"/>
                <w:color w:val="000000"/>
                <w:kern w:val="0"/>
                <w:highlight w:val="none"/>
              </w:rPr>
            </w:pPr>
            <w:r>
              <w:rPr>
                <w:rFonts w:hint="eastAsia" w:ascii="Times New Roman" w:hAnsi="Times New Roman" w:cs="Times New Roman"/>
                <w:color w:val="000000"/>
                <w:kern w:val="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Merge w:val="continue"/>
            <w:vAlign w:val="center"/>
          </w:tcPr>
          <w:p>
            <w:pPr>
              <w:snapToGrid w:val="0"/>
              <w:jc w:val="center"/>
              <w:rPr>
                <w:rFonts w:ascii="Times New Roman" w:hAnsi="Times New Roman" w:cs="宋体"/>
                <w:b/>
                <w:bCs/>
                <w:highlight w:val="none"/>
              </w:rPr>
            </w:pPr>
          </w:p>
        </w:tc>
        <w:tc>
          <w:tcPr>
            <w:tcW w:w="503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20</w:t>
            </w:r>
            <w:r>
              <w:rPr>
                <w:rFonts w:hint="eastAsia" w:ascii="Times New Roman" w:hAnsi="Times New Roman" w:eastAsia="仿宋_GB2312" w:cs="Times New Roman"/>
                <w:color w:val="000000"/>
                <w:highlight w:val="none"/>
              </w:rPr>
              <w:t>万</w:t>
            </w:r>
            <w:r>
              <w:rPr>
                <w:rFonts w:ascii="Times New Roman" w:hAnsi="Times New Roman" w:eastAsia="仿宋_GB2312" w:cs="Times New Roman"/>
                <w:color w:val="000000"/>
                <w:highlight w:val="none"/>
              </w:rPr>
              <w:t>标立方米以上</w:t>
            </w:r>
          </w:p>
        </w:tc>
        <w:tc>
          <w:tcPr>
            <w:tcW w:w="2649" w:type="dxa"/>
            <w:vAlign w:val="center"/>
          </w:tcPr>
          <w:p>
            <w:pPr>
              <w:snapToGrid w:val="0"/>
              <w:jc w:val="center"/>
              <w:rPr>
                <w:rFonts w:ascii="Times New Roman" w:hAnsi="Times New Roman" w:cs="Times New Roman"/>
                <w:color w:val="000000"/>
                <w:kern w:val="0"/>
                <w:highlight w:val="none"/>
              </w:rPr>
            </w:pPr>
            <w:r>
              <w:rPr>
                <w:rFonts w:hint="eastAsia" w:ascii="Times New Roman" w:hAnsi="Times New Roman" w:cs="Times New Roman"/>
                <w:color w:val="000000"/>
                <w:kern w:val="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废气类别</w:t>
            </w:r>
          </w:p>
        </w:tc>
        <w:tc>
          <w:tcPr>
            <w:tcW w:w="503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餐饮油烟（经营）</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Merge w:val="continue"/>
            <w:vAlign w:val="center"/>
          </w:tcPr>
          <w:p>
            <w:pPr>
              <w:snapToGrid w:val="0"/>
              <w:jc w:val="center"/>
              <w:rPr>
                <w:rFonts w:ascii="Times New Roman" w:hAnsi="Times New Roman" w:cs="Times New Roman"/>
                <w:b/>
                <w:bCs/>
                <w:highlight w:val="none"/>
              </w:rPr>
            </w:pPr>
          </w:p>
        </w:tc>
        <w:tc>
          <w:tcPr>
            <w:tcW w:w="503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农业生产、畜禽养殖</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工地扬尘</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机械、汽车修理</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Merge w:val="continue"/>
            <w:vAlign w:val="center"/>
          </w:tcPr>
          <w:p>
            <w:pPr>
              <w:snapToGrid w:val="0"/>
              <w:jc w:val="center"/>
              <w:rPr>
                <w:rFonts w:ascii="Times New Roman" w:hAnsi="Times New Roman" w:cs="Times New Roman"/>
                <w:b/>
                <w:bCs/>
                <w:highlight w:val="none"/>
              </w:rPr>
            </w:pPr>
          </w:p>
        </w:tc>
        <w:tc>
          <w:tcPr>
            <w:tcW w:w="503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一般工业废气</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含恶臭污染物的废气</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医疗</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实验室</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Merge w:val="continue"/>
            <w:vAlign w:val="center"/>
          </w:tcPr>
          <w:p>
            <w:pPr>
              <w:snapToGrid w:val="0"/>
              <w:jc w:val="center"/>
              <w:rPr>
                <w:rFonts w:ascii="Times New Roman" w:hAnsi="Times New Roman" w:cs="Times New Roman"/>
                <w:b/>
                <w:bCs/>
                <w:highlight w:val="none"/>
              </w:rPr>
            </w:pPr>
          </w:p>
        </w:tc>
        <w:tc>
          <w:tcPr>
            <w:tcW w:w="503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火电、钢铁、石化、水泥、炼焦、有色、化工废气、烟尘</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燃煤锅炉废气、烟尘</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Merge w:val="continue"/>
          </w:tcPr>
          <w:p>
            <w:pPr>
              <w:snapToGrid w:val="0"/>
              <w:jc w:val="center"/>
              <w:rPr>
                <w:rFonts w:ascii="Times New Roman" w:hAnsi="Times New Roman" w:cs="Times New Roman"/>
                <w:b/>
                <w:bCs/>
                <w:highlight w:val="none"/>
              </w:rPr>
            </w:pPr>
          </w:p>
        </w:tc>
        <w:tc>
          <w:tcPr>
            <w:tcW w:w="503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含有毒有害物质的废气</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超标因子</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数量</w:t>
            </w:r>
          </w:p>
        </w:tc>
        <w:tc>
          <w:tcPr>
            <w:tcW w:w="503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r>
              <w:rPr>
                <w:rFonts w:hint="eastAsia" w:ascii="Times New Roman" w:hAnsi="Times New Roman" w:eastAsia="仿宋_GB2312" w:cs="仿宋_GB2312"/>
                <w:highlight w:val="none"/>
              </w:rPr>
              <w:t>个</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84" w:type="dxa"/>
            <w:vMerge w:val="continue"/>
            <w:vAlign w:val="center"/>
          </w:tcPr>
          <w:p>
            <w:pPr>
              <w:snapToGrid w:val="0"/>
              <w:jc w:val="center"/>
              <w:rPr>
                <w:rFonts w:ascii="Times New Roman" w:hAnsi="Times New Roman" w:cs="Times New Roman"/>
                <w:b/>
                <w:bCs/>
                <w:highlight w:val="none"/>
              </w:rPr>
            </w:pPr>
          </w:p>
        </w:tc>
        <w:tc>
          <w:tcPr>
            <w:tcW w:w="503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r>
              <w:rPr>
                <w:rFonts w:hint="eastAsia" w:ascii="Times New Roman" w:hAnsi="Times New Roman" w:eastAsia="仿宋_GB2312" w:cs="仿宋_GB2312"/>
                <w:highlight w:val="none"/>
              </w:rPr>
              <w:t>个</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Merge w:val="continue"/>
            <w:vAlign w:val="center"/>
          </w:tcPr>
          <w:p>
            <w:pPr>
              <w:snapToGrid w:val="0"/>
              <w:jc w:val="center"/>
              <w:rPr>
                <w:rFonts w:ascii="Times New Roman" w:hAnsi="Times New Roman" w:cs="Times New Roman"/>
                <w:b/>
                <w:bCs/>
                <w:highlight w:val="none"/>
              </w:rPr>
            </w:pPr>
          </w:p>
        </w:tc>
        <w:tc>
          <w:tcPr>
            <w:tcW w:w="503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r>
              <w:rPr>
                <w:rFonts w:hint="eastAsia" w:ascii="Times New Roman" w:hAnsi="Times New Roman" w:eastAsia="仿宋_GB2312" w:cs="仿宋_GB2312"/>
                <w:highlight w:val="none"/>
              </w:rPr>
              <w:t>个及以上</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Merge w:val="restart"/>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违法行为</w:t>
            </w:r>
          </w:p>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发生时期</w:t>
            </w:r>
          </w:p>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环境敏感度</w:t>
            </w:r>
          </w:p>
        </w:tc>
        <w:tc>
          <w:tcPr>
            <w:tcW w:w="503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一般期间</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Merge w:val="continue"/>
          </w:tcPr>
          <w:p>
            <w:pPr>
              <w:snapToGrid w:val="0"/>
              <w:spacing w:line="288" w:lineRule="auto"/>
              <w:jc w:val="center"/>
              <w:rPr>
                <w:rFonts w:ascii="Times New Roman" w:hAnsi="Times New Roman" w:cs="Times New Roman"/>
                <w:b/>
                <w:bCs/>
                <w:highlight w:val="none"/>
              </w:rPr>
            </w:pPr>
          </w:p>
        </w:tc>
        <w:tc>
          <w:tcPr>
            <w:tcW w:w="503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特殊或重大活动期间</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Merge w:val="continue"/>
          </w:tcPr>
          <w:p>
            <w:pPr>
              <w:snapToGrid w:val="0"/>
              <w:spacing w:line="288" w:lineRule="auto"/>
              <w:jc w:val="center"/>
              <w:rPr>
                <w:rFonts w:ascii="Times New Roman" w:hAnsi="Times New Roman" w:cs="Times New Roman"/>
                <w:b/>
                <w:bCs/>
                <w:highlight w:val="none"/>
              </w:rPr>
            </w:pPr>
          </w:p>
        </w:tc>
        <w:tc>
          <w:tcPr>
            <w:tcW w:w="503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重污染天气预警期间</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688" w:type="dxa"/>
            <w:gridSpan w:val="2"/>
            <w:vAlign w:val="center"/>
          </w:tcPr>
          <w:p>
            <w:pPr>
              <w:snapToGrid w:val="0"/>
              <w:rPr>
                <w:rFonts w:ascii="Times New Roman" w:hAnsi="Times New Roman" w:cs="Times New Roman"/>
                <w:color w:val="000000"/>
                <w:highlight w:val="none"/>
              </w:rPr>
            </w:pPr>
          </w:p>
        </w:tc>
      </w:tr>
      <w:bookmarkEnd w:id="33"/>
      <w:bookmarkEnd w:id="34"/>
      <w:bookmarkEnd w:id="35"/>
      <w:bookmarkEnd w:id="36"/>
      <w:bookmarkEnd w:id="37"/>
    </w:tbl>
    <w:p>
      <w:pPr>
        <w:widowControl/>
        <w:snapToGrid w:val="0"/>
        <w:spacing w:line="288" w:lineRule="auto"/>
        <w:jc w:val="left"/>
        <w:rPr>
          <w:rFonts w:ascii="Times New Roman" w:hAnsi="Times New Roman" w:cs="Times New Roman"/>
          <w:highlight w:val="none"/>
        </w:rPr>
      </w:pPr>
    </w:p>
    <w:p>
      <w:pPr>
        <w:widowControl/>
        <w:snapToGrid w:val="0"/>
        <w:jc w:val="left"/>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（二）大气污染防治类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超过重点大气污染物排放总量控制指标排放大气污染物的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1"/>
              <w:snapToGrid w:val="0"/>
              <w:spacing w:before="93" w:beforeLines="30" w:line="288" w:lineRule="auto"/>
              <w:ind w:firstLine="422" w:firstLineChars="200"/>
              <w:rPr>
                <w:rFonts w:ascii="Times New Roman" w:hAnsi="Times New Roman" w:eastAsia="仿宋_GB2312" w:cs="Times New Roman"/>
                <w:sz w:val="21"/>
                <w:szCs w:val="21"/>
                <w:highlight w:val="none"/>
              </w:rPr>
            </w:pPr>
            <w:r>
              <w:rPr>
                <w:rFonts w:ascii="Times New Roman" w:hAnsi="Times New Roman" w:eastAsia="仿宋_GB2312" w:cs="Times New Roman"/>
                <w:b/>
                <w:bCs/>
                <w:sz w:val="21"/>
                <w:szCs w:val="21"/>
                <w:highlight w:val="none"/>
              </w:rPr>
              <w:t>1.</w:t>
            </w:r>
            <w:r>
              <w:rPr>
                <w:rFonts w:hint="eastAsia" w:ascii="Times New Roman" w:hAnsi="Times New Roman" w:eastAsia="仿宋_GB2312" w:cs="仿宋_GB2312"/>
                <w:b/>
                <w:bCs/>
                <w:sz w:val="21"/>
                <w:szCs w:val="21"/>
                <w:highlight w:val="none"/>
              </w:rPr>
              <w:t>《中华人民共和国大气污染防治法》第十八条</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企业事业单位和其他生产经营者建设对大气环境有影响的项目，应当依法进行环境影响评价、公开环境影响评价文件；向大气排放污染物的，应当符合大气污染物排放标准，遵守重点大气污染物排放总量控制要求。</w:t>
            </w:r>
          </w:p>
          <w:p>
            <w:pPr>
              <w:pStyle w:val="11"/>
              <w:snapToGrid w:val="0"/>
              <w:spacing w:line="288" w:lineRule="auto"/>
              <w:ind w:firstLine="422" w:firstLineChars="200"/>
              <w:rPr>
                <w:rFonts w:ascii="Times New Roman" w:hAnsi="Times New Roman" w:eastAsia="仿宋_GB2312" w:cs="Times New Roman"/>
                <w:sz w:val="21"/>
                <w:szCs w:val="21"/>
                <w:highlight w:val="none"/>
              </w:rPr>
            </w:pPr>
            <w:r>
              <w:rPr>
                <w:rFonts w:ascii="Times New Roman" w:hAnsi="Times New Roman" w:eastAsia="仿宋_GB2312" w:cs="Times New Roman"/>
                <w:b/>
                <w:bCs/>
                <w:sz w:val="21"/>
                <w:szCs w:val="21"/>
                <w:highlight w:val="none"/>
              </w:rPr>
              <w:t>2.</w:t>
            </w:r>
            <w:r>
              <w:rPr>
                <w:rFonts w:hint="eastAsia" w:ascii="Times New Roman" w:hAnsi="Times New Roman" w:eastAsia="仿宋_GB2312" w:cs="仿宋_GB2312"/>
                <w:b/>
                <w:bCs/>
                <w:sz w:val="21"/>
                <w:szCs w:val="21"/>
                <w:highlight w:val="none"/>
              </w:rPr>
              <w:t>《山东省大气污染防治条例》第十一条</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企业事业单位和其他生产经营者排放的大气污染物，不得超过国家和省规定的排放标准，不得超过核定的重点大气污染物排放总量控制指标。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2"/>
              <w:snapToGrid w:val="0"/>
              <w:spacing w:before="93" w:beforeLines="30" w:beforeAutospacing="0" w:after="0" w:afterAutospacing="0" w:line="288" w:lineRule="auto"/>
              <w:ind w:firstLine="422" w:firstLineChars="200"/>
              <w:rPr>
                <w:rFonts w:ascii="Times New Roman" w:hAnsi="Times New Roman" w:eastAsia="仿宋_GB2312" w:cs="Times New Roman"/>
                <w:sz w:val="21"/>
                <w:szCs w:val="21"/>
                <w:highlight w:val="none"/>
              </w:rPr>
            </w:pPr>
            <w:r>
              <w:rPr>
                <w:rFonts w:ascii="Times New Roman" w:hAnsi="Times New Roman" w:eastAsia="仿宋_GB2312" w:cs="Times New Roman"/>
                <w:b/>
                <w:bCs/>
                <w:sz w:val="21"/>
                <w:szCs w:val="21"/>
                <w:highlight w:val="none"/>
              </w:rPr>
              <w:t>1.</w:t>
            </w:r>
            <w:r>
              <w:rPr>
                <w:rFonts w:hint="eastAsia" w:ascii="Times New Roman" w:hAnsi="Times New Roman" w:eastAsia="仿宋_GB2312" w:cs="仿宋_GB2312"/>
                <w:b/>
                <w:bCs/>
                <w:sz w:val="21"/>
                <w:szCs w:val="21"/>
                <w:highlight w:val="none"/>
              </w:rPr>
              <w:t>《中华人民共和国大气污染防治法》第九十九条第（二）项</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违反本法规定，有下列行为之一的，由县级以上人民政府生态环境主管部门责令改正或者限制生产、停产整治，并处十万元以上一百万元以下的罚款；情节严重的，报经有批准权的人民政府批准，责令停业、关闭：</w:t>
            </w:r>
          </w:p>
          <w:p>
            <w:pPr>
              <w:pStyle w:val="12"/>
              <w:snapToGrid w:val="0"/>
              <w:spacing w:before="0" w:beforeAutospacing="0" w:after="0" w:afterAutospacing="0" w:line="288" w:lineRule="auto"/>
              <w:ind w:firstLine="420" w:firstLineChars="20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（二）超过大气污染物排放标准或者超过重点大气污染物排放总量控制指标排放大气污染物的。</w:t>
            </w:r>
          </w:p>
          <w:p>
            <w:pPr>
              <w:pStyle w:val="12"/>
              <w:snapToGrid w:val="0"/>
              <w:spacing w:before="0" w:beforeAutospacing="0" w:after="0" w:afterAutospacing="0" w:line="288" w:lineRule="auto"/>
              <w:ind w:firstLine="422" w:firstLineChars="200"/>
              <w:rPr>
                <w:rFonts w:ascii="Times New Roman" w:hAnsi="Times New Roman" w:eastAsia="仿宋_GB2312" w:cs="Times New Roman"/>
                <w:sz w:val="21"/>
                <w:szCs w:val="21"/>
                <w:highlight w:val="none"/>
              </w:rPr>
            </w:pPr>
            <w:r>
              <w:rPr>
                <w:rFonts w:ascii="Times New Roman" w:hAnsi="Times New Roman" w:eastAsia="仿宋_GB2312" w:cs="Times New Roman"/>
                <w:b/>
                <w:bCs/>
                <w:sz w:val="21"/>
                <w:szCs w:val="21"/>
                <w:highlight w:val="none"/>
              </w:rPr>
              <w:t>2.</w:t>
            </w:r>
            <w:r>
              <w:rPr>
                <w:rFonts w:hint="eastAsia" w:ascii="Times New Roman" w:hAnsi="Times New Roman" w:eastAsia="仿宋_GB2312" w:cs="仿宋_GB2312"/>
                <w:b/>
                <w:bCs/>
                <w:sz w:val="21"/>
                <w:szCs w:val="21"/>
                <w:highlight w:val="none"/>
              </w:rPr>
              <w:t>《山东省大气污染防治条例》第六十七条</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违反本条例规定，超过大气污染物排放标准或者超过重点大气污染物排放总量控制指标排放大气污染物的，由县级以上人民政府生态环境主管部门责令改正或者限制生产、停产整治，并处十万元以上一百万元以下的罚款；拒不改正的，依法作出处罚决定的生态环境主管部门可以自责令改正之日的次日起，按照原处罚数额按日连续处罚；情节严重的，报经有批准权的人民政府批准，责令停业、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宋体"/>
                <w:b/>
                <w:bCs/>
                <w:color w:val="000000"/>
                <w:highlight w:val="none"/>
              </w:rPr>
            </w:pPr>
            <w:r>
              <w:rPr>
                <w:rFonts w:hint="eastAsia" w:ascii="Times New Roman" w:hAnsi="Times New Roman" w:cs="宋体"/>
                <w:b/>
                <w:bCs/>
                <w:color w:val="000000"/>
                <w:highlight w:val="none"/>
              </w:rPr>
              <w:t>超总量情况★</w:t>
            </w: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超总量</w:t>
            </w:r>
            <w:r>
              <w:rPr>
                <w:rFonts w:ascii="Times New Roman" w:hAnsi="Times New Roman" w:eastAsia="仿宋_GB2312" w:cs="Times New Roman"/>
                <w:highlight w:val="none"/>
              </w:rPr>
              <w:t>5%</w:t>
            </w:r>
            <w:r>
              <w:rPr>
                <w:rFonts w:hint="eastAsia" w:ascii="Times New Roman" w:hAnsi="Times New Roman" w:eastAsia="仿宋_GB2312" w:cs="仿宋_GB2312"/>
                <w:highlight w:val="none"/>
              </w:rPr>
              <w:t>以下</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宋体"/>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超总量</w:t>
            </w:r>
            <w:r>
              <w:rPr>
                <w:rFonts w:ascii="Times New Roman" w:hAnsi="Times New Roman" w:eastAsia="仿宋_GB2312" w:cs="Times New Roman"/>
                <w:highlight w:val="none"/>
              </w:rPr>
              <w:t>5%</w:t>
            </w:r>
            <w:r>
              <w:rPr>
                <w:rFonts w:hint="eastAsia" w:ascii="Times New Roman" w:hAnsi="Times New Roman" w:eastAsia="仿宋_GB2312" w:cs="仿宋_GB2312"/>
                <w:highlight w:val="none"/>
              </w:rPr>
              <w:t>以上</w:t>
            </w:r>
            <w:r>
              <w:rPr>
                <w:rFonts w:ascii="Times New Roman" w:hAnsi="Times New Roman" w:eastAsia="仿宋_GB2312" w:cs="Times New Roman"/>
                <w:highlight w:val="none"/>
              </w:rPr>
              <w:t>10%</w:t>
            </w:r>
            <w:r>
              <w:rPr>
                <w:rFonts w:hint="eastAsia" w:ascii="Times New Roman" w:hAnsi="Times New Roman" w:eastAsia="仿宋_GB2312" w:cs="仿宋_GB2312"/>
                <w:highlight w:val="none"/>
              </w:rPr>
              <w:t>以下</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宋体"/>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超总量</w:t>
            </w:r>
            <w:r>
              <w:rPr>
                <w:rFonts w:ascii="Times New Roman" w:hAnsi="Times New Roman" w:eastAsia="仿宋_GB2312" w:cs="Times New Roman"/>
                <w:highlight w:val="none"/>
              </w:rPr>
              <w:t>10%</w:t>
            </w:r>
            <w:r>
              <w:rPr>
                <w:rFonts w:hint="eastAsia" w:ascii="Times New Roman" w:hAnsi="Times New Roman" w:eastAsia="仿宋_GB2312" w:cs="仿宋_GB2312"/>
                <w:highlight w:val="none"/>
              </w:rPr>
              <w:t>以上</w:t>
            </w:r>
            <w:r>
              <w:rPr>
                <w:rFonts w:ascii="Times New Roman" w:hAnsi="Times New Roman" w:eastAsia="仿宋_GB2312" w:cs="Times New Roman"/>
                <w:highlight w:val="none"/>
              </w:rPr>
              <w:t>15%</w:t>
            </w:r>
            <w:r>
              <w:rPr>
                <w:rFonts w:hint="eastAsia" w:ascii="Times New Roman" w:hAnsi="Times New Roman" w:eastAsia="仿宋_GB2312" w:cs="仿宋_GB2312"/>
                <w:highlight w:val="none"/>
              </w:rPr>
              <w:t>以下</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宋体"/>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超总量</w:t>
            </w:r>
            <w:r>
              <w:rPr>
                <w:rFonts w:ascii="Times New Roman" w:hAnsi="Times New Roman" w:eastAsia="仿宋_GB2312" w:cs="Times New Roman"/>
                <w:highlight w:val="none"/>
              </w:rPr>
              <w:t>15%</w:t>
            </w:r>
            <w:r>
              <w:rPr>
                <w:rFonts w:hint="eastAsia" w:ascii="Times New Roman" w:hAnsi="Times New Roman" w:eastAsia="仿宋_GB2312" w:cs="仿宋_GB2312"/>
                <w:highlight w:val="none"/>
              </w:rPr>
              <w:t>以上</w:t>
            </w:r>
            <w:r>
              <w:rPr>
                <w:rFonts w:ascii="Times New Roman" w:hAnsi="Times New Roman" w:eastAsia="仿宋_GB2312" w:cs="Times New Roman"/>
                <w:highlight w:val="none"/>
              </w:rPr>
              <w:t>20%</w:t>
            </w:r>
            <w:r>
              <w:rPr>
                <w:rFonts w:hint="eastAsia" w:ascii="Times New Roman" w:hAnsi="Times New Roman" w:eastAsia="仿宋_GB2312" w:cs="仿宋_GB2312"/>
                <w:highlight w:val="none"/>
              </w:rPr>
              <w:t>以下</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宋体"/>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超总量</w:t>
            </w:r>
            <w:r>
              <w:rPr>
                <w:rFonts w:ascii="Times New Roman" w:hAnsi="Times New Roman" w:eastAsia="仿宋_GB2312" w:cs="Times New Roman"/>
                <w:highlight w:val="none"/>
              </w:rPr>
              <w:t>20%</w:t>
            </w:r>
            <w:r>
              <w:rPr>
                <w:rFonts w:hint="eastAsia" w:ascii="Times New Roman" w:hAnsi="Times New Roman" w:eastAsia="仿宋_GB2312" w:cs="仿宋_GB2312"/>
                <w:highlight w:val="none"/>
              </w:rPr>
              <w:t>以上</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超总量因子数量</w:t>
            </w:r>
          </w:p>
        </w:tc>
        <w:tc>
          <w:tcPr>
            <w:tcW w:w="524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r>
              <w:rPr>
                <w:rFonts w:hint="eastAsia" w:ascii="Times New Roman" w:hAnsi="Times New Roman" w:eastAsia="仿宋_GB2312" w:cs="仿宋_GB2312"/>
                <w:highlight w:val="none"/>
              </w:rPr>
              <w:t>个</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r>
              <w:rPr>
                <w:rFonts w:hint="eastAsia" w:ascii="Times New Roman" w:hAnsi="Times New Roman" w:eastAsia="仿宋_GB2312" w:cs="仿宋_GB2312"/>
                <w:highlight w:val="none"/>
              </w:rPr>
              <w:t>个</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r>
              <w:rPr>
                <w:rFonts w:hint="eastAsia" w:ascii="Times New Roman" w:hAnsi="Times New Roman" w:eastAsia="仿宋_GB2312" w:cs="仿宋_GB2312"/>
                <w:highlight w:val="none"/>
              </w:rPr>
              <w:t>个及以上</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废气类别</w:t>
            </w: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餐饮油烟（经营）</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b/>
                <w:bCs/>
                <w:highlight w:val="none"/>
              </w:rPr>
            </w:pPr>
            <w:r>
              <w:rPr>
                <w:rFonts w:hint="eastAsia" w:ascii="Times New Roman" w:hAnsi="Times New Roman" w:eastAsia="仿宋_GB2312" w:cs="仿宋_GB2312"/>
                <w:highlight w:val="none"/>
              </w:rPr>
              <w:t>农业生产、畜禽养殖</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工地扬尘</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机械、汽车修理</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b/>
                <w:bCs/>
                <w:highlight w:val="none"/>
              </w:rPr>
            </w:pPr>
            <w:r>
              <w:rPr>
                <w:rFonts w:hint="eastAsia" w:ascii="Times New Roman" w:hAnsi="Times New Roman" w:eastAsia="仿宋_GB2312" w:cs="仿宋_GB2312"/>
                <w:highlight w:val="none"/>
              </w:rPr>
              <w:t>一般工业废气</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含恶臭污染物的废气</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医疗</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实验室</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b/>
                <w:bCs/>
                <w:highlight w:val="none"/>
              </w:rPr>
            </w:pPr>
            <w:r>
              <w:rPr>
                <w:rFonts w:hint="eastAsia" w:ascii="Times New Roman" w:hAnsi="Times New Roman" w:eastAsia="仿宋_GB2312" w:cs="仿宋_GB2312"/>
                <w:highlight w:val="none"/>
              </w:rPr>
              <w:t>火电、钢铁、石化、水泥、炼焦、有色、化工废气、烟尘</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燃煤锅炉废气、烟尘</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b/>
                <w:bCs/>
                <w:highlight w:val="none"/>
              </w:rPr>
            </w:pPr>
            <w:r>
              <w:rPr>
                <w:rFonts w:hint="eastAsia" w:ascii="Times New Roman" w:hAnsi="Times New Roman" w:eastAsia="仿宋_GB2312" w:cs="仿宋_GB2312"/>
                <w:highlight w:val="none"/>
              </w:rPr>
              <w:t>含有毒有害物质的废气</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主观故意及整改情况</w:t>
            </w: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采取停产整治措施</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采取了限产等部分整改措施</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已经按照要求采取必要的污染防治措施，仍然超排，未采取停产限产措施</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jc w:val="left"/>
              <w:rPr>
                <w:rFonts w:ascii="Times New Roman" w:hAnsi="Times New Roman" w:cs="Times New Roman"/>
                <w:highlight w:val="none"/>
              </w:rPr>
            </w:pPr>
          </w:p>
        </w:tc>
      </w:tr>
    </w:tbl>
    <w:p>
      <w:pPr>
        <w:widowControl/>
        <w:snapToGrid w:val="0"/>
        <w:jc w:val="left"/>
        <w:rPr>
          <w:rFonts w:ascii="Times New Roman" w:hAnsi="Times New Roman" w:cs="Times New Roman"/>
          <w:kern w:val="0"/>
          <w:sz w:val="10"/>
          <w:szCs w:val="10"/>
          <w:highlight w:val="none"/>
        </w:rPr>
      </w:pPr>
      <w:r>
        <w:rPr>
          <w:rFonts w:ascii="Times New Roman" w:hAnsi="Times New Roman" w:cs="Times New Roman"/>
          <w:kern w:val="0"/>
          <w:highlight w:val="none"/>
        </w:rPr>
        <w:br w:type="page"/>
      </w:r>
    </w:p>
    <w:tbl>
      <w:tblPr>
        <w:tblStyle w:val="1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（二）大气污染防治类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通过逃避监管的方式排放大气污染物的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snapToGrid w:val="0"/>
              <w:spacing w:before="62" w:beforeLines="20" w:line="288"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《中华人民共和国大气污染防治法》第二十条第二款</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禁止通过偷排、篡改或者伪造监测数据、以逃避现场检查为目的的临时停产、非紧急情况下开启应急排放通道、不正常运行大气污染防治设施等逃避监管的方式排放大气污染物。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snapToGrid w:val="0"/>
              <w:spacing w:before="62" w:beforeLines="20" w:line="288"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《中华人民共和国大气污染防治法》第九十九条第（三）项</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违反本法规定，有下列行为之一的，由县级以上人民政府生态环境主管部门责令改正或者限制生产、停产整治，并处十万元以上一百万元以下的罚款；情节严重的，报经有批准权的人民政府批准，责令停业、关闭：</w:t>
            </w:r>
          </w:p>
          <w:p>
            <w:pPr>
              <w:snapToGrid w:val="0"/>
              <w:spacing w:line="288" w:lineRule="auto"/>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（三）通过逃避监管的方式排放大气污染物的。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hint="eastAsia" w:ascii="Times New Roman" w:hAnsi="Times New Roman" w:cs="宋体"/>
                <w:b/>
                <w:bCs/>
                <w:color w:val="000000"/>
                <w:highlight w:val="none"/>
              </w:rPr>
            </w:pPr>
            <w:r>
              <w:rPr>
                <w:rFonts w:hint="eastAsia" w:ascii="Times New Roman" w:hAnsi="Times New Roman" w:cs="宋体"/>
                <w:b/>
                <w:bCs/>
                <w:color w:val="000000"/>
                <w:highlight w:val="none"/>
              </w:rPr>
              <w:t>违法事实★</w:t>
            </w:r>
          </w:p>
        </w:tc>
        <w:tc>
          <w:tcPr>
            <w:tcW w:w="5245" w:type="dxa"/>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经处理设施后以逃避监管的方式排放</w:t>
            </w:r>
          </w:p>
        </w:tc>
        <w:tc>
          <w:tcPr>
            <w:tcW w:w="2693" w:type="dxa"/>
            <w:vAlign w:val="center"/>
          </w:tcPr>
          <w:p>
            <w:pPr>
              <w:snapToGrid w:val="0"/>
              <w:jc w:val="center"/>
              <w:rPr>
                <w:rFonts w:ascii="Times New Roman" w:hAnsi="Times New Roman" w:eastAsia="仿宋_GB2312" w:cs="仿宋_GB2312"/>
                <w:highlight w:val="none"/>
              </w:rPr>
            </w:pPr>
            <w:r>
              <w:rPr>
                <w:rFonts w:ascii="Times New Roman" w:hAnsi="Times New Roman" w:eastAsia="仿宋_GB2312" w:cs="仿宋_GB2312"/>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宋体"/>
                <w:b/>
                <w:bCs/>
                <w:highlight w:val="none"/>
              </w:rPr>
            </w:pPr>
          </w:p>
        </w:tc>
        <w:tc>
          <w:tcPr>
            <w:tcW w:w="5245" w:type="dxa"/>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经部分处理设施后以逃避监管的方式排放</w:t>
            </w:r>
          </w:p>
        </w:tc>
        <w:tc>
          <w:tcPr>
            <w:tcW w:w="2693" w:type="dxa"/>
            <w:vAlign w:val="center"/>
          </w:tcPr>
          <w:p>
            <w:pPr>
              <w:snapToGrid w:val="0"/>
              <w:jc w:val="center"/>
              <w:rPr>
                <w:rFonts w:ascii="Times New Roman" w:hAnsi="Times New Roman" w:eastAsia="仿宋_GB2312" w:cs="仿宋_GB2312"/>
                <w:highlight w:val="none"/>
              </w:rPr>
            </w:pPr>
            <w:r>
              <w:rPr>
                <w:rFonts w:ascii="Times New Roman" w:hAnsi="Times New Roman" w:eastAsia="仿宋_GB2312" w:cs="仿宋_GB2312"/>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宋体"/>
                <w:b/>
                <w:bCs/>
                <w:highlight w:val="none"/>
              </w:rPr>
            </w:pPr>
          </w:p>
        </w:tc>
        <w:tc>
          <w:tcPr>
            <w:tcW w:w="5245" w:type="dxa"/>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不通过处理设施利用其他方式直接排放或者关闭自动检测设备/篡改、伪造检测数据</w:t>
            </w:r>
          </w:p>
        </w:tc>
        <w:tc>
          <w:tcPr>
            <w:tcW w:w="2693" w:type="dxa"/>
            <w:vAlign w:val="center"/>
          </w:tcPr>
          <w:p>
            <w:pPr>
              <w:snapToGrid w:val="0"/>
              <w:jc w:val="center"/>
              <w:rPr>
                <w:rFonts w:ascii="Times New Roman" w:hAnsi="Times New Roman" w:eastAsia="仿宋_GB2312" w:cs="仿宋_GB2312"/>
                <w:highlight w:val="none"/>
              </w:rPr>
            </w:pPr>
            <w:r>
              <w:rPr>
                <w:rFonts w:ascii="Times New Roman" w:hAnsi="Times New Roman" w:eastAsia="仿宋_GB2312" w:cs="仿宋_GB2312"/>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废气类别</w:t>
            </w: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餐饮油烟（经营）</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b/>
                <w:bCs/>
                <w:highlight w:val="none"/>
              </w:rPr>
            </w:pPr>
            <w:r>
              <w:rPr>
                <w:rFonts w:hint="eastAsia" w:ascii="Times New Roman" w:hAnsi="Times New Roman" w:eastAsia="仿宋_GB2312" w:cs="仿宋_GB2312"/>
                <w:highlight w:val="none"/>
              </w:rPr>
              <w:t>农业生产、畜禽养殖</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工地扬尘</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机械、汽车修理</w:t>
            </w:r>
          </w:p>
        </w:tc>
        <w:tc>
          <w:tcPr>
            <w:tcW w:w="2693" w:type="dxa"/>
            <w:vAlign w:val="center"/>
          </w:tcPr>
          <w:p>
            <w:pPr>
              <w:snapToGrid w:val="0"/>
              <w:jc w:val="center"/>
              <w:rPr>
                <w:rFonts w:ascii="Times New Roman" w:hAnsi="Times New Roman" w:cs="Times New Roman"/>
                <w:b/>
                <w:bCs/>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b/>
                <w:bCs/>
                <w:highlight w:val="none"/>
              </w:rPr>
            </w:pPr>
            <w:r>
              <w:rPr>
                <w:rFonts w:hint="eastAsia" w:ascii="Times New Roman" w:hAnsi="Times New Roman" w:eastAsia="仿宋_GB2312" w:cs="仿宋_GB2312"/>
                <w:highlight w:val="none"/>
              </w:rPr>
              <w:t>一般工业废气</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含恶臭污染物的废气</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医疗</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实验室</w:t>
            </w:r>
          </w:p>
        </w:tc>
        <w:tc>
          <w:tcPr>
            <w:tcW w:w="2693" w:type="dxa"/>
            <w:vAlign w:val="center"/>
          </w:tcPr>
          <w:p>
            <w:pPr>
              <w:snapToGrid w:val="0"/>
              <w:jc w:val="center"/>
              <w:rPr>
                <w:rFonts w:ascii="Times New Roman" w:hAnsi="Times New Roman" w:cs="Times New Roman"/>
                <w:b/>
                <w:bCs/>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b/>
                <w:bCs/>
                <w:highlight w:val="none"/>
              </w:rPr>
            </w:pPr>
            <w:r>
              <w:rPr>
                <w:rFonts w:hint="eastAsia" w:ascii="Times New Roman" w:hAnsi="Times New Roman" w:eastAsia="仿宋_GB2312" w:cs="仿宋_GB2312"/>
                <w:highlight w:val="none"/>
              </w:rPr>
              <w:t>火电、钢铁、石化、水泥、炼焦、有色、化工废气、烟尘</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燃煤锅炉废气、烟尘</w:t>
            </w:r>
          </w:p>
        </w:tc>
        <w:tc>
          <w:tcPr>
            <w:tcW w:w="2693" w:type="dxa"/>
            <w:vAlign w:val="center"/>
          </w:tcPr>
          <w:p>
            <w:pPr>
              <w:snapToGrid w:val="0"/>
              <w:jc w:val="center"/>
              <w:rPr>
                <w:rFonts w:ascii="Times New Roman" w:hAnsi="Times New Roman" w:cs="Times New Roman"/>
                <w:b/>
                <w:bCs/>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b/>
                <w:bCs/>
                <w:highlight w:val="none"/>
              </w:rPr>
            </w:pPr>
            <w:r>
              <w:rPr>
                <w:rFonts w:hint="eastAsia" w:ascii="Times New Roman" w:hAnsi="Times New Roman" w:eastAsia="仿宋_GB2312" w:cs="仿宋_GB2312"/>
                <w:highlight w:val="none"/>
              </w:rPr>
              <w:t>含有毒有害物质的废气</w:t>
            </w:r>
          </w:p>
        </w:tc>
        <w:tc>
          <w:tcPr>
            <w:tcW w:w="2693" w:type="dxa"/>
            <w:vAlign w:val="center"/>
          </w:tcPr>
          <w:p>
            <w:pPr>
              <w:snapToGrid w:val="0"/>
              <w:jc w:val="center"/>
              <w:rPr>
                <w:rFonts w:ascii="Times New Roman" w:hAnsi="Times New Roman" w:cs="Times New Roman"/>
                <w:b/>
                <w:bCs/>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排污超标</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状况</w:t>
            </w: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highlight w:val="none"/>
              </w:rPr>
              <w:t>超标</w:t>
            </w:r>
            <w:r>
              <w:rPr>
                <w:rFonts w:ascii="Times New Roman" w:hAnsi="Times New Roman" w:eastAsia="仿宋_GB2312" w:cs="Times New Roman"/>
                <w:highlight w:val="none"/>
              </w:rPr>
              <w:t>0.5</w:t>
            </w:r>
            <w:r>
              <w:rPr>
                <w:rFonts w:hint="eastAsia" w:ascii="Times New Roman" w:hAnsi="Times New Roman" w:eastAsia="仿宋_GB2312" w:cs="仿宋_GB2312"/>
                <w:highlight w:val="none"/>
              </w:rPr>
              <w:t>倍以下</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林格曼黑度</w:t>
            </w:r>
            <w:r>
              <w:rPr>
                <w:rFonts w:ascii="Times New Roman" w:hAnsi="Times New Roman" w:eastAsia="仿宋_GB2312" w:cs="Times New Roman"/>
                <w:highlight w:val="none"/>
              </w:rPr>
              <w:t>1</w:t>
            </w:r>
            <w:r>
              <w:rPr>
                <w:rFonts w:hint="eastAsia" w:ascii="Times New Roman" w:hAnsi="Times New Roman" w:eastAsia="仿宋_GB2312" w:cs="仿宋_GB2312"/>
                <w:highlight w:val="none"/>
              </w:rPr>
              <w:t>级</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b/>
                <w:bCs/>
                <w:color w:val="000000"/>
                <w:highlight w:val="none"/>
              </w:rPr>
            </w:pPr>
            <w:r>
              <w:rPr>
                <w:rFonts w:hint="eastAsia" w:ascii="Times New Roman" w:hAnsi="Times New Roman" w:eastAsia="仿宋_GB2312" w:cs="仿宋_GB2312"/>
                <w:highlight w:val="none"/>
              </w:rPr>
              <w:t>超标</w:t>
            </w:r>
            <w:r>
              <w:rPr>
                <w:rFonts w:ascii="Times New Roman" w:hAnsi="Times New Roman" w:eastAsia="仿宋_GB2312" w:cs="Times New Roman"/>
                <w:highlight w:val="none"/>
              </w:rPr>
              <w:t>0.5</w:t>
            </w:r>
            <w:r>
              <w:rPr>
                <w:rFonts w:hint="eastAsia" w:ascii="Times New Roman" w:hAnsi="Times New Roman" w:eastAsia="仿宋_GB2312" w:cs="仿宋_GB2312"/>
                <w:highlight w:val="none"/>
              </w:rPr>
              <w:t>倍以上</w:t>
            </w:r>
            <w:r>
              <w:rPr>
                <w:rFonts w:ascii="Times New Roman" w:hAnsi="Times New Roman" w:eastAsia="仿宋_GB2312" w:cs="Times New Roman"/>
                <w:highlight w:val="none"/>
              </w:rPr>
              <w:t>1</w:t>
            </w:r>
            <w:r>
              <w:rPr>
                <w:rFonts w:hint="eastAsia" w:ascii="Times New Roman" w:hAnsi="Times New Roman" w:eastAsia="仿宋_GB2312" w:cs="仿宋_GB2312"/>
                <w:highlight w:val="none"/>
              </w:rPr>
              <w:t>倍以下</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林格曼黑度</w:t>
            </w:r>
            <w:r>
              <w:rPr>
                <w:rFonts w:ascii="Times New Roman" w:hAnsi="Times New Roman" w:eastAsia="仿宋_GB2312" w:cs="Times New Roman"/>
                <w:highlight w:val="none"/>
              </w:rPr>
              <w:t>2</w:t>
            </w:r>
            <w:r>
              <w:rPr>
                <w:rFonts w:hint="eastAsia" w:ascii="Times New Roman" w:hAnsi="Times New Roman" w:eastAsia="仿宋_GB2312" w:cs="仿宋_GB2312"/>
                <w:highlight w:val="none"/>
              </w:rPr>
              <w:t>级</w:t>
            </w:r>
          </w:p>
        </w:tc>
        <w:tc>
          <w:tcPr>
            <w:tcW w:w="2693" w:type="dxa"/>
            <w:vAlign w:val="center"/>
          </w:tcPr>
          <w:p>
            <w:pPr>
              <w:snapToGrid w:val="0"/>
              <w:jc w:val="center"/>
              <w:rPr>
                <w:rFonts w:ascii="Times New Roman" w:hAnsi="Times New Roman" w:cs="Times New Roman"/>
                <w:b/>
                <w:bCs/>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b/>
                <w:bCs/>
                <w:color w:val="000000"/>
                <w:highlight w:val="none"/>
              </w:rPr>
            </w:pPr>
            <w:r>
              <w:rPr>
                <w:rFonts w:hint="eastAsia" w:ascii="Times New Roman" w:hAnsi="Times New Roman" w:eastAsia="仿宋_GB2312" w:cs="仿宋_GB2312"/>
                <w:highlight w:val="none"/>
              </w:rPr>
              <w:t>超标</w:t>
            </w:r>
            <w:r>
              <w:rPr>
                <w:rFonts w:ascii="Times New Roman" w:hAnsi="Times New Roman" w:eastAsia="仿宋_GB2312" w:cs="Times New Roman"/>
                <w:highlight w:val="none"/>
              </w:rPr>
              <w:t>1</w:t>
            </w:r>
            <w:r>
              <w:rPr>
                <w:rFonts w:hint="eastAsia" w:ascii="Times New Roman" w:hAnsi="Times New Roman" w:eastAsia="仿宋_GB2312" w:cs="仿宋_GB2312"/>
                <w:highlight w:val="none"/>
              </w:rPr>
              <w:t>倍以上</w:t>
            </w:r>
            <w:r>
              <w:rPr>
                <w:rFonts w:ascii="Times New Roman" w:hAnsi="Times New Roman" w:eastAsia="仿宋_GB2312" w:cs="Times New Roman"/>
                <w:highlight w:val="none"/>
              </w:rPr>
              <w:t>3</w:t>
            </w:r>
            <w:r>
              <w:rPr>
                <w:rFonts w:hint="eastAsia" w:ascii="Times New Roman" w:hAnsi="Times New Roman" w:eastAsia="仿宋_GB2312" w:cs="仿宋_GB2312"/>
                <w:highlight w:val="none"/>
              </w:rPr>
              <w:t>倍以下</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林格曼黑度</w:t>
            </w:r>
            <w:r>
              <w:rPr>
                <w:rFonts w:ascii="Times New Roman" w:hAnsi="Times New Roman" w:eastAsia="仿宋_GB2312" w:cs="Times New Roman"/>
                <w:highlight w:val="none"/>
              </w:rPr>
              <w:t>3</w:t>
            </w:r>
            <w:r>
              <w:rPr>
                <w:rFonts w:hint="eastAsia" w:ascii="Times New Roman" w:hAnsi="Times New Roman" w:eastAsia="仿宋_GB2312" w:cs="仿宋_GB2312"/>
                <w:highlight w:val="none"/>
              </w:rPr>
              <w:t>级</w:t>
            </w:r>
          </w:p>
        </w:tc>
        <w:tc>
          <w:tcPr>
            <w:tcW w:w="2693" w:type="dxa"/>
            <w:vAlign w:val="center"/>
          </w:tcPr>
          <w:p>
            <w:pPr>
              <w:snapToGrid w:val="0"/>
              <w:jc w:val="center"/>
              <w:rPr>
                <w:rFonts w:ascii="Times New Roman" w:hAnsi="Times New Roman" w:cs="Times New Roman"/>
                <w:b/>
                <w:bCs/>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b/>
                <w:bCs/>
                <w:color w:val="000000"/>
                <w:highlight w:val="none"/>
              </w:rPr>
            </w:pPr>
            <w:r>
              <w:rPr>
                <w:rFonts w:hint="eastAsia" w:ascii="Times New Roman" w:hAnsi="Times New Roman" w:eastAsia="仿宋_GB2312" w:cs="仿宋_GB2312"/>
                <w:highlight w:val="none"/>
              </w:rPr>
              <w:t>超标</w:t>
            </w:r>
            <w:r>
              <w:rPr>
                <w:rFonts w:ascii="Times New Roman" w:hAnsi="Times New Roman" w:eastAsia="仿宋_GB2312" w:cs="Times New Roman"/>
                <w:highlight w:val="none"/>
              </w:rPr>
              <w:t>3</w:t>
            </w:r>
            <w:r>
              <w:rPr>
                <w:rFonts w:hint="eastAsia" w:ascii="Times New Roman" w:hAnsi="Times New Roman" w:eastAsia="仿宋_GB2312" w:cs="仿宋_GB2312"/>
                <w:highlight w:val="none"/>
              </w:rPr>
              <w:t>倍以上</w:t>
            </w:r>
            <w:r>
              <w:rPr>
                <w:rFonts w:ascii="Times New Roman" w:hAnsi="Times New Roman" w:eastAsia="仿宋_GB2312" w:cs="Times New Roman"/>
                <w:highlight w:val="none"/>
              </w:rPr>
              <w:t>5</w:t>
            </w:r>
            <w:r>
              <w:rPr>
                <w:rFonts w:hint="eastAsia" w:ascii="Times New Roman" w:hAnsi="Times New Roman" w:eastAsia="仿宋_GB2312" w:cs="仿宋_GB2312"/>
                <w:highlight w:val="none"/>
              </w:rPr>
              <w:t>倍以下</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林格曼黑度</w:t>
            </w:r>
            <w:r>
              <w:rPr>
                <w:rFonts w:ascii="Times New Roman" w:hAnsi="Times New Roman" w:eastAsia="仿宋_GB2312" w:cs="Times New Roman"/>
                <w:highlight w:val="none"/>
              </w:rPr>
              <w:t>4</w:t>
            </w:r>
            <w:r>
              <w:rPr>
                <w:rFonts w:hint="eastAsia" w:ascii="Times New Roman" w:hAnsi="Times New Roman" w:eastAsia="仿宋_GB2312" w:cs="仿宋_GB2312"/>
                <w:highlight w:val="none"/>
              </w:rPr>
              <w:t>级</w:t>
            </w:r>
          </w:p>
        </w:tc>
        <w:tc>
          <w:tcPr>
            <w:tcW w:w="2693" w:type="dxa"/>
            <w:vAlign w:val="center"/>
          </w:tcPr>
          <w:p>
            <w:pPr>
              <w:snapToGrid w:val="0"/>
              <w:jc w:val="center"/>
              <w:rPr>
                <w:rFonts w:ascii="Times New Roman" w:hAnsi="Times New Roman" w:cs="Times New Roman"/>
                <w:b/>
                <w:bCs/>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b/>
                <w:bCs/>
                <w:color w:val="000000"/>
                <w:highlight w:val="none"/>
              </w:rPr>
            </w:pPr>
            <w:r>
              <w:rPr>
                <w:rFonts w:hint="eastAsia" w:ascii="Times New Roman" w:hAnsi="Times New Roman" w:eastAsia="仿宋_GB2312" w:cs="仿宋_GB2312"/>
                <w:highlight w:val="none"/>
              </w:rPr>
              <w:t>超标</w:t>
            </w:r>
            <w:r>
              <w:rPr>
                <w:rFonts w:ascii="Times New Roman" w:hAnsi="Times New Roman" w:eastAsia="仿宋_GB2312" w:cs="Times New Roman"/>
                <w:highlight w:val="none"/>
              </w:rPr>
              <w:t>5</w:t>
            </w:r>
            <w:r>
              <w:rPr>
                <w:rFonts w:hint="eastAsia" w:ascii="Times New Roman" w:hAnsi="Times New Roman" w:eastAsia="仿宋_GB2312" w:cs="仿宋_GB2312"/>
                <w:highlight w:val="none"/>
              </w:rPr>
              <w:t>倍以上</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林格曼黑度</w:t>
            </w:r>
            <w:r>
              <w:rPr>
                <w:rFonts w:ascii="Times New Roman" w:hAnsi="Times New Roman" w:eastAsia="仿宋_GB2312" w:cs="Times New Roman"/>
                <w:highlight w:val="none"/>
              </w:rPr>
              <w:t>5</w:t>
            </w:r>
            <w:r>
              <w:rPr>
                <w:rFonts w:hint="eastAsia" w:ascii="Times New Roman" w:hAnsi="Times New Roman" w:eastAsia="仿宋_GB2312" w:cs="仿宋_GB2312"/>
                <w:highlight w:val="none"/>
              </w:rPr>
              <w:t>级</w:t>
            </w:r>
          </w:p>
        </w:tc>
        <w:tc>
          <w:tcPr>
            <w:tcW w:w="2693" w:type="dxa"/>
            <w:vAlign w:val="center"/>
          </w:tcPr>
          <w:p>
            <w:pPr>
              <w:snapToGrid w:val="0"/>
              <w:jc w:val="center"/>
              <w:rPr>
                <w:rFonts w:ascii="Times New Roman" w:hAnsi="Times New Roman" w:cs="Times New Roman"/>
                <w:b/>
                <w:bCs/>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widowControl/>
              <w:snapToGrid w:val="0"/>
              <w:jc w:val="center"/>
              <w:textAlignment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小时烟气</w:t>
            </w:r>
          </w:p>
          <w:p>
            <w:pPr>
              <w:widowControl/>
              <w:snapToGrid w:val="0"/>
              <w:jc w:val="center"/>
              <w:textAlignment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流量</w:t>
            </w: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1000</w:t>
            </w:r>
            <w:r>
              <w:rPr>
                <w:rFonts w:hint="eastAsia" w:ascii="Times New Roman" w:hAnsi="Times New Roman" w:eastAsia="仿宋_GB2312" w:cs="仿宋_GB2312"/>
                <w:color w:val="000000"/>
                <w:highlight w:val="none"/>
              </w:rPr>
              <w:t>标立方米</w:t>
            </w:r>
          </w:p>
        </w:tc>
        <w:tc>
          <w:tcPr>
            <w:tcW w:w="2693" w:type="dxa"/>
            <w:vAlign w:val="center"/>
          </w:tcPr>
          <w:p>
            <w:pPr>
              <w:widowControl/>
              <w:snapToGrid w:val="0"/>
              <w:jc w:val="center"/>
              <w:textAlignment w:val="center"/>
              <w:rPr>
                <w:rFonts w:ascii="Times New Roman" w:hAnsi="Times New Roman" w:cs="Times New Roman"/>
                <w:color w:val="000000"/>
                <w:highlight w:val="none"/>
              </w:rPr>
            </w:pPr>
            <w:r>
              <w:rPr>
                <w:rFonts w:ascii="Times New Roman" w:hAnsi="Times New Roman" w:cs="Times New Roman"/>
                <w:color w:val="000000"/>
                <w:kern w:val="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1000</w:t>
            </w:r>
            <w:r>
              <w:rPr>
                <w:rFonts w:hint="eastAsia" w:ascii="Times New Roman" w:hAnsi="Times New Roman" w:eastAsia="仿宋_GB2312" w:cs="仿宋_GB2312"/>
                <w:color w:val="000000"/>
                <w:highlight w:val="none"/>
              </w:rPr>
              <w:t>标立方米以上不足</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万标立方米</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kern w:val="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万标立方米以上不足</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万标立方米</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kern w:val="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万标立方米以上不足</w:t>
            </w: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万标立方米</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kern w:val="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万标立方米以上</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kern w:val="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发生时期</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环境敏感度</w:t>
            </w: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一般期间</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b/>
                <w:bCs/>
                <w:color w:val="000000"/>
                <w:highlight w:val="none"/>
              </w:rPr>
            </w:pPr>
            <w:r>
              <w:rPr>
                <w:rFonts w:hint="eastAsia" w:ascii="Times New Roman" w:hAnsi="Times New Roman" w:eastAsia="仿宋_GB2312" w:cs="仿宋_GB2312"/>
                <w:color w:val="000000"/>
                <w:highlight w:val="none"/>
              </w:rPr>
              <w:t>特殊或重大活动期间</w:t>
            </w:r>
          </w:p>
        </w:tc>
        <w:tc>
          <w:tcPr>
            <w:tcW w:w="2693" w:type="dxa"/>
            <w:vAlign w:val="center"/>
          </w:tcPr>
          <w:p>
            <w:pPr>
              <w:snapToGrid w:val="0"/>
              <w:jc w:val="center"/>
              <w:rPr>
                <w:rFonts w:ascii="Times New Roman" w:hAnsi="Times New Roman" w:cs="Times New Roman"/>
                <w:b/>
                <w:bCs/>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b/>
                <w:bCs/>
                <w:color w:val="000000"/>
                <w:highlight w:val="none"/>
              </w:rPr>
            </w:pPr>
            <w:r>
              <w:rPr>
                <w:rFonts w:hint="eastAsia" w:ascii="Times New Roman" w:hAnsi="Times New Roman" w:eastAsia="仿宋_GB2312" w:cs="仿宋_GB2312"/>
                <w:color w:val="000000"/>
                <w:highlight w:val="none"/>
              </w:rPr>
              <w:t>重污染天气预警期间</w:t>
            </w:r>
          </w:p>
        </w:tc>
        <w:tc>
          <w:tcPr>
            <w:tcW w:w="2693" w:type="dxa"/>
            <w:vAlign w:val="center"/>
          </w:tcPr>
          <w:p>
            <w:pPr>
              <w:snapToGrid w:val="0"/>
              <w:jc w:val="center"/>
              <w:rPr>
                <w:rFonts w:ascii="Times New Roman" w:hAnsi="Times New Roman" w:cs="Times New Roman"/>
                <w:b/>
                <w:bCs/>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938" w:type="dxa"/>
            <w:gridSpan w:val="2"/>
          </w:tcPr>
          <w:p>
            <w:pPr>
              <w:snapToGrid w:val="0"/>
              <w:spacing w:line="288" w:lineRule="auto"/>
              <w:rPr>
                <w:rFonts w:ascii="Times New Roman" w:hAnsi="Times New Roman" w:cs="Times New Roman"/>
                <w:color w:val="000000"/>
                <w:highlight w:val="none"/>
              </w:rPr>
            </w:pPr>
          </w:p>
        </w:tc>
      </w:tr>
    </w:tbl>
    <w:p>
      <w:pPr>
        <w:widowControl/>
        <w:snapToGrid w:val="0"/>
        <w:jc w:val="left"/>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（二）大气污染防治类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tcPr>
          <w:p>
            <w:pPr>
              <w:snapToGrid w:val="0"/>
              <w:spacing w:before="62" w:beforeLines="20"/>
              <w:ind w:firstLine="420"/>
              <w:jc w:val="left"/>
              <w:rPr>
                <w:rFonts w:ascii="Times New Roman" w:hAnsi="Times New Roman" w:eastAsia="仿宋_GB2312" w:cs="Times New Roman"/>
                <w:highlight w:val="none"/>
              </w:rPr>
            </w:pPr>
            <w:r>
              <w:rPr>
                <w:rFonts w:hint="eastAsia" w:ascii="Times New Roman" w:hAnsi="Times New Roman" w:eastAsia="仿宋_GB2312" w:cs="仿宋_GB2312"/>
                <w:highlight w:val="none"/>
              </w:rPr>
              <w:t>侵占、损毁或者擅自移动、改变大气环境质量监测设施或者大气污染物排放自动监测设备的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1"/>
              <w:snapToGrid w:val="0"/>
              <w:spacing w:before="62" w:beforeLines="20" w:line="288" w:lineRule="auto"/>
              <w:ind w:firstLine="42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《中华人民共和国大气污染防治法》第二十六条</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禁止侵占、损毁或者擅自移动、改变大气环境质量监测设施和大气污染物排放自动监测设备。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2"/>
              <w:snapToGrid w:val="0"/>
              <w:spacing w:before="62" w:beforeLines="20" w:beforeAutospacing="0" w:after="0" w:afterAutospacing="0" w:line="288" w:lineRule="auto"/>
              <w:ind w:firstLine="42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《中华人民共和国大气污染防治法》第一百条第（一）项</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违反本法规定，有下列行为之一的，由县级以上人民政府生态环境主管部门责令改正，处二万元以上二十万元以下的罚款；拒不改正的，责令停产整治：</w:t>
            </w:r>
          </w:p>
          <w:p>
            <w:pPr>
              <w:pStyle w:val="12"/>
              <w:snapToGrid w:val="0"/>
              <w:spacing w:before="0" w:beforeAutospacing="0" w:after="0" w:afterAutospacing="0" w:line="288" w:lineRule="auto"/>
              <w:ind w:firstLine="42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（一）侵占、损毁或者擅自移动、改变大气环境质量监测设施或者大气污染物排放自动监测设备的。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jc w:val="center"/>
              <w:rPr>
                <w:rFonts w:ascii="Times New Roman" w:hAnsi="Times New Roman" w:eastAsia="仿宋_GB2312" w:cs="仿宋_GB2312"/>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宋体"/>
                <w:b/>
                <w:bCs/>
                <w:highlight w:val="none"/>
              </w:rPr>
            </w:pPr>
            <w:r>
              <w:rPr>
                <w:rFonts w:hint="eastAsia" w:ascii="Times New Roman" w:hAnsi="Times New Roman" w:cs="宋体"/>
                <w:b/>
                <w:bCs/>
                <w:highlight w:val="none"/>
              </w:rPr>
              <w:t>违法事实★</w:t>
            </w:r>
          </w:p>
        </w:tc>
        <w:tc>
          <w:tcPr>
            <w:tcW w:w="5245" w:type="dxa"/>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擅自移动、改变大气环境质量监测设施或者大气污染物排放自动监测设备的</w:t>
            </w:r>
          </w:p>
        </w:tc>
        <w:tc>
          <w:tcPr>
            <w:tcW w:w="2693" w:type="dxa"/>
            <w:vAlign w:val="center"/>
          </w:tcPr>
          <w:p>
            <w:pPr>
              <w:snapToGrid w:val="0"/>
              <w:jc w:val="center"/>
              <w:rPr>
                <w:rFonts w:ascii="Times New Roman" w:hAnsi="Times New Roman" w:cs="Times New Roman"/>
                <w:highlight w:val="none"/>
              </w:rPr>
            </w:pPr>
            <w:r>
              <w:rPr>
                <w:rFonts w:hint="eastAsia"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Merge w:val="continue"/>
            <w:vAlign w:val="center"/>
          </w:tcPr>
          <w:p>
            <w:pPr>
              <w:snapToGrid w:val="0"/>
              <w:jc w:val="center"/>
              <w:rPr>
                <w:rFonts w:ascii="Times New Roman" w:hAnsi="Times New Roman" w:cs="宋体"/>
                <w:b/>
                <w:bCs/>
                <w:highlight w:val="none"/>
              </w:rPr>
            </w:pPr>
          </w:p>
        </w:tc>
        <w:tc>
          <w:tcPr>
            <w:tcW w:w="5245" w:type="dxa"/>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侵占、损毁大气环境质量监测设施或者大气污染物排放自动监测设备的</w:t>
            </w:r>
          </w:p>
        </w:tc>
        <w:tc>
          <w:tcPr>
            <w:tcW w:w="2693" w:type="dxa"/>
            <w:vAlign w:val="center"/>
          </w:tcPr>
          <w:p>
            <w:pPr>
              <w:snapToGrid w:val="0"/>
              <w:jc w:val="center"/>
              <w:rPr>
                <w:rFonts w:ascii="Times New Roman" w:hAnsi="Times New Roman" w:cs="Times New Roman"/>
                <w:highlight w:val="none"/>
              </w:rPr>
            </w:pPr>
            <w:r>
              <w:rPr>
                <w:rFonts w:hint="eastAsia"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废气类别</w:t>
            </w:r>
          </w:p>
        </w:tc>
        <w:tc>
          <w:tcPr>
            <w:tcW w:w="5245" w:type="dxa"/>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一般废气</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火电、钢铁、石化、水泥、炼焦、有色、化工等行业废气、烟尘</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含有毒有害物质的废气</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发生时期</w:t>
            </w:r>
          </w:p>
          <w:p>
            <w:pPr>
              <w:snapToGrid w:val="0"/>
              <w:jc w:val="center"/>
              <w:rPr>
                <w:rFonts w:ascii="Times New Roman" w:hAnsi="Times New Roman" w:cs="Times New Roman"/>
                <w:b/>
                <w:bCs/>
                <w:highlight w:val="none"/>
              </w:rPr>
            </w:pPr>
            <w:r>
              <w:rPr>
                <w:rFonts w:hint="eastAsia" w:ascii="Times New Roman" w:hAnsi="Times New Roman" w:cs="宋体"/>
                <w:b/>
                <w:bCs/>
                <w:color w:val="000000"/>
                <w:highlight w:val="none"/>
              </w:rPr>
              <w:t>环境敏感度</w:t>
            </w: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一般期间</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b/>
                <w:bCs/>
                <w:highlight w:val="none"/>
              </w:rPr>
            </w:pPr>
            <w:r>
              <w:rPr>
                <w:rFonts w:hint="eastAsia" w:ascii="Times New Roman" w:hAnsi="Times New Roman" w:eastAsia="仿宋_GB2312" w:cs="仿宋_GB2312"/>
                <w:highlight w:val="none"/>
              </w:rPr>
              <w:t>特殊或重大活动期间</w:t>
            </w:r>
          </w:p>
        </w:tc>
        <w:tc>
          <w:tcPr>
            <w:tcW w:w="2693" w:type="dxa"/>
            <w:vAlign w:val="center"/>
          </w:tcPr>
          <w:p>
            <w:pPr>
              <w:snapToGrid w:val="0"/>
              <w:jc w:val="center"/>
              <w:rPr>
                <w:rFonts w:ascii="Times New Roman" w:hAnsi="Times New Roman" w:cs="Times New Roman"/>
                <w:b/>
                <w:bCs/>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重污染天气预警期间</w:t>
            </w:r>
          </w:p>
        </w:tc>
        <w:tc>
          <w:tcPr>
            <w:tcW w:w="2693" w:type="dxa"/>
            <w:vAlign w:val="center"/>
          </w:tcPr>
          <w:p>
            <w:pPr>
              <w:snapToGrid w:val="0"/>
              <w:jc w:val="center"/>
              <w:rPr>
                <w:rFonts w:ascii="Times New Roman" w:hAnsi="Times New Roman" w:cs="Times New Roman"/>
                <w:b/>
                <w:bCs/>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宋体"/>
                <w:b/>
                <w:bCs/>
                <w:color w:val="000000"/>
                <w:highlight w:val="none"/>
              </w:rPr>
            </w:pPr>
            <w:r>
              <w:rPr>
                <w:rFonts w:hint="eastAsia" w:ascii="Times New Roman" w:hAnsi="Times New Roman" w:cs="宋体"/>
                <w:b/>
                <w:bCs/>
                <w:color w:val="000000"/>
                <w:highlight w:val="none"/>
              </w:rPr>
              <w:t>排放去向</w:t>
            </w:r>
          </w:p>
          <w:p>
            <w:pPr>
              <w:snapToGrid w:val="0"/>
              <w:jc w:val="center"/>
              <w:rPr>
                <w:rFonts w:ascii="Times New Roman" w:hAnsi="Times New Roman" w:cs="Times New Roman"/>
                <w:b/>
                <w:bCs/>
                <w:color w:val="FF0000"/>
                <w:highlight w:val="none"/>
              </w:rPr>
            </w:pPr>
            <w:r>
              <w:rPr>
                <w:rFonts w:hint="eastAsia" w:ascii="Times New Roman" w:hAnsi="Times New Roman" w:cs="宋体"/>
                <w:b/>
                <w:bCs/>
                <w:color w:val="000000"/>
                <w:highlight w:val="none"/>
              </w:rPr>
              <w:t>或区域</w:t>
            </w:r>
          </w:p>
        </w:tc>
        <w:tc>
          <w:tcPr>
            <w:tcW w:w="5245" w:type="dxa"/>
            <w:vAlign w:val="center"/>
          </w:tcPr>
          <w:p>
            <w:pPr>
              <w:snapToGrid w:val="0"/>
              <w:jc w:val="center"/>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二类功能区（工业区和农村地区）</w:t>
            </w:r>
          </w:p>
        </w:tc>
        <w:tc>
          <w:tcPr>
            <w:tcW w:w="2693" w:type="dxa"/>
            <w:vAlign w:val="center"/>
          </w:tcPr>
          <w:p>
            <w:pPr>
              <w:snapToGrid w:val="0"/>
              <w:jc w:val="center"/>
              <w:rPr>
                <w:rFonts w:ascii="Times New Roman" w:hAnsi="Times New Roman" w:cs="Times New Roman"/>
                <w:highlight w:val="none"/>
              </w:rPr>
            </w:pPr>
            <w:r>
              <w:rPr>
                <w:rFonts w:hint="eastAsia"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tcPr>
          <w:p>
            <w:pPr>
              <w:snapToGrid w:val="0"/>
              <w:jc w:val="center"/>
              <w:rPr>
                <w:rFonts w:ascii="Times New Roman" w:hAnsi="Times New Roman" w:cs="Times New Roman"/>
                <w:b/>
                <w:bCs/>
                <w:color w:val="FF0000"/>
                <w:highlight w:val="none"/>
              </w:rPr>
            </w:pPr>
          </w:p>
        </w:tc>
        <w:tc>
          <w:tcPr>
            <w:tcW w:w="5245" w:type="dxa"/>
            <w:vAlign w:val="center"/>
          </w:tcPr>
          <w:p>
            <w:pPr>
              <w:snapToGrid w:val="0"/>
              <w:jc w:val="center"/>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二类功能区（居民区、商业交通居民混合区、文化区）</w:t>
            </w:r>
          </w:p>
        </w:tc>
        <w:tc>
          <w:tcPr>
            <w:tcW w:w="2693" w:type="dxa"/>
            <w:vAlign w:val="center"/>
          </w:tcPr>
          <w:p>
            <w:pPr>
              <w:snapToGrid w:val="0"/>
              <w:jc w:val="center"/>
              <w:rPr>
                <w:rFonts w:ascii="Times New Roman" w:hAnsi="Times New Roman" w:cs="Times New Roman"/>
                <w:highlight w:val="none"/>
              </w:rPr>
            </w:pPr>
            <w:r>
              <w:rPr>
                <w:rFonts w:hint="eastAsia"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Merge w:val="continue"/>
          </w:tcPr>
          <w:p>
            <w:pPr>
              <w:snapToGrid w:val="0"/>
              <w:jc w:val="center"/>
              <w:rPr>
                <w:rFonts w:ascii="Times New Roman" w:hAnsi="Times New Roman" w:cs="Times New Roman"/>
                <w:b/>
                <w:bCs/>
                <w:color w:val="FF0000"/>
                <w:highlight w:val="none"/>
              </w:rPr>
            </w:pPr>
          </w:p>
        </w:tc>
        <w:tc>
          <w:tcPr>
            <w:tcW w:w="5245" w:type="dxa"/>
            <w:vAlign w:val="center"/>
          </w:tcPr>
          <w:p>
            <w:pPr>
              <w:snapToGrid w:val="0"/>
              <w:jc w:val="center"/>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一类功能区</w:t>
            </w:r>
          </w:p>
        </w:tc>
        <w:tc>
          <w:tcPr>
            <w:tcW w:w="2693" w:type="dxa"/>
            <w:vAlign w:val="center"/>
          </w:tcPr>
          <w:p>
            <w:pPr>
              <w:snapToGrid w:val="0"/>
              <w:jc w:val="center"/>
              <w:rPr>
                <w:rFonts w:ascii="Times New Roman" w:hAnsi="Times New Roman" w:cs="Times New Roman"/>
                <w:highlight w:val="none"/>
              </w:rPr>
            </w:pPr>
            <w:r>
              <w:rPr>
                <w:rFonts w:hint="eastAsia"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cs="Times New Roman"/>
                <w:highlight w:val="none"/>
              </w:rPr>
            </w:pPr>
          </w:p>
        </w:tc>
      </w:tr>
    </w:tbl>
    <w:p>
      <w:pPr>
        <w:widowControl/>
        <w:snapToGrid w:val="0"/>
        <w:jc w:val="left"/>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（二）大气污染防治类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tcPr>
          <w:p>
            <w:pPr>
              <w:snapToGrid w:val="0"/>
              <w:ind w:firstLine="420"/>
              <w:jc w:val="left"/>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未按照规定对所排放的工业废气和有毒有害大气污染物进行监测并保存原始监测记录的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2"/>
              <w:snapToGrid w:val="0"/>
              <w:spacing w:before="62" w:beforeLines="20" w:beforeAutospacing="0" w:after="0" w:afterAutospacing="0" w:line="288" w:lineRule="auto"/>
              <w:ind w:firstLine="42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《中华人民共和国大气污染防治法》第二十四条第一款</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企业事业单位和其他生产经营者应当按照国家有关规定和监测规范，对其排放的工业废气和本法第七十八条规定名录中所列有毒有害大气污染物进行监测，并保存原始监测记录。其中，重点排污单位应当安装、使用大气污染物排放自动监测设备，与生态环境主管部门的监控设备联网，保证监测设备正常运行并依法公开排放信息。监测的具体办法和重点排污单位的条件由国务院生态环境主管部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2"/>
              <w:snapToGrid w:val="0"/>
              <w:spacing w:before="62" w:beforeLines="20" w:beforeAutospacing="0" w:after="0" w:afterAutospacing="0" w:line="288" w:lineRule="auto"/>
              <w:ind w:firstLine="42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《中华人民共和国大气污染防治法》第一百条第（二）项</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违反本法规定，有下列行为之一的，由县级以上人民政府生态环境主管部门责令改正，处二万元以上二十万元以下的罚款；拒不改正的，责令停产整治：</w:t>
            </w:r>
          </w:p>
          <w:p>
            <w:pPr>
              <w:pStyle w:val="12"/>
              <w:snapToGrid w:val="0"/>
              <w:spacing w:before="0" w:beforeAutospacing="0" w:after="0" w:afterAutospacing="0" w:line="288" w:lineRule="auto"/>
              <w:ind w:firstLine="42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（二）未按照规定对所排放的工业废气和有毒有害大气污染物进行监测并保存原始监测记录的。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按规定进行了监测，但原始监测记录不完整或者监测项目</w:t>
            </w:r>
            <w:r>
              <w:rPr>
                <w:rFonts w:ascii="Times New Roman" w:hAnsi="Times New Roman" w:eastAsia="仿宋_GB2312" w:cs="仿宋_GB2312"/>
                <w:highlight w:val="none"/>
              </w:rPr>
              <w:t>缺项少于2</w:t>
            </w:r>
            <w:r>
              <w:rPr>
                <w:rFonts w:hint="eastAsia" w:ascii="Times New Roman" w:hAnsi="Times New Roman" w:eastAsia="仿宋_GB2312" w:cs="仿宋_GB2312"/>
                <w:highlight w:val="none"/>
              </w:rPr>
              <w:t>个</w:t>
            </w:r>
            <w:r>
              <w:rPr>
                <w:rFonts w:ascii="Times New Roman" w:hAnsi="Times New Roman" w:eastAsia="仿宋_GB2312" w:cs="仿宋_GB2312"/>
                <w:highlight w:val="none"/>
              </w:rPr>
              <w:t>的</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进行了监测，但监测不符合规定或者监测</w:t>
            </w:r>
            <w:r>
              <w:rPr>
                <w:rFonts w:ascii="Times New Roman" w:hAnsi="Times New Roman" w:eastAsia="仿宋_GB2312" w:cs="仿宋_GB2312"/>
                <w:highlight w:val="none"/>
              </w:rPr>
              <w:t>项目缺项多于</w:t>
            </w:r>
            <w:r>
              <w:rPr>
                <w:rFonts w:hint="eastAsia" w:ascii="Times New Roman" w:hAnsi="Times New Roman" w:eastAsia="仿宋_GB2312" w:cs="仿宋_GB2312"/>
                <w:highlight w:val="none"/>
              </w:rPr>
              <w:t>2个的</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未监测或未保存监测</w:t>
            </w:r>
            <w:r>
              <w:rPr>
                <w:rFonts w:hint="eastAsia" w:ascii="Times New Roman" w:hAnsi="Times New Roman" w:eastAsia="仿宋_GB2312" w:cs="仿宋_GB2312"/>
                <w:color w:val="000000"/>
                <w:highlight w:val="none"/>
              </w:rPr>
              <w:t>记录或弄虚作假的</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废气类别</w:t>
            </w: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一般工业废气</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ind w:firstLine="420"/>
              <w:jc w:val="center"/>
              <w:rPr>
                <w:rFonts w:ascii="Times New Roman" w:hAnsi="Times New Roman" w:eastAsia="仿宋_GB2312" w:cs="Times New Roman"/>
                <w:color w:val="000000"/>
                <w:highlight w:val="none"/>
              </w:rPr>
            </w:pPr>
            <w:r>
              <w:rPr>
                <w:rFonts w:hint="eastAsia" w:ascii="Times New Roman" w:hAnsi="Times New Roman" w:eastAsia="仿宋_GB2312" w:cs="仿宋_GB2312"/>
                <w:highlight w:val="none"/>
              </w:rPr>
              <w:t>火电、钢铁、石化、水泥、炼焦、有色、化工废气、烟尘</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燃煤锅炉废气、烟尘</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b/>
                <w:bCs/>
                <w:color w:val="000000"/>
                <w:highlight w:val="none"/>
              </w:rPr>
            </w:pPr>
            <w:r>
              <w:rPr>
                <w:rFonts w:hint="eastAsia" w:ascii="Times New Roman" w:hAnsi="Times New Roman" w:eastAsia="仿宋_GB2312" w:cs="仿宋_GB2312"/>
                <w:color w:val="000000"/>
                <w:highlight w:val="none"/>
              </w:rPr>
              <w:t>含有毒有害物质的废气</w:t>
            </w:r>
          </w:p>
        </w:tc>
        <w:tc>
          <w:tcPr>
            <w:tcW w:w="2693" w:type="dxa"/>
            <w:vAlign w:val="center"/>
          </w:tcPr>
          <w:p>
            <w:pPr>
              <w:snapToGrid w:val="0"/>
              <w:jc w:val="center"/>
              <w:rPr>
                <w:rFonts w:ascii="Times New Roman" w:hAnsi="Times New Roman" w:cs="Times New Roman"/>
                <w:b/>
                <w:bCs/>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Times New Roman"/>
                <w:b/>
                <w:bCs/>
                <w:color w:val="000000"/>
                <w:highlight w:val="none"/>
              </w:rPr>
              <w:t>项目</w:t>
            </w:r>
            <w:r>
              <w:rPr>
                <w:rFonts w:ascii="Times New Roman" w:hAnsi="Times New Roman" w:cs="Times New Roman"/>
                <w:b/>
                <w:bCs/>
                <w:color w:val="000000"/>
                <w:highlight w:val="none"/>
              </w:rPr>
              <w:t>环评</w:t>
            </w:r>
          </w:p>
          <w:p>
            <w:pPr>
              <w:snapToGrid w:val="0"/>
              <w:jc w:val="center"/>
              <w:rPr>
                <w:rFonts w:ascii="Times New Roman" w:hAnsi="Times New Roman" w:cs="Times New Roman"/>
                <w:b/>
                <w:bCs/>
                <w:color w:val="000000"/>
                <w:highlight w:val="none"/>
              </w:rPr>
            </w:pPr>
            <w:r>
              <w:rPr>
                <w:rFonts w:ascii="Times New Roman" w:hAnsi="Times New Roman" w:cs="Times New Roman"/>
                <w:b/>
                <w:bCs/>
                <w:color w:val="000000"/>
                <w:highlight w:val="none"/>
              </w:rPr>
              <w:t>文件类别</w:t>
            </w:r>
          </w:p>
        </w:tc>
        <w:tc>
          <w:tcPr>
            <w:tcW w:w="5245" w:type="dxa"/>
            <w:vAlign w:val="center"/>
          </w:tcPr>
          <w:p>
            <w:pPr>
              <w:snapToGrid w:val="0"/>
              <w:jc w:val="center"/>
              <w:rPr>
                <w:rFonts w:ascii="Times New Roman" w:hAnsi="Times New Roman" w:eastAsia="仿宋_GB2312" w:cs="仿宋_GB2312"/>
                <w:color w:val="000000"/>
                <w:highlight w:val="none"/>
              </w:rPr>
            </w:pPr>
            <w:r>
              <w:rPr>
                <w:rFonts w:hint="eastAsia" w:ascii="仿宋_GB2312" w:hAnsi="仿宋_GB2312" w:eastAsia="仿宋_GB2312" w:cs="仿宋_GB2312"/>
                <w:color w:val="000000"/>
                <w:highlight w:val="none"/>
              </w:rPr>
              <w:t>报告表</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eastAsia="楷体"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仿宋_GB2312"/>
                <w:color w:val="000000"/>
                <w:highlight w:val="none"/>
              </w:rPr>
            </w:pPr>
            <w:r>
              <w:rPr>
                <w:rFonts w:hint="eastAsia" w:ascii="仿宋_GB2312" w:hAnsi="仿宋_GB2312" w:eastAsia="仿宋_GB2312" w:cs="仿宋_GB2312"/>
                <w:color w:val="000000"/>
                <w:highlight w:val="none"/>
              </w:rPr>
              <w:t>报告书</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eastAsia="楷体"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仿宋_GB2312"/>
                <w:color w:val="000000"/>
                <w:highlight w:val="none"/>
              </w:rPr>
            </w:pPr>
            <w:r>
              <w:rPr>
                <w:rFonts w:hint="eastAsia" w:ascii="仿宋_GB2312" w:hAnsi="仿宋_GB2312" w:eastAsia="仿宋_GB2312" w:cs="仿宋_GB2312"/>
                <w:color w:val="000000"/>
                <w:highlight w:val="none"/>
              </w:rPr>
              <w:t>报告书（化工、电镀、皮革、造纸、制浆、冶炼、放射性、印染、染料、炼焦、炼油项目）</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eastAsia="楷体"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938" w:type="dxa"/>
            <w:gridSpan w:val="2"/>
            <w:vAlign w:val="center"/>
          </w:tcPr>
          <w:p>
            <w:pPr>
              <w:snapToGrid w:val="0"/>
              <w:ind w:firstLine="420" w:firstLineChars="200"/>
              <w:rPr>
                <w:rFonts w:ascii="Times New Roman" w:hAnsi="Times New Roman" w:cs="Times New Roman"/>
                <w:color w:val="000000"/>
                <w:highlight w:val="none"/>
              </w:rPr>
            </w:pPr>
          </w:p>
        </w:tc>
      </w:tr>
    </w:tbl>
    <w:p>
      <w:pPr>
        <w:widowControl/>
        <w:snapToGrid w:val="0"/>
        <w:spacing w:line="288" w:lineRule="auto"/>
        <w:jc w:val="left"/>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6067"/>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（二）大气污染防治类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spacing w:line="288" w:lineRule="auto"/>
              <w:jc w:val="center"/>
              <w:rPr>
                <w:rFonts w:ascii="Times New Roman" w:hAnsi="Times New Roman" w:cs="Times New Roman"/>
                <w:highlight w:val="none"/>
              </w:rPr>
            </w:pPr>
            <w:r>
              <w:rPr>
                <w:rFonts w:ascii="Times New Roman" w:hAnsi="Times New Roman" w:cs="Times New Roman"/>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tcPr>
          <w:p>
            <w:pPr>
              <w:snapToGrid w:val="0"/>
              <w:spacing w:before="93" w:beforeLines="30" w:line="288" w:lineRule="auto"/>
              <w:ind w:firstLine="420"/>
              <w:jc w:val="left"/>
              <w:rPr>
                <w:rFonts w:ascii="Times New Roman" w:hAnsi="Times New Roman" w:eastAsia="仿宋_GB2312" w:cs="Times New Roman"/>
                <w:highlight w:val="none"/>
              </w:rPr>
            </w:pPr>
            <w:r>
              <w:rPr>
                <w:rFonts w:hint="eastAsia" w:ascii="Times New Roman" w:hAnsi="Times New Roman" w:eastAsia="仿宋_GB2312" w:cs="仿宋_GB2312"/>
                <w:highlight w:val="none"/>
              </w:rPr>
              <w:t>未按照规定安装、使用大气污染物排放自动监测设备或者未按照规定与生态环境主管部门的监控设备联网，并保证监测设备正常运行的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2"/>
              <w:snapToGrid w:val="0"/>
              <w:spacing w:before="93" w:beforeLines="30" w:beforeAutospacing="0" w:after="0" w:afterAutospacing="0" w:line="288" w:lineRule="auto"/>
              <w:ind w:firstLine="357"/>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《中华人民共和国大气污染防治法》第二十四条第一款</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企业事业单位和其他生产经营者应当按照国家有关规定和监测规范，对其排放的工业废气和本法第七十八条规定名录中所列有毒有害大气污染物进行监测，并保存原始监测记录。其中，重点排污单位应当安装、使用大气污染物排放自动监测设备，与生态环境主管部门的监控设备联网，保证监测设备正常运行并依法公开排放信息。监测的具体办法和重点排污单位的条件由国务院生态环境主管部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1"/>
              <w:snapToGrid w:val="0"/>
              <w:spacing w:before="93" w:beforeLines="30" w:line="288" w:lineRule="auto"/>
              <w:ind w:firstLine="42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《中华人民共和国大气污染防治法》第一百条第（三）项</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违反本法规定，有下列行为之一的，由县级以上人民政府生态环境主管部门责令改正，处二万元以上二十万元以下的罚款；拒不改正的，责令停产整治：</w:t>
            </w:r>
          </w:p>
          <w:p>
            <w:pPr>
              <w:pStyle w:val="11"/>
              <w:snapToGrid w:val="0"/>
              <w:spacing w:line="288" w:lineRule="auto"/>
              <w:ind w:firstLine="42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（三）未按照规定安装、使用大气污染物排放自动监测设备或者未按照规定与生态环境主管部门的监控设备联网，并保证监测设备正常运行的。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60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18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6067"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eastAsia="仿宋_GB2312" w:cs="仿宋_GB2312"/>
                <w:color w:val="000000"/>
                <w:highlight w:val="none"/>
              </w:rPr>
              <w:t>自动监测设备已安装，未按照规定与生态环境主管部门监控设备联网的</w:t>
            </w:r>
          </w:p>
        </w:tc>
        <w:tc>
          <w:tcPr>
            <w:tcW w:w="1871"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6067"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自动监测设备安装、运行维护不符合相关技术规范的</w:t>
            </w:r>
          </w:p>
        </w:tc>
        <w:tc>
          <w:tcPr>
            <w:tcW w:w="1871"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6067" w:type="dxa"/>
            <w:vAlign w:val="center"/>
          </w:tcPr>
          <w:p>
            <w:pPr>
              <w:snapToGrid w:val="0"/>
              <w:ind w:firstLine="42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未按照规定安装污染物排放自动监测设备，或者擅自停运部分或全部污染源自动监测设备的</w:t>
            </w:r>
          </w:p>
        </w:tc>
        <w:tc>
          <w:tcPr>
            <w:tcW w:w="1871"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监测数据</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误差</w:t>
            </w:r>
          </w:p>
        </w:tc>
        <w:tc>
          <w:tcPr>
            <w:tcW w:w="6067"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未保证监测设备正常运行，造成自动监测与人工监测（或者标准物质测试）数据误差超过技术规范允许范围</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倍以内的</w:t>
            </w:r>
          </w:p>
        </w:tc>
        <w:tc>
          <w:tcPr>
            <w:tcW w:w="1871"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6067" w:type="dxa"/>
            <w:vAlign w:val="center"/>
          </w:tcPr>
          <w:p>
            <w:pPr>
              <w:snapToGrid w:val="0"/>
              <w:jc w:val="center"/>
              <w:rPr>
                <w:rFonts w:ascii="Times New Roman" w:hAnsi="Times New Roman" w:eastAsia="仿宋_GB2312" w:cs="Times New Roman"/>
                <w:b/>
                <w:bCs/>
                <w:highlight w:val="none"/>
              </w:rPr>
            </w:pPr>
            <w:r>
              <w:rPr>
                <w:rFonts w:hint="eastAsia" w:ascii="Times New Roman" w:hAnsi="Times New Roman" w:eastAsia="仿宋_GB2312" w:cs="仿宋_GB2312"/>
                <w:color w:val="000000"/>
                <w:highlight w:val="none"/>
              </w:rPr>
              <w:t>未保证监测设备正常运行，造成自动监测与人工监测（或者标准物质测试）数据误差超过技术规范允许范围</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倍以上</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倍以下的</w:t>
            </w:r>
          </w:p>
        </w:tc>
        <w:tc>
          <w:tcPr>
            <w:tcW w:w="1871"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6067" w:type="dxa"/>
            <w:vAlign w:val="center"/>
          </w:tcPr>
          <w:p>
            <w:pPr>
              <w:snapToGrid w:val="0"/>
              <w:jc w:val="center"/>
              <w:rPr>
                <w:rFonts w:ascii="Times New Roman" w:hAnsi="Times New Roman" w:eastAsia="仿宋_GB2312" w:cs="Times New Roman"/>
                <w:b/>
                <w:bCs/>
                <w:highlight w:val="none"/>
              </w:rPr>
            </w:pPr>
            <w:r>
              <w:rPr>
                <w:rFonts w:hint="eastAsia" w:ascii="Times New Roman" w:hAnsi="Times New Roman" w:eastAsia="仿宋_GB2312" w:cs="仿宋_GB2312"/>
                <w:color w:val="000000"/>
                <w:highlight w:val="none"/>
              </w:rPr>
              <w:t>未保证自动监测设备正常运行，造成自动监测与人工监测（或者标准物质测试）数据误差超过技术规范允许范围</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倍以上的</w:t>
            </w:r>
          </w:p>
        </w:tc>
        <w:tc>
          <w:tcPr>
            <w:tcW w:w="1871"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监测数据</w:t>
            </w:r>
          </w:p>
          <w:p>
            <w:pPr>
              <w:snapToGrid w:val="0"/>
              <w:jc w:val="center"/>
              <w:rPr>
                <w:rFonts w:ascii="Times New Roman" w:hAnsi="Times New Roman" w:eastAsia="仿宋_GB2312" w:cs="Times New Roman"/>
                <w:color w:val="0000FF"/>
                <w:highlight w:val="none"/>
              </w:rPr>
            </w:pPr>
            <w:r>
              <w:rPr>
                <w:rFonts w:hint="eastAsia" w:ascii="Times New Roman" w:hAnsi="Times New Roman" w:cs="宋体"/>
                <w:b/>
                <w:bCs/>
                <w:highlight w:val="none"/>
              </w:rPr>
              <w:t>传输偏差</w:t>
            </w:r>
          </w:p>
        </w:tc>
        <w:tc>
          <w:tcPr>
            <w:tcW w:w="6067"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传输的自动监测数据与现场分析仪表数据不一致，数据偏差</w:t>
            </w:r>
            <w:r>
              <w:rPr>
                <w:rFonts w:ascii="Times New Roman" w:hAnsi="Times New Roman" w:eastAsia="仿宋_GB2312" w:cs="Times New Roman"/>
                <w:color w:val="000000"/>
                <w:highlight w:val="none"/>
              </w:rPr>
              <w:t>1%-5%</w:t>
            </w:r>
            <w:r>
              <w:rPr>
                <w:rFonts w:hint="eastAsia" w:ascii="Times New Roman" w:hAnsi="Times New Roman" w:eastAsia="仿宋_GB2312" w:cs="仿宋_GB2312"/>
                <w:color w:val="000000"/>
                <w:highlight w:val="none"/>
              </w:rPr>
              <w:t>的</w:t>
            </w:r>
          </w:p>
        </w:tc>
        <w:tc>
          <w:tcPr>
            <w:tcW w:w="187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6067"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传输的自动监测数据与现场分析仪表数据不一致，数据偏差</w:t>
            </w:r>
            <w:r>
              <w:rPr>
                <w:rFonts w:ascii="Times New Roman" w:hAnsi="Times New Roman" w:eastAsia="仿宋_GB2312" w:cs="Times New Roman"/>
                <w:color w:val="000000"/>
                <w:highlight w:val="none"/>
              </w:rPr>
              <w:t>5%-10%</w:t>
            </w:r>
            <w:r>
              <w:rPr>
                <w:rFonts w:hint="eastAsia" w:ascii="Times New Roman" w:hAnsi="Times New Roman" w:eastAsia="仿宋_GB2312" w:cs="仿宋_GB2312"/>
                <w:color w:val="000000"/>
                <w:highlight w:val="none"/>
              </w:rPr>
              <w:t>的</w:t>
            </w:r>
          </w:p>
        </w:tc>
        <w:tc>
          <w:tcPr>
            <w:tcW w:w="1871"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6067"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传输的自动监测数据与现场分析仪表数据不一致，数据偏差大于</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的</w:t>
            </w:r>
          </w:p>
        </w:tc>
        <w:tc>
          <w:tcPr>
            <w:tcW w:w="1871"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自动监测</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数据有效</w:t>
            </w:r>
          </w:p>
          <w:p>
            <w:pPr>
              <w:snapToGrid w:val="0"/>
              <w:jc w:val="center"/>
              <w:rPr>
                <w:rFonts w:ascii="Times New Roman" w:hAnsi="Times New Roman" w:eastAsia="仿宋_GB2312" w:cs="Times New Roman"/>
                <w:color w:val="0000FF"/>
                <w:highlight w:val="none"/>
              </w:rPr>
            </w:pPr>
            <w:r>
              <w:rPr>
                <w:rFonts w:hint="eastAsia" w:ascii="Times New Roman" w:hAnsi="Times New Roman" w:cs="宋体"/>
                <w:b/>
                <w:bCs/>
                <w:highlight w:val="none"/>
              </w:rPr>
              <w:t>传输率</w:t>
            </w:r>
          </w:p>
        </w:tc>
        <w:tc>
          <w:tcPr>
            <w:tcW w:w="6067"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自动监测季度数据有效传输率</w:t>
            </w:r>
            <w:r>
              <w:rPr>
                <w:rFonts w:ascii="Times New Roman" w:hAnsi="Times New Roman" w:eastAsia="仿宋_GB2312" w:cs="Times New Roman"/>
                <w:color w:val="000000"/>
                <w:highlight w:val="none"/>
              </w:rPr>
              <w:t>75%-90%</w:t>
            </w:r>
            <w:r>
              <w:rPr>
                <w:rFonts w:hint="eastAsia" w:ascii="Times New Roman" w:hAnsi="Times New Roman" w:eastAsia="仿宋_GB2312" w:cs="仿宋_GB2312"/>
                <w:color w:val="000000"/>
                <w:highlight w:val="none"/>
              </w:rPr>
              <w:t>的</w:t>
            </w:r>
          </w:p>
        </w:tc>
        <w:tc>
          <w:tcPr>
            <w:tcW w:w="187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6067"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自动监测季度数据有效传输率</w:t>
            </w:r>
            <w:r>
              <w:rPr>
                <w:rFonts w:ascii="Times New Roman" w:hAnsi="Times New Roman" w:eastAsia="仿宋_GB2312" w:cs="Times New Roman"/>
                <w:color w:val="000000"/>
                <w:highlight w:val="none"/>
              </w:rPr>
              <w:t>60%-75%</w:t>
            </w:r>
            <w:r>
              <w:rPr>
                <w:rFonts w:hint="eastAsia" w:ascii="Times New Roman" w:hAnsi="Times New Roman" w:eastAsia="仿宋_GB2312" w:cs="仿宋_GB2312"/>
                <w:color w:val="000000"/>
                <w:highlight w:val="none"/>
              </w:rPr>
              <w:t>的</w:t>
            </w:r>
          </w:p>
        </w:tc>
        <w:tc>
          <w:tcPr>
            <w:tcW w:w="1871"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6067"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自动监测季度数据有效传输率低于</w:t>
            </w:r>
            <w:r>
              <w:rPr>
                <w:rFonts w:ascii="Times New Roman" w:hAnsi="Times New Roman" w:eastAsia="仿宋_GB2312" w:cs="Times New Roman"/>
                <w:color w:val="000000"/>
                <w:highlight w:val="none"/>
              </w:rPr>
              <w:t>60%</w:t>
            </w:r>
            <w:r>
              <w:rPr>
                <w:rFonts w:hint="eastAsia" w:ascii="Times New Roman" w:hAnsi="Times New Roman" w:eastAsia="仿宋_GB2312" w:cs="仿宋_GB2312"/>
                <w:color w:val="000000"/>
                <w:highlight w:val="none"/>
              </w:rPr>
              <w:t>的</w:t>
            </w:r>
          </w:p>
        </w:tc>
        <w:tc>
          <w:tcPr>
            <w:tcW w:w="1871"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废气类别</w:t>
            </w:r>
          </w:p>
        </w:tc>
        <w:tc>
          <w:tcPr>
            <w:tcW w:w="6067" w:type="dxa"/>
            <w:vAlign w:val="center"/>
          </w:tcPr>
          <w:p>
            <w:pPr>
              <w:snapToGrid w:val="0"/>
              <w:jc w:val="center"/>
              <w:rPr>
                <w:rFonts w:ascii="Times New Roman" w:hAnsi="Times New Roman" w:eastAsia="仿宋_GB2312" w:cs="Times New Roman"/>
                <w:b/>
                <w:bCs/>
                <w:color w:val="000000"/>
                <w:highlight w:val="none"/>
              </w:rPr>
            </w:pPr>
            <w:r>
              <w:rPr>
                <w:rFonts w:hint="eastAsia" w:ascii="Times New Roman" w:hAnsi="Times New Roman" w:eastAsia="仿宋_GB2312" w:cs="仿宋_GB2312"/>
                <w:color w:val="000000"/>
                <w:highlight w:val="none"/>
              </w:rPr>
              <w:t>一般废气</w:t>
            </w:r>
          </w:p>
        </w:tc>
        <w:tc>
          <w:tcPr>
            <w:tcW w:w="1871" w:type="dxa"/>
            <w:vAlign w:val="center"/>
          </w:tcPr>
          <w:p>
            <w:pPr>
              <w:snapToGrid w:val="0"/>
              <w:jc w:val="center"/>
              <w:rPr>
                <w:rFonts w:ascii="Times New Roman" w:hAnsi="Times New Roman" w:cs="Times New Roman"/>
                <w:b/>
                <w:bCs/>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6067" w:type="dxa"/>
            <w:vAlign w:val="center"/>
          </w:tcPr>
          <w:p>
            <w:pPr>
              <w:snapToGrid w:val="0"/>
              <w:jc w:val="center"/>
              <w:rPr>
                <w:rFonts w:ascii="Times New Roman" w:hAnsi="Times New Roman" w:eastAsia="仿宋_GB2312" w:cs="Times New Roman"/>
                <w:b/>
                <w:bCs/>
                <w:color w:val="000000"/>
                <w:highlight w:val="none"/>
              </w:rPr>
            </w:pPr>
            <w:r>
              <w:rPr>
                <w:rFonts w:hint="eastAsia" w:ascii="Times New Roman" w:hAnsi="Times New Roman" w:eastAsia="仿宋_GB2312" w:cs="仿宋_GB2312"/>
                <w:highlight w:val="none"/>
              </w:rPr>
              <w:t>火电、钢铁、石化、水泥、炼焦、有色、化工废气、烟尘</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燃煤锅炉废气、烟尘</w:t>
            </w:r>
          </w:p>
        </w:tc>
        <w:tc>
          <w:tcPr>
            <w:tcW w:w="1871" w:type="dxa"/>
            <w:vAlign w:val="center"/>
          </w:tcPr>
          <w:p>
            <w:pPr>
              <w:snapToGrid w:val="0"/>
              <w:jc w:val="center"/>
              <w:rPr>
                <w:rFonts w:ascii="Times New Roman" w:hAnsi="Times New Roman" w:cs="Times New Roman"/>
                <w:b/>
                <w:bCs/>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6067" w:type="dxa"/>
            <w:vAlign w:val="center"/>
          </w:tcPr>
          <w:p>
            <w:pPr>
              <w:snapToGrid w:val="0"/>
              <w:jc w:val="center"/>
              <w:rPr>
                <w:rFonts w:ascii="Times New Roman" w:hAnsi="Times New Roman" w:eastAsia="仿宋_GB2312" w:cs="Times New Roman"/>
                <w:b/>
                <w:bCs/>
                <w:color w:val="000000"/>
                <w:highlight w:val="none"/>
              </w:rPr>
            </w:pPr>
            <w:r>
              <w:rPr>
                <w:rFonts w:hint="eastAsia" w:ascii="Times New Roman" w:hAnsi="Times New Roman" w:eastAsia="仿宋_GB2312" w:cs="仿宋_GB2312"/>
                <w:color w:val="000000"/>
                <w:highlight w:val="none"/>
              </w:rPr>
              <w:t>含有毒有害物质的废气</w:t>
            </w:r>
          </w:p>
        </w:tc>
        <w:tc>
          <w:tcPr>
            <w:tcW w:w="1871" w:type="dxa"/>
            <w:vAlign w:val="center"/>
          </w:tcPr>
          <w:p>
            <w:pPr>
              <w:snapToGrid w:val="0"/>
              <w:jc w:val="center"/>
              <w:rPr>
                <w:rFonts w:ascii="Times New Roman" w:hAnsi="Times New Roman" w:cs="Times New Roman"/>
                <w:b/>
                <w:bCs/>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cs="Times New Roman"/>
                <w:highlight w:val="none"/>
              </w:rPr>
            </w:pPr>
          </w:p>
        </w:tc>
      </w:tr>
    </w:tbl>
    <w:p>
      <w:pPr>
        <w:widowControl/>
        <w:snapToGrid w:val="0"/>
        <w:jc w:val="left"/>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09" w:type="dxa"/>
            <w:gridSpan w:val="3"/>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仿宋_GB2312"/>
                <w:b/>
                <w:bCs/>
                <w:color w:val="000000"/>
                <w:sz w:val="32"/>
                <w:szCs w:val="32"/>
                <w:highlight w:val="none"/>
              </w:rPr>
              <w:t>（二）大气污染防治类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938" w:type="dxa"/>
            <w:gridSpan w:val="2"/>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38" w:type="dxa"/>
            <w:gridSpan w:val="2"/>
            <w:vAlign w:val="center"/>
          </w:tcPr>
          <w:p>
            <w:pPr>
              <w:snapToGrid w:val="0"/>
              <w:ind w:firstLine="420" w:firstLineChars="20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重点排污单位不公开或者不如实公开自动监测数据的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违反条款</w:t>
            </w:r>
          </w:p>
        </w:tc>
        <w:tc>
          <w:tcPr>
            <w:tcW w:w="7938" w:type="dxa"/>
            <w:gridSpan w:val="2"/>
          </w:tcPr>
          <w:p>
            <w:pPr>
              <w:snapToGrid w:val="0"/>
              <w:spacing w:before="62" w:beforeLines="20" w:line="288" w:lineRule="auto"/>
              <w:ind w:firstLine="422" w:firstLineChars="20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《中华人民共和国大气污染防治法》第二十五条</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重点排污单位应当对自动监测数据的真实性和准确性负责。生态环境主管部门发现重点排污单位的大气污染物排放自动监测设备传输数据异常，应当及时进行调查。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处罚依据</w:t>
            </w:r>
          </w:p>
        </w:tc>
        <w:tc>
          <w:tcPr>
            <w:tcW w:w="7938" w:type="dxa"/>
            <w:gridSpan w:val="2"/>
          </w:tcPr>
          <w:p>
            <w:pPr>
              <w:snapToGrid w:val="0"/>
              <w:spacing w:before="62" w:beforeLines="20" w:line="288"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《中华人民共和国大气污染防治法》第一百条</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违反本法规定，有下列行为之一的，由县级以上人民政府生态环境主管部门责令改正，处二万元以上二十万元以下的罚款；拒不改正的，责令停产整治：</w:t>
            </w:r>
          </w:p>
          <w:p>
            <w:pPr>
              <w:snapToGrid w:val="0"/>
              <w:spacing w:line="288" w:lineRule="auto"/>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（四）重点排污单位不公开或者不如实公开自动监测数据的。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cs="宋体"/>
                <w:b/>
                <w:bCs/>
                <w:color w:val="000000"/>
                <w:highlight w:val="none"/>
              </w:rPr>
              <w:t>判定标准</w:t>
            </w:r>
          </w:p>
        </w:tc>
        <w:tc>
          <w:tcPr>
            <w:tcW w:w="269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未完全公开自动监测数据</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未公开自动监测数据</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公开自动监测数据存在弄虚作假的</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color w:val="000000"/>
                <w:highlight w:val="none"/>
              </w:rPr>
            </w:pPr>
            <w:r>
              <w:rPr>
                <w:rFonts w:hint="eastAsia" w:ascii="Times New Roman" w:hAnsi="Times New Roman" w:cs="宋体"/>
                <w:b/>
                <w:bCs/>
                <w:color w:val="000000"/>
                <w:highlight w:val="none"/>
              </w:rPr>
              <w:t>废气类别</w:t>
            </w: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一般废气</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火电、钢铁、石化、水泥、炼焦、有色、化工废气、烟尘</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燃煤锅炉废气、烟尘</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含有毒有害物质的废气</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color w:val="FF0000"/>
                <w:highlight w:val="none"/>
              </w:rPr>
            </w:pPr>
            <w:r>
              <w:rPr>
                <w:rFonts w:hint="eastAsia" w:ascii="Times New Roman" w:hAnsi="Times New Roman" w:cs="宋体"/>
                <w:b/>
                <w:bCs/>
                <w:color w:val="000000"/>
                <w:highlight w:val="none"/>
              </w:rPr>
              <w:t>排放去向或区域</w:t>
            </w:r>
          </w:p>
        </w:tc>
        <w:tc>
          <w:tcPr>
            <w:tcW w:w="5245" w:type="dxa"/>
            <w:vAlign w:val="center"/>
          </w:tcPr>
          <w:p>
            <w:pPr>
              <w:snapToGrid w:val="0"/>
              <w:jc w:val="center"/>
              <w:rPr>
                <w:rFonts w:hint="eastAsia"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二类功能区（工业区和农村地区）</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0"/>
              <w:jc w:val="center"/>
              <w:rPr>
                <w:rFonts w:ascii="Times New Roman" w:hAnsi="Times New Roman" w:cs="Times New Roman"/>
                <w:color w:val="FF0000"/>
                <w:highlight w:val="none"/>
              </w:rPr>
            </w:pPr>
          </w:p>
        </w:tc>
        <w:tc>
          <w:tcPr>
            <w:tcW w:w="5245" w:type="dxa"/>
            <w:vAlign w:val="center"/>
          </w:tcPr>
          <w:p>
            <w:pPr>
              <w:snapToGrid w:val="0"/>
              <w:jc w:val="center"/>
              <w:rPr>
                <w:rFonts w:hint="eastAsia"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二类功能区（居民区、商业交通居民混合区、文化区）</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0"/>
              <w:jc w:val="center"/>
              <w:rPr>
                <w:rFonts w:ascii="Times New Roman" w:hAnsi="Times New Roman" w:cs="Times New Roman"/>
                <w:color w:val="FF0000"/>
                <w:highlight w:val="none"/>
              </w:rPr>
            </w:pPr>
          </w:p>
        </w:tc>
        <w:tc>
          <w:tcPr>
            <w:tcW w:w="5245" w:type="dxa"/>
            <w:vAlign w:val="center"/>
          </w:tcPr>
          <w:p>
            <w:pPr>
              <w:snapToGrid w:val="0"/>
              <w:jc w:val="center"/>
              <w:rPr>
                <w:rFonts w:hint="eastAsia"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一类功能区</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938" w:type="dxa"/>
            <w:gridSpan w:val="2"/>
            <w:vAlign w:val="center"/>
          </w:tcPr>
          <w:p>
            <w:pPr>
              <w:snapToGrid w:val="0"/>
              <w:ind w:firstLine="420"/>
              <w:jc w:val="center"/>
              <w:rPr>
                <w:rFonts w:ascii="Times New Roman" w:hAnsi="Times New Roman" w:cs="Times New Roman"/>
                <w:color w:val="000000"/>
                <w:highlight w:val="none"/>
              </w:rPr>
            </w:pPr>
          </w:p>
        </w:tc>
      </w:tr>
    </w:tbl>
    <w:p>
      <w:pPr>
        <w:widowControl/>
        <w:snapToGrid w:val="0"/>
        <w:jc w:val="left"/>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641"/>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仿宋_GB2312"/>
                <w:b/>
                <w:bCs/>
                <w:color w:val="000000"/>
                <w:sz w:val="32"/>
                <w:szCs w:val="32"/>
                <w:highlight w:val="none"/>
              </w:rPr>
              <w:t>（二）大气污染防治类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938" w:type="dxa"/>
            <w:gridSpan w:val="2"/>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38" w:type="dxa"/>
            <w:gridSpan w:val="2"/>
            <w:vAlign w:val="center"/>
          </w:tcPr>
          <w:p>
            <w:pPr>
              <w:snapToGrid w:val="0"/>
              <w:ind w:firstLine="42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未按照规定设置大气污染物排放口的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违反条款</w:t>
            </w:r>
          </w:p>
        </w:tc>
        <w:tc>
          <w:tcPr>
            <w:tcW w:w="7938" w:type="dxa"/>
            <w:gridSpan w:val="2"/>
          </w:tcPr>
          <w:p>
            <w:pPr>
              <w:snapToGrid w:val="0"/>
              <w:spacing w:before="62" w:beforeLines="20" w:line="288" w:lineRule="auto"/>
              <w:ind w:firstLine="422" w:firstLineChars="20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《中华人民共和国大气污染防治法》第二十条</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企业事业单位和其他生产经营者向大气排放污染物的，应当依照法律法规和国务院生态环境主管部门的规定设置大气污染物排放口。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处罚依据</w:t>
            </w:r>
          </w:p>
        </w:tc>
        <w:tc>
          <w:tcPr>
            <w:tcW w:w="7938" w:type="dxa"/>
            <w:gridSpan w:val="2"/>
          </w:tcPr>
          <w:p>
            <w:pPr>
              <w:snapToGrid w:val="0"/>
              <w:spacing w:before="62" w:beforeLines="20" w:line="288"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《中华人民共和国大气污染防治法》第一百条</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违反本法规定，有下列行为之一的，由县级以上人民政府生态环境主管部门责令改正，处二万元以上二十万元以下的罚款；拒不改正的，责令停产整治：</w:t>
            </w:r>
          </w:p>
          <w:p>
            <w:pPr>
              <w:snapToGrid w:val="0"/>
              <w:spacing w:line="288" w:lineRule="auto"/>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（五）未按照规定设置大气污染物排放口的。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64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297"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建设项目调试生产期间，未按规定设置大气污染物排放口的</w:t>
            </w:r>
          </w:p>
        </w:tc>
        <w:tc>
          <w:tcPr>
            <w:tcW w:w="2297"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已投入生产，未按规定设置大气污染物排放口的</w:t>
            </w:r>
          </w:p>
        </w:tc>
        <w:tc>
          <w:tcPr>
            <w:tcW w:w="2297"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641"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已验收</w:t>
            </w:r>
            <w:r>
              <w:rPr>
                <w:rFonts w:ascii="Times New Roman" w:hAnsi="Times New Roman" w:eastAsia="仿宋_GB2312" w:cs="仿宋_GB2312"/>
                <w:color w:val="000000"/>
                <w:highlight w:val="none"/>
              </w:rPr>
              <w:t>，未按规定设置大气污染物排放口的</w:t>
            </w:r>
          </w:p>
        </w:tc>
        <w:tc>
          <w:tcPr>
            <w:tcW w:w="2297"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color w:val="000000"/>
                <w:highlight w:val="none"/>
              </w:rPr>
            </w:pPr>
            <w:r>
              <w:rPr>
                <w:rFonts w:hint="eastAsia" w:ascii="Times New Roman" w:hAnsi="Times New Roman" w:cs="宋体"/>
                <w:b/>
                <w:bCs/>
                <w:color w:val="000000"/>
                <w:highlight w:val="none"/>
              </w:rPr>
              <w:t>废气类别</w:t>
            </w:r>
          </w:p>
        </w:tc>
        <w:tc>
          <w:tcPr>
            <w:tcW w:w="564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餐饮油烟（经营）</w:t>
            </w:r>
          </w:p>
        </w:tc>
        <w:tc>
          <w:tcPr>
            <w:tcW w:w="229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64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农业生产、畜禽养殖</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工地扬尘</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机械、汽车修理</w:t>
            </w:r>
          </w:p>
        </w:tc>
        <w:tc>
          <w:tcPr>
            <w:tcW w:w="229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64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一般工业废气</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含恶臭污染物的废气</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医疗</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实验室</w:t>
            </w:r>
          </w:p>
        </w:tc>
        <w:tc>
          <w:tcPr>
            <w:tcW w:w="229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64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火电、钢铁、石化、水泥、炼焦、有色、化工废气、烟尘</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燃煤锅炉废气、烟尘</w:t>
            </w:r>
          </w:p>
        </w:tc>
        <w:tc>
          <w:tcPr>
            <w:tcW w:w="229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64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含有毒有害物质的废气</w:t>
            </w:r>
          </w:p>
        </w:tc>
        <w:tc>
          <w:tcPr>
            <w:tcW w:w="229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排放口设置地点</w:t>
            </w: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符合环境功能规划（或无环境功能规划）</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641" w:type="dxa"/>
            <w:vAlign w:val="center"/>
          </w:tcPr>
          <w:p>
            <w:pPr>
              <w:tabs>
                <w:tab w:val="center" w:pos="4153"/>
                <w:tab w:val="right" w:pos="8306"/>
              </w:tabs>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不符合环境功能规划，但位于居住区、商业交通居民混合区、文化区、工业区和农村地区</w:t>
            </w:r>
          </w:p>
        </w:tc>
        <w:tc>
          <w:tcPr>
            <w:tcW w:w="2297" w:type="dxa"/>
            <w:vAlign w:val="center"/>
          </w:tcPr>
          <w:p>
            <w:pPr>
              <w:tabs>
                <w:tab w:val="center" w:pos="4153"/>
                <w:tab w:val="right" w:pos="8306"/>
              </w:tabs>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641" w:type="dxa"/>
            <w:vAlign w:val="center"/>
          </w:tcPr>
          <w:p>
            <w:pPr>
              <w:tabs>
                <w:tab w:val="center" w:pos="4153"/>
                <w:tab w:val="right" w:pos="8306"/>
              </w:tabs>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不符合环境功能规划，但位于自然保护区、风景名胜区和其他需要特殊保护的区域</w:t>
            </w:r>
          </w:p>
        </w:tc>
        <w:tc>
          <w:tcPr>
            <w:tcW w:w="2297" w:type="dxa"/>
            <w:vAlign w:val="center"/>
          </w:tcPr>
          <w:p>
            <w:pPr>
              <w:tabs>
                <w:tab w:val="center" w:pos="4153"/>
                <w:tab w:val="right" w:pos="8306"/>
              </w:tabs>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938" w:type="dxa"/>
            <w:gridSpan w:val="2"/>
            <w:vAlign w:val="center"/>
          </w:tcPr>
          <w:p>
            <w:pPr>
              <w:snapToGrid w:val="0"/>
              <w:ind w:firstLine="420"/>
              <w:jc w:val="center"/>
              <w:rPr>
                <w:rFonts w:ascii="Times New Roman" w:hAnsi="Times New Roman" w:cs="Times New Roman"/>
                <w:color w:val="000000"/>
                <w:highlight w:val="none"/>
              </w:rPr>
            </w:pPr>
          </w:p>
        </w:tc>
      </w:tr>
    </w:tbl>
    <w:p>
      <w:pPr>
        <w:widowControl/>
        <w:snapToGrid w:val="0"/>
        <w:jc w:val="left"/>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（二）大气污染防治类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燃用不符合质量标准的煤炭、石油焦的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1"/>
              <w:snapToGrid w:val="0"/>
              <w:spacing w:before="62" w:beforeLines="20"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《中华人民共和国大气污染防治法》第三十五条第一款</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国家禁止进口、销售和燃用不符合质量标准的煤炭，鼓励燃用优质煤炭。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1"/>
              <w:snapToGrid w:val="0"/>
              <w:spacing w:before="62" w:beforeLines="20"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《中华人民共和国大气污染防治法》第一百零五条</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违反本法规定，单位燃用不符合质量标准的煤炭、石油焦的，由县级以上人民政府生态环境主管部门责令改正，处货值金额一倍以上三倍以下的罚款。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累计燃用</w:t>
            </w:r>
          </w:p>
          <w:p>
            <w:pPr>
              <w:snapToGrid w:val="0"/>
              <w:jc w:val="center"/>
              <w:rPr>
                <w:rFonts w:ascii="Times New Roman" w:hAnsi="Times New Roman" w:cs="宋体"/>
                <w:b/>
                <w:bCs/>
                <w:color w:val="000000"/>
                <w:highlight w:val="none"/>
              </w:rPr>
            </w:pPr>
            <w:r>
              <w:rPr>
                <w:rFonts w:hint="eastAsia" w:ascii="Times New Roman" w:hAnsi="Times New Roman" w:cs="宋体"/>
                <w:b/>
                <w:bCs/>
                <w:color w:val="000000"/>
                <w:highlight w:val="none"/>
              </w:rPr>
              <w:t>吨数★</w:t>
            </w: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燃用不符合质量标准的煤炭、石油焦</w:t>
            </w:r>
            <w:r>
              <w:rPr>
                <w:rFonts w:ascii="Times New Roman" w:hAnsi="Times New Roman" w:eastAsia="仿宋_GB2312" w:cs="Times New Roman"/>
                <w:highlight w:val="none"/>
              </w:rPr>
              <w:t>100</w:t>
            </w:r>
            <w:r>
              <w:rPr>
                <w:rFonts w:hint="eastAsia" w:ascii="Times New Roman" w:hAnsi="Times New Roman" w:eastAsia="仿宋_GB2312" w:cs="仿宋_GB2312"/>
                <w:highlight w:val="none"/>
              </w:rPr>
              <w:t>吨以下的</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宋体"/>
                <w:b/>
                <w:bCs/>
                <w:color w:val="000000"/>
                <w:highlight w:val="none"/>
              </w:rPr>
            </w:pPr>
          </w:p>
        </w:tc>
        <w:tc>
          <w:tcPr>
            <w:tcW w:w="5245" w:type="dxa"/>
            <w:vAlign w:val="center"/>
          </w:tcPr>
          <w:p>
            <w:pPr>
              <w:pStyle w:val="12"/>
              <w:snapToGrid w:val="0"/>
              <w:spacing w:before="0" w:beforeAutospacing="0" w:after="0" w:afterAutospacing="0"/>
              <w:jc w:val="center"/>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燃用不符合质量标准的煤炭、石油焦</w:t>
            </w:r>
            <w:r>
              <w:rPr>
                <w:rFonts w:ascii="Times New Roman" w:hAnsi="Times New Roman" w:eastAsia="仿宋_GB2312" w:cs="Times New Roman"/>
                <w:sz w:val="21"/>
                <w:szCs w:val="21"/>
                <w:highlight w:val="none"/>
              </w:rPr>
              <w:t>100</w:t>
            </w:r>
            <w:r>
              <w:rPr>
                <w:rFonts w:hint="eastAsia" w:ascii="Times New Roman" w:hAnsi="Times New Roman" w:eastAsia="仿宋_GB2312" w:cs="仿宋_GB2312"/>
                <w:sz w:val="21"/>
                <w:szCs w:val="21"/>
                <w:highlight w:val="none"/>
              </w:rPr>
              <w:t>吨以上</w:t>
            </w:r>
            <w:r>
              <w:rPr>
                <w:rFonts w:ascii="Times New Roman" w:hAnsi="Times New Roman" w:eastAsia="仿宋_GB2312" w:cs="Times New Roman"/>
                <w:sz w:val="21"/>
                <w:szCs w:val="21"/>
                <w:highlight w:val="none"/>
              </w:rPr>
              <w:t>500</w:t>
            </w:r>
            <w:r>
              <w:rPr>
                <w:rFonts w:hint="eastAsia" w:ascii="Times New Roman" w:hAnsi="Times New Roman" w:eastAsia="仿宋_GB2312" w:cs="仿宋_GB2312"/>
                <w:sz w:val="21"/>
                <w:szCs w:val="21"/>
                <w:highlight w:val="none"/>
              </w:rPr>
              <w:t>吨以下的</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宋体"/>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燃用不符合质量标准的煤炭、石油焦</w:t>
            </w:r>
            <w:r>
              <w:rPr>
                <w:rFonts w:ascii="Times New Roman" w:hAnsi="Times New Roman" w:eastAsia="仿宋_GB2312" w:cs="Times New Roman"/>
                <w:highlight w:val="none"/>
              </w:rPr>
              <w:t>500</w:t>
            </w:r>
            <w:r>
              <w:rPr>
                <w:rFonts w:hint="eastAsia" w:ascii="Times New Roman" w:hAnsi="Times New Roman" w:eastAsia="仿宋_GB2312" w:cs="仿宋_GB2312"/>
                <w:highlight w:val="none"/>
              </w:rPr>
              <w:t>吨以上的</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煤炭、石油焦质量</w:t>
            </w:r>
          </w:p>
        </w:tc>
        <w:tc>
          <w:tcPr>
            <w:tcW w:w="524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r>
              <w:rPr>
                <w:rFonts w:hint="eastAsia" w:ascii="Times New Roman" w:hAnsi="Times New Roman" w:eastAsia="仿宋_GB2312" w:cs="仿宋_GB2312"/>
                <w:highlight w:val="none"/>
              </w:rPr>
              <w:t>个参数不符合质量标准</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b/>
                <w:bCs/>
                <w:highlight w:val="none"/>
              </w:rPr>
            </w:pPr>
            <w:r>
              <w:rPr>
                <w:rFonts w:ascii="Times New Roman" w:hAnsi="Times New Roman" w:eastAsia="仿宋_GB2312" w:cs="Times New Roman"/>
                <w:highlight w:val="none"/>
              </w:rPr>
              <w:t>2</w:t>
            </w:r>
            <w:r>
              <w:rPr>
                <w:rFonts w:hint="eastAsia" w:ascii="Times New Roman" w:hAnsi="Times New Roman" w:eastAsia="仿宋_GB2312" w:cs="仿宋_GB2312"/>
                <w:highlight w:val="none"/>
              </w:rPr>
              <w:t>个参数不符合质量标准</w:t>
            </w:r>
          </w:p>
        </w:tc>
        <w:tc>
          <w:tcPr>
            <w:tcW w:w="2693" w:type="dxa"/>
            <w:vAlign w:val="center"/>
          </w:tcPr>
          <w:p>
            <w:pPr>
              <w:snapToGrid w:val="0"/>
              <w:jc w:val="center"/>
              <w:rPr>
                <w:rFonts w:ascii="Times New Roman" w:hAnsi="Times New Roman" w:eastAsia="仿宋_GB2312" w:cs="Times New Roman"/>
                <w:b/>
                <w:bCs/>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b/>
                <w:bCs/>
                <w:highlight w:val="none"/>
              </w:rPr>
            </w:pPr>
            <w:r>
              <w:rPr>
                <w:rFonts w:ascii="Times New Roman" w:hAnsi="Times New Roman" w:eastAsia="仿宋_GB2312" w:cs="Times New Roman"/>
                <w:highlight w:val="none"/>
              </w:rPr>
              <w:t>3</w:t>
            </w:r>
            <w:r>
              <w:rPr>
                <w:rFonts w:hint="eastAsia" w:ascii="Times New Roman" w:hAnsi="Times New Roman" w:eastAsia="仿宋_GB2312" w:cs="仿宋_GB2312"/>
                <w:highlight w:val="none"/>
              </w:rPr>
              <w:t>个及以上参数不符合质量标准</w:t>
            </w:r>
          </w:p>
        </w:tc>
        <w:tc>
          <w:tcPr>
            <w:tcW w:w="2693" w:type="dxa"/>
            <w:vAlign w:val="center"/>
          </w:tcPr>
          <w:p>
            <w:pPr>
              <w:snapToGrid w:val="0"/>
              <w:jc w:val="center"/>
              <w:rPr>
                <w:rFonts w:ascii="Times New Roman" w:hAnsi="Times New Roman" w:eastAsia="仿宋_GB2312" w:cs="Times New Roman"/>
                <w:b/>
                <w:bCs/>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燃用地点</w:t>
            </w:r>
          </w:p>
        </w:tc>
        <w:tc>
          <w:tcPr>
            <w:tcW w:w="5245" w:type="dxa"/>
            <w:vAlign w:val="center"/>
          </w:tcPr>
          <w:p>
            <w:pPr>
              <w:tabs>
                <w:tab w:val="center" w:pos="4153"/>
                <w:tab w:val="right" w:pos="8306"/>
              </w:tabs>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工业园区</w:t>
            </w:r>
          </w:p>
        </w:tc>
        <w:tc>
          <w:tcPr>
            <w:tcW w:w="2693" w:type="dxa"/>
            <w:vAlign w:val="center"/>
          </w:tcPr>
          <w:p>
            <w:pPr>
              <w:tabs>
                <w:tab w:val="center" w:pos="4153"/>
                <w:tab w:val="right" w:pos="8306"/>
              </w:tabs>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tabs>
                <w:tab w:val="center" w:pos="4153"/>
                <w:tab w:val="right" w:pos="8306"/>
              </w:tabs>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居住区、商业交通居民混合区、文化区和农村地区</w:t>
            </w:r>
          </w:p>
        </w:tc>
        <w:tc>
          <w:tcPr>
            <w:tcW w:w="2693" w:type="dxa"/>
            <w:vAlign w:val="center"/>
          </w:tcPr>
          <w:p>
            <w:pPr>
              <w:tabs>
                <w:tab w:val="center" w:pos="4153"/>
                <w:tab w:val="right" w:pos="8306"/>
              </w:tabs>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tabs>
                <w:tab w:val="center" w:pos="4153"/>
                <w:tab w:val="right" w:pos="8306"/>
              </w:tabs>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自然保护区、风景名胜区和其他需要特殊保护的区域</w:t>
            </w:r>
          </w:p>
        </w:tc>
        <w:tc>
          <w:tcPr>
            <w:tcW w:w="2693" w:type="dxa"/>
            <w:vAlign w:val="center"/>
          </w:tcPr>
          <w:p>
            <w:pPr>
              <w:tabs>
                <w:tab w:val="center" w:pos="4153"/>
                <w:tab w:val="right" w:pos="8306"/>
              </w:tabs>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eastAsia="仿宋_GB2312" w:cs="Times New Roman"/>
                <w:highlight w:val="none"/>
              </w:rPr>
            </w:pPr>
          </w:p>
        </w:tc>
      </w:tr>
    </w:tbl>
    <w:p>
      <w:pPr>
        <w:widowControl/>
        <w:snapToGrid w:val="0"/>
        <w:jc w:val="left"/>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925"/>
        <w:gridCol w:w="2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tcPr>
          <w:p>
            <w:pPr>
              <w:snapToGrid w:val="0"/>
              <w:spacing w:line="288" w:lineRule="auto"/>
              <w:jc w:val="center"/>
              <w:rPr>
                <w:rFonts w:ascii="Times New Roman" w:hAnsi="Times New Roman" w:cs="Times New Roman"/>
                <w:color w:val="000000"/>
                <w:highlight w:val="none"/>
              </w:rPr>
            </w:pPr>
            <w:r>
              <w:rPr>
                <w:rFonts w:hint="eastAsia" w:ascii="Times New Roman" w:hAnsi="Times New Roman" w:eastAsia="仿宋_GB2312" w:cs="仿宋_GB2312"/>
                <w:b/>
                <w:bCs/>
                <w:color w:val="000000"/>
                <w:sz w:val="32"/>
                <w:szCs w:val="32"/>
                <w:highlight w:val="none"/>
              </w:rPr>
              <w:t>（二）大气污染防治类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938" w:type="dxa"/>
            <w:gridSpan w:val="2"/>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38" w:type="dxa"/>
            <w:gridSpan w:val="2"/>
            <w:vAlign w:val="center"/>
          </w:tcPr>
          <w:p>
            <w:pPr>
              <w:snapToGrid w:val="0"/>
              <w:spacing w:before="62" w:beforeLines="20"/>
              <w:ind w:firstLine="420"/>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在禁燃区内新建、扩建燃用高污染燃料的设施，或者未按照规定停止燃用高污染燃料的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违反条款</w:t>
            </w:r>
          </w:p>
        </w:tc>
        <w:tc>
          <w:tcPr>
            <w:tcW w:w="7938" w:type="dxa"/>
            <w:gridSpan w:val="2"/>
          </w:tcPr>
          <w:p>
            <w:pPr>
              <w:snapToGrid w:val="0"/>
              <w:spacing w:before="62" w:beforeLines="20" w:line="288" w:lineRule="auto"/>
              <w:ind w:firstLine="482"/>
              <w:rPr>
                <w:rFonts w:ascii="Times New Roman" w:hAnsi="Times New Roman" w:eastAsia="仿宋_GB2312" w:cs="Times New Roman"/>
                <w:highlight w:val="none"/>
              </w:rPr>
            </w:pPr>
            <w:r>
              <w:rPr>
                <w:rFonts w:hint="eastAsia" w:ascii="Times New Roman" w:hAnsi="Times New Roman" w:eastAsia="仿宋_GB2312" w:cs="仿宋_GB2312"/>
                <w:b/>
                <w:bCs/>
                <w:highlight w:val="none"/>
              </w:rPr>
              <w:t>《中华人民共和国大气污染防治法》第三十八条</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城市人民政府可以划定并公布高污染燃料禁燃区，并根据大气环境质量改善要求，逐步扩大高污染燃料禁燃区范围。高污染燃料的目录由国务院生态环境主管部门确定。</w:t>
            </w:r>
          </w:p>
          <w:p>
            <w:pPr>
              <w:snapToGrid w:val="0"/>
              <w:spacing w:line="288" w:lineRule="auto"/>
              <w:ind w:firstLine="480"/>
              <w:rPr>
                <w:rFonts w:ascii="Times New Roman" w:hAnsi="Times New Roman" w:eastAsia="仿宋_GB2312" w:cs="Times New Roman"/>
                <w:highlight w:val="none"/>
              </w:rPr>
            </w:pPr>
            <w:r>
              <w:rPr>
                <w:rFonts w:hint="eastAsia" w:ascii="Times New Roman" w:hAnsi="Times New Roman" w:eastAsia="仿宋_GB2312" w:cs="仿宋_GB2312"/>
                <w:highlight w:val="none"/>
              </w:rPr>
              <w:t>在禁燃区内，禁止销售、燃用高污染燃料；禁止新建、扩建燃用高污染燃料的设施，已建成的，应当在城市人民政府规定的期限内改用天然气、页岩气、液化石油气、电或者其他清洁能源。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处罚依据</w:t>
            </w:r>
          </w:p>
        </w:tc>
        <w:tc>
          <w:tcPr>
            <w:tcW w:w="7938" w:type="dxa"/>
            <w:gridSpan w:val="2"/>
          </w:tcPr>
          <w:p>
            <w:pPr>
              <w:snapToGrid w:val="0"/>
              <w:spacing w:before="62" w:beforeLines="20" w:line="288"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《中华人民共和国大气污染防治法》第一百零七条第一款</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的设施，组织拆除燃煤供热锅炉，并处二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925"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0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92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设施已开工建设但未建成的</w:t>
            </w:r>
          </w:p>
        </w:tc>
        <w:tc>
          <w:tcPr>
            <w:tcW w:w="20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92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设施已建成但未投入使用的</w:t>
            </w:r>
          </w:p>
        </w:tc>
        <w:tc>
          <w:tcPr>
            <w:tcW w:w="20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92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设施已建成投用，或未及时自行拆除的，或造成严重后果的</w:t>
            </w:r>
          </w:p>
        </w:tc>
        <w:tc>
          <w:tcPr>
            <w:tcW w:w="20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污染防治设施建设使用情况</w:t>
            </w:r>
          </w:p>
        </w:tc>
        <w:tc>
          <w:tcPr>
            <w:tcW w:w="592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已按照规定安装污染防治设施，且规范使用的</w:t>
            </w:r>
          </w:p>
        </w:tc>
        <w:tc>
          <w:tcPr>
            <w:tcW w:w="20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92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未规范安装污染防治设施，或者未规范使用的</w:t>
            </w:r>
          </w:p>
        </w:tc>
        <w:tc>
          <w:tcPr>
            <w:tcW w:w="20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92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未安装污染防治设施的，或者未使用的</w:t>
            </w:r>
          </w:p>
        </w:tc>
        <w:tc>
          <w:tcPr>
            <w:tcW w:w="20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项目建设</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地点</w:t>
            </w:r>
          </w:p>
        </w:tc>
        <w:tc>
          <w:tcPr>
            <w:tcW w:w="592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工业园区</w:t>
            </w:r>
          </w:p>
        </w:tc>
        <w:tc>
          <w:tcPr>
            <w:tcW w:w="20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925"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居住区、商业交通居民混合区、文化区和农村地区</w:t>
            </w:r>
          </w:p>
        </w:tc>
        <w:tc>
          <w:tcPr>
            <w:tcW w:w="2013" w:type="dxa"/>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92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自然保护区、风景名胜区和其他需要特殊保护的区域</w:t>
            </w:r>
          </w:p>
        </w:tc>
        <w:tc>
          <w:tcPr>
            <w:tcW w:w="20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938" w:type="dxa"/>
            <w:gridSpan w:val="2"/>
            <w:vAlign w:val="center"/>
          </w:tcPr>
          <w:p>
            <w:pPr>
              <w:snapToGrid w:val="0"/>
              <w:ind w:firstLine="420"/>
              <w:jc w:val="center"/>
              <w:rPr>
                <w:rFonts w:ascii="Times New Roman" w:hAnsi="Times New Roman" w:cs="Times New Roman"/>
                <w:color w:val="000000"/>
                <w:highlight w:val="none"/>
              </w:rPr>
            </w:pPr>
          </w:p>
        </w:tc>
      </w:tr>
    </w:tbl>
    <w:p>
      <w:pPr>
        <w:snapToGrid w:val="0"/>
        <w:rPr>
          <w:rFonts w:ascii="Times New Roman" w:hAnsi="Times New Roman" w:cs="Times New Roman"/>
          <w:color w:val="000000"/>
          <w:sz w:val="10"/>
          <w:szCs w:val="10"/>
          <w:highlight w:val="none"/>
        </w:rPr>
      </w:pPr>
      <w:r>
        <w:rPr>
          <w:rFonts w:ascii="Times New Roman" w:hAnsi="Times New Roman" w:cs="Times New Roman"/>
          <w:color w:val="000000"/>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仿宋_GB2312"/>
                <w:b/>
                <w:bCs/>
                <w:color w:val="000000"/>
                <w:sz w:val="32"/>
                <w:szCs w:val="32"/>
                <w:highlight w:val="none"/>
              </w:rPr>
              <w:t>（二）大气污染防治类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938" w:type="dxa"/>
            <w:gridSpan w:val="2"/>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38" w:type="dxa"/>
            <w:gridSpan w:val="2"/>
            <w:vAlign w:val="center"/>
          </w:tcPr>
          <w:p>
            <w:pPr>
              <w:snapToGrid w:val="0"/>
              <w:ind w:firstLine="42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在城市集中供热管网覆盖地区新建、扩建分散燃煤供热锅炉的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违反条款</w:t>
            </w:r>
          </w:p>
        </w:tc>
        <w:tc>
          <w:tcPr>
            <w:tcW w:w="7938" w:type="dxa"/>
            <w:gridSpan w:val="2"/>
          </w:tcPr>
          <w:p>
            <w:pPr>
              <w:snapToGrid w:val="0"/>
              <w:spacing w:before="62" w:beforeLines="20" w:line="288" w:lineRule="auto"/>
              <w:ind w:firstLine="422" w:firstLineChars="20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《中华人民共和国大气污染防治法》第三十九条</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城市建设应当统筹规划，在燃煤供热地区，推进热电联产和集中供热。在集中供热管网覆盖地区，禁止新建、扩建分散燃煤供热锅炉；已建成的不能达标排放的燃煤供热锅炉，应当在城市人民政府规定的期限内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处罚依据</w:t>
            </w:r>
          </w:p>
        </w:tc>
        <w:tc>
          <w:tcPr>
            <w:tcW w:w="7938" w:type="dxa"/>
            <w:gridSpan w:val="2"/>
          </w:tcPr>
          <w:p>
            <w:pPr>
              <w:snapToGrid w:val="0"/>
              <w:spacing w:before="62" w:beforeLines="20" w:line="288"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《中华人民共和国大气污染防治法》第一百零七条第一款</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的设施，组织拆除燃煤供热锅炉，并处二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245"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9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燃煤锅炉已开工建设但未建成的</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燃煤锅炉已建成但未投入使用的</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燃煤锅炉已建成投用，或未及时自行拆除的，或造成严重后果的</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污染防治设施建设使用情况</w:t>
            </w: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已按照规定安装污染防治设施，且规范使用的</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未规范安装污染防治设施，或者未规范使用的</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未安装污染防治设施的，或者未使用的</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锅炉规模</w:t>
            </w:r>
          </w:p>
        </w:tc>
        <w:tc>
          <w:tcPr>
            <w:tcW w:w="524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r>
              <w:rPr>
                <w:rFonts w:hint="eastAsia" w:ascii="Times New Roman" w:hAnsi="Times New Roman" w:eastAsia="仿宋_GB2312" w:cs="仿宋_GB2312"/>
                <w:highlight w:val="none"/>
              </w:rPr>
              <w:t>蒸吨以下</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r>
              <w:rPr>
                <w:rFonts w:hint="eastAsia" w:ascii="Times New Roman" w:hAnsi="Times New Roman" w:eastAsia="仿宋_GB2312" w:cs="仿宋_GB2312"/>
                <w:highlight w:val="none"/>
              </w:rPr>
              <w:t>蒸吨以上</w:t>
            </w:r>
            <w:r>
              <w:rPr>
                <w:rFonts w:ascii="Times New Roman" w:hAnsi="Times New Roman" w:eastAsia="仿宋_GB2312" w:cs="Times New Roman"/>
                <w:highlight w:val="none"/>
              </w:rPr>
              <w:t>5</w:t>
            </w:r>
            <w:r>
              <w:rPr>
                <w:rFonts w:hint="eastAsia" w:ascii="Times New Roman" w:hAnsi="Times New Roman" w:eastAsia="仿宋_GB2312" w:cs="仿宋_GB2312"/>
                <w:highlight w:val="none"/>
              </w:rPr>
              <w:t>蒸吨以下</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r>
              <w:rPr>
                <w:rFonts w:hint="eastAsia" w:ascii="Times New Roman" w:hAnsi="Times New Roman" w:eastAsia="仿宋_GB2312" w:cs="仿宋_GB2312"/>
                <w:highlight w:val="none"/>
              </w:rPr>
              <w:t>蒸吨以上</w:t>
            </w:r>
            <w:r>
              <w:rPr>
                <w:rFonts w:ascii="Times New Roman" w:hAnsi="Times New Roman" w:eastAsia="仿宋_GB2312" w:cs="Times New Roman"/>
                <w:highlight w:val="none"/>
              </w:rPr>
              <w:t>8</w:t>
            </w:r>
            <w:r>
              <w:rPr>
                <w:rFonts w:hint="eastAsia" w:ascii="Times New Roman" w:hAnsi="Times New Roman" w:eastAsia="仿宋_GB2312" w:cs="仿宋_GB2312"/>
                <w:highlight w:val="none"/>
              </w:rPr>
              <w:t>蒸吨以下</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8</w:t>
            </w:r>
            <w:r>
              <w:rPr>
                <w:rFonts w:hint="eastAsia" w:ascii="Times New Roman" w:hAnsi="Times New Roman" w:eastAsia="仿宋_GB2312" w:cs="仿宋_GB2312"/>
                <w:highlight w:val="none"/>
              </w:rPr>
              <w:t>蒸吨以上</w:t>
            </w:r>
            <w:r>
              <w:rPr>
                <w:rFonts w:ascii="Times New Roman" w:hAnsi="Times New Roman" w:eastAsia="仿宋_GB2312" w:cs="Times New Roman"/>
                <w:highlight w:val="none"/>
              </w:rPr>
              <w:t>10</w:t>
            </w:r>
            <w:r>
              <w:rPr>
                <w:rFonts w:hint="eastAsia" w:ascii="Times New Roman" w:hAnsi="Times New Roman" w:eastAsia="仿宋_GB2312" w:cs="仿宋_GB2312"/>
                <w:highlight w:val="none"/>
              </w:rPr>
              <w:t>蒸吨以下</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10</w:t>
            </w:r>
            <w:r>
              <w:rPr>
                <w:rFonts w:hint="eastAsia" w:ascii="Times New Roman" w:hAnsi="Times New Roman" w:eastAsia="仿宋_GB2312" w:cs="仿宋_GB2312"/>
                <w:highlight w:val="none"/>
              </w:rPr>
              <w:t>蒸吨以上</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938" w:type="dxa"/>
            <w:gridSpan w:val="2"/>
            <w:vAlign w:val="center"/>
          </w:tcPr>
          <w:p>
            <w:pPr>
              <w:snapToGrid w:val="0"/>
              <w:ind w:firstLine="420"/>
              <w:jc w:val="center"/>
              <w:rPr>
                <w:rFonts w:ascii="Times New Roman" w:hAnsi="Times New Roman" w:cs="Times New Roman"/>
                <w:color w:val="000000"/>
                <w:highlight w:val="none"/>
              </w:rPr>
            </w:pPr>
          </w:p>
        </w:tc>
      </w:tr>
    </w:tbl>
    <w:p>
      <w:pPr>
        <w:snapToGrid w:val="0"/>
        <w:rPr>
          <w:rFonts w:ascii="Times New Roman" w:hAnsi="Times New Roman" w:cs="Times New Roman"/>
          <w:color w:val="000000"/>
          <w:sz w:val="10"/>
          <w:szCs w:val="10"/>
          <w:highlight w:val="none"/>
        </w:rPr>
      </w:pPr>
      <w:r>
        <w:rPr>
          <w:rFonts w:ascii="Times New Roman" w:hAnsi="Times New Roman" w:cs="Times New Roman"/>
          <w:color w:val="000000"/>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tcPr>
          <w:p>
            <w:pPr>
              <w:snapToGrid w:val="0"/>
              <w:jc w:val="center"/>
              <w:rPr>
                <w:rFonts w:ascii="Times New Roman" w:hAnsi="Times New Roman" w:cs="Times New Roman"/>
                <w:color w:val="000000"/>
                <w:highlight w:val="none"/>
              </w:rPr>
            </w:pPr>
            <w:r>
              <w:rPr>
                <w:rFonts w:hint="eastAsia" w:ascii="Times New Roman" w:hAnsi="Times New Roman" w:eastAsia="仿宋_GB2312" w:cs="仿宋_GB2312"/>
                <w:b/>
                <w:bCs/>
                <w:color w:val="000000"/>
                <w:sz w:val="32"/>
                <w:szCs w:val="32"/>
                <w:highlight w:val="none"/>
              </w:rPr>
              <w:t>（二）大气污染防治类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938" w:type="dxa"/>
            <w:gridSpan w:val="2"/>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38" w:type="dxa"/>
            <w:gridSpan w:val="2"/>
            <w:vAlign w:val="center"/>
          </w:tcPr>
          <w:p>
            <w:pPr>
              <w:snapToGrid w:val="0"/>
              <w:ind w:firstLine="420" w:firstLineChars="20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未按照规定拆除已建成的不能达标排放的燃煤供热锅炉的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违反条款</w:t>
            </w:r>
          </w:p>
        </w:tc>
        <w:tc>
          <w:tcPr>
            <w:tcW w:w="7938" w:type="dxa"/>
            <w:gridSpan w:val="2"/>
          </w:tcPr>
          <w:p>
            <w:pPr>
              <w:snapToGrid w:val="0"/>
              <w:spacing w:before="62" w:beforeLines="20" w:line="288" w:lineRule="auto"/>
              <w:ind w:firstLine="422" w:firstLineChars="200"/>
              <w:jc w:val="left"/>
              <w:rPr>
                <w:rFonts w:ascii="Times New Roman" w:hAnsi="Times New Roman" w:eastAsia="仿宋_GB2312" w:cs="Times New Roman"/>
                <w:highlight w:val="none"/>
              </w:rPr>
            </w:pPr>
            <w:r>
              <w:rPr>
                <w:rFonts w:hint="eastAsia" w:ascii="Times New Roman" w:hAnsi="Times New Roman" w:eastAsia="仿宋_GB2312" w:cs="仿宋_GB2312"/>
                <w:b/>
                <w:bCs/>
                <w:highlight w:val="none"/>
              </w:rPr>
              <w:t>《中华人民共和国大气污染防治法》第三十九条</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城市建设应当统筹规划，在燃煤供热地区，推进热电联产和集中供热。在集中供热管网覆盖地区，禁止新建、扩建分散燃煤供热锅炉；已建成的不能达标排放的燃煤供热锅炉，应当在城市人民政府规定的期限内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处罚依据</w:t>
            </w:r>
          </w:p>
        </w:tc>
        <w:tc>
          <w:tcPr>
            <w:tcW w:w="7938" w:type="dxa"/>
            <w:gridSpan w:val="2"/>
          </w:tcPr>
          <w:p>
            <w:pPr>
              <w:snapToGrid w:val="0"/>
              <w:spacing w:before="62" w:beforeLines="20" w:line="288" w:lineRule="auto"/>
              <w:ind w:firstLine="422" w:firstLineChars="200"/>
              <w:jc w:val="left"/>
              <w:rPr>
                <w:rFonts w:ascii="Times New Roman" w:hAnsi="Times New Roman" w:eastAsia="仿宋_GB2312" w:cs="Times New Roman"/>
                <w:highlight w:val="none"/>
              </w:rPr>
            </w:pPr>
            <w:r>
              <w:rPr>
                <w:rFonts w:hint="eastAsia" w:ascii="Times New Roman" w:hAnsi="Times New Roman" w:eastAsia="仿宋_GB2312" w:cs="仿宋_GB2312"/>
                <w:b/>
                <w:bCs/>
                <w:highlight w:val="none"/>
              </w:rPr>
              <w:t>《中华人民共和国大气污染防治法》第一百零七条第一款</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的设施，组织拆除燃煤供热锅炉，并处二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245"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9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正在拆除，但逾期未拆除完毕的</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逾期未拆除或拆除不符合规定的</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逾期未拆除且继续使用的</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锅炉规模</w:t>
            </w:r>
          </w:p>
        </w:tc>
        <w:tc>
          <w:tcPr>
            <w:tcW w:w="524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r>
              <w:rPr>
                <w:rFonts w:hint="eastAsia" w:ascii="Times New Roman" w:hAnsi="Times New Roman" w:eastAsia="仿宋_GB2312" w:cs="仿宋_GB2312"/>
                <w:highlight w:val="none"/>
              </w:rPr>
              <w:t>蒸吨以下</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r>
              <w:rPr>
                <w:rFonts w:hint="eastAsia" w:ascii="Times New Roman" w:hAnsi="Times New Roman" w:eastAsia="仿宋_GB2312" w:cs="仿宋_GB2312"/>
                <w:highlight w:val="none"/>
              </w:rPr>
              <w:t>蒸吨以上</w:t>
            </w:r>
            <w:r>
              <w:rPr>
                <w:rFonts w:ascii="Times New Roman" w:hAnsi="Times New Roman" w:eastAsia="仿宋_GB2312" w:cs="Times New Roman"/>
                <w:highlight w:val="none"/>
              </w:rPr>
              <w:t>5</w:t>
            </w:r>
            <w:r>
              <w:rPr>
                <w:rFonts w:hint="eastAsia" w:ascii="Times New Roman" w:hAnsi="Times New Roman" w:eastAsia="仿宋_GB2312" w:cs="仿宋_GB2312"/>
                <w:highlight w:val="none"/>
              </w:rPr>
              <w:t>蒸吨以下</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r>
              <w:rPr>
                <w:rFonts w:hint="eastAsia" w:ascii="Times New Roman" w:hAnsi="Times New Roman" w:eastAsia="仿宋_GB2312" w:cs="仿宋_GB2312"/>
                <w:highlight w:val="none"/>
              </w:rPr>
              <w:t>蒸吨以上</w:t>
            </w:r>
            <w:r>
              <w:rPr>
                <w:rFonts w:ascii="Times New Roman" w:hAnsi="Times New Roman" w:eastAsia="仿宋_GB2312" w:cs="Times New Roman"/>
                <w:highlight w:val="none"/>
              </w:rPr>
              <w:t>8</w:t>
            </w:r>
            <w:r>
              <w:rPr>
                <w:rFonts w:hint="eastAsia" w:ascii="Times New Roman" w:hAnsi="Times New Roman" w:eastAsia="仿宋_GB2312" w:cs="仿宋_GB2312"/>
                <w:highlight w:val="none"/>
              </w:rPr>
              <w:t>蒸吨以下</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8</w:t>
            </w:r>
            <w:r>
              <w:rPr>
                <w:rFonts w:hint="eastAsia" w:ascii="Times New Roman" w:hAnsi="Times New Roman" w:eastAsia="仿宋_GB2312" w:cs="仿宋_GB2312"/>
                <w:highlight w:val="none"/>
              </w:rPr>
              <w:t>蒸吨以上</w:t>
            </w:r>
            <w:r>
              <w:rPr>
                <w:rFonts w:ascii="Times New Roman" w:hAnsi="Times New Roman" w:eastAsia="仿宋_GB2312" w:cs="Times New Roman"/>
                <w:highlight w:val="none"/>
              </w:rPr>
              <w:t>10</w:t>
            </w:r>
            <w:r>
              <w:rPr>
                <w:rFonts w:hint="eastAsia" w:ascii="Times New Roman" w:hAnsi="Times New Roman" w:eastAsia="仿宋_GB2312" w:cs="仿宋_GB2312"/>
                <w:highlight w:val="none"/>
              </w:rPr>
              <w:t>蒸吨以下</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10</w:t>
            </w:r>
            <w:r>
              <w:rPr>
                <w:rFonts w:hint="eastAsia" w:ascii="Times New Roman" w:hAnsi="Times New Roman" w:eastAsia="仿宋_GB2312" w:cs="仿宋_GB2312"/>
                <w:highlight w:val="none"/>
              </w:rPr>
              <w:t>蒸吨以上</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项目建设</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地点</w:t>
            </w:r>
          </w:p>
        </w:tc>
        <w:tc>
          <w:tcPr>
            <w:tcW w:w="524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工业园区</w:t>
            </w:r>
          </w:p>
        </w:tc>
        <w:tc>
          <w:tcPr>
            <w:tcW w:w="269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居住区、商业交通居民混合区、文化区和农村地区</w:t>
            </w:r>
          </w:p>
        </w:tc>
        <w:tc>
          <w:tcPr>
            <w:tcW w:w="2693" w:type="dxa"/>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自然保护区、风景名胜区和其他需要特殊保护的区域</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938" w:type="dxa"/>
            <w:gridSpan w:val="2"/>
          </w:tcPr>
          <w:p>
            <w:pPr>
              <w:snapToGrid w:val="0"/>
              <w:spacing w:line="288" w:lineRule="auto"/>
              <w:ind w:firstLine="420"/>
              <w:jc w:val="center"/>
              <w:rPr>
                <w:rFonts w:ascii="Times New Roman" w:hAnsi="Times New Roman" w:cs="Times New Roman"/>
                <w:color w:val="000000"/>
                <w:highlight w:val="none"/>
              </w:rPr>
            </w:pPr>
          </w:p>
        </w:tc>
      </w:tr>
    </w:tbl>
    <w:p>
      <w:pPr>
        <w:snapToGrid w:val="0"/>
        <w:rPr>
          <w:rFonts w:ascii="Times New Roman" w:hAnsi="Times New Roman" w:cs="Times New Roman"/>
          <w:color w:val="000000"/>
          <w:sz w:val="10"/>
          <w:szCs w:val="10"/>
          <w:highlight w:val="none"/>
        </w:rPr>
      </w:pPr>
      <w:r>
        <w:rPr>
          <w:rFonts w:ascii="Times New Roman" w:hAnsi="Times New Roman" w:cs="Times New Roman"/>
          <w:color w:val="000000"/>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500"/>
        <w:gridCol w:w="2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仿宋_GB2312"/>
                <w:b/>
                <w:bCs/>
                <w:color w:val="000000"/>
                <w:sz w:val="32"/>
                <w:szCs w:val="32"/>
                <w:highlight w:val="none"/>
              </w:rPr>
              <w:t>（二）大气污染防治类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938" w:type="dxa"/>
            <w:gridSpan w:val="2"/>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38" w:type="dxa"/>
            <w:gridSpan w:val="2"/>
            <w:vAlign w:val="center"/>
          </w:tcPr>
          <w:p>
            <w:pPr>
              <w:snapToGrid w:val="0"/>
              <w:spacing w:line="288" w:lineRule="auto"/>
              <w:ind w:firstLine="42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生产、进口、销售或者使用不符合规定标准或者要求的锅炉的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违反条款</w:t>
            </w:r>
          </w:p>
        </w:tc>
        <w:tc>
          <w:tcPr>
            <w:tcW w:w="7938" w:type="dxa"/>
            <w:gridSpan w:val="2"/>
          </w:tcPr>
          <w:p>
            <w:pPr>
              <w:snapToGrid w:val="0"/>
              <w:spacing w:before="62" w:beforeLines="20" w:line="288" w:lineRule="auto"/>
              <w:ind w:firstLine="422" w:firstLineChars="20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《中华人民共和国大气污染防治法》第四十条</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县级以上人民政府市场监督管理部门应当会同生态环境主管部门对锅炉生产、进口、销售和使用环节执行环境保护标准或者要求的情况进行监督检查；不符合环境保护标准或者要求的，不得生产、进口、销售和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处罚依据</w:t>
            </w:r>
          </w:p>
        </w:tc>
        <w:tc>
          <w:tcPr>
            <w:tcW w:w="7938" w:type="dxa"/>
            <w:gridSpan w:val="2"/>
          </w:tcPr>
          <w:p>
            <w:pPr>
              <w:snapToGrid w:val="0"/>
              <w:spacing w:before="62" w:beforeLines="20" w:line="288"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《中华人民共和国大气污染防治法》第一百零七条第二款</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违反本法规定，生产、进口、销售或者使用不符合规定标准或者要求的锅炉，由县级以上人民政府质量监督、生态环境主管部门责令改正，没收违法所得，并处二万元以上二十万元以下的罚款。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500"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438"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锅炉数量★</w:t>
            </w:r>
          </w:p>
        </w:tc>
        <w:tc>
          <w:tcPr>
            <w:tcW w:w="5500"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生产、进口、销售或者</w:t>
            </w:r>
            <w:r>
              <w:rPr>
                <w:rFonts w:ascii="Times New Roman" w:hAnsi="Times New Roman" w:eastAsia="仿宋_GB2312" w:cs="仿宋_GB2312"/>
                <w:color w:val="000000"/>
                <w:highlight w:val="none"/>
              </w:rPr>
              <w:t>使用</w:t>
            </w:r>
            <w:r>
              <w:rPr>
                <w:rFonts w:hint="eastAsia" w:ascii="Times New Roman" w:hAnsi="Times New Roman" w:eastAsia="仿宋_GB2312" w:cs="仿宋_GB2312"/>
                <w:color w:val="000000"/>
                <w:highlight w:val="none"/>
              </w:rPr>
              <w:t>不符合规定标准或者要求的锅炉</w:t>
            </w:r>
            <w:r>
              <w:rPr>
                <w:rFonts w:ascii="Times New Roman" w:hAnsi="Times New Roman" w:eastAsia="仿宋_GB2312" w:cs="Times New Roman"/>
                <w:color w:val="000000"/>
                <w:highlight w:val="none"/>
              </w:rPr>
              <w:t>5</w:t>
            </w:r>
            <w:r>
              <w:rPr>
                <w:rFonts w:hint="eastAsia" w:ascii="Times New Roman" w:hAnsi="Times New Roman" w:eastAsia="仿宋_GB2312" w:cs="Times New Roman"/>
                <w:color w:val="000000"/>
                <w:highlight w:val="none"/>
              </w:rPr>
              <w:t>台</w:t>
            </w:r>
            <w:r>
              <w:rPr>
                <w:rFonts w:ascii="Times New Roman" w:hAnsi="Times New Roman" w:eastAsia="仿宋_GB2312" w:cs="Times New Roman"/>
                <w:color w:val="000000"/>
                <w:highlight w:val="none"/>
              </w:rPr>
              <w:t>以下的</w:t>
            </w:r>
          </w:p>
        </w:tc>
        <w:tc>
          <w:tcPr>
            <w:tcW w:w="2438"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500" w:type="dxa"/>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仿宋_GB2312"/>
                <w:color w:val="000000"/>
                <w:highlight w:val="none"/>
              </w:rPr>
              <w:t>生产、进口、销售或者</w:t>
            </w:r>
            <w:r>
              <w:rPr>
                <w:rFonts w:ascii="Times New Roman" w:hAnsi="Times New Roman" w:eastAsia="仿宋_GB2312" w:cs="仿宋_GB2312"/>
                <w:color w:val="000000"/>
                <w:highlight w:val="none"/>
              </w:rPr>
              <w:t>使用</w:t>
            </w:r>
            <w:r>
              <w:rPr>
                <w:rFonts w:hint="eastAsia" w:ascii="Times New Roman" w:hAnsi="Times New Roman" w:eastAsia="仿宋_GB2312" w:cs="仿宋_GB2312"/>
                <w:color w:val="000000"/>
                <w:highlight w:val="none"/>
              </w:rPr>
              <w:t>不符合规定标准或者要求的锅炉</w:t>
            </w:r>
            <w:r>
              <w:rPr>
                <w:rFonts w:ascii="Times New Roman" w:hAnsi="Times New Roman" w:eastAsia="仿宋_GB2312" w:cs="Times New Roman"/>
                <w:color w:val="000000"/>
                <w:highlight w:val="none"/>
              </w:rPr>
              <w:t>5</w:t>
            </w:r>
            <w:r>
              <w:rPr>
                <w:rFonts w:hint="eastAsia" w:ascii="Times New Roman" w:hAnsi="Times New Roman" w:eastAsia="仿宋_GB2312" w:cs="Times New Roman"/>
                <w:color w:val="000000"/>
                <w:highlight w:val="none"/>
              </w:rPr>
              <w:t>台以上10台以下</w:t>
            </w:r>
            <w:r>
              <w:rPr>
                <w:rFonts w:ascii="Times New Roman" w:hAnsi="Times New Roman" w:eastAsia="仿宋_GB2312" w:cs="Times New Roman"/>
                <w:color w:val="000000"/>
                <w:highlight w:val="none"/>
              </w:rPr>
              <w:t>的</w:t>
            </w:r>
          </w:p>
        </w:tc>
        <w:tc>
          <w:tcPr>
            <w:tcW w:w="2438"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500" w:type="dxa"/>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highlight w:val="none"/>
              </w:rPr>
              <w:t>生产、进口、销售</w:t>
            </w:r>
            <w:r>
              <w:rPr>
                <w:rFonts w:hint="eastAsia" w:ascii="Times New Roman" w:hAnsi="Times New Roman" w:eastAsia="仿宋_GB2312" w:cs="仿宋_GB2312"/>
                <w:color w:val="000000"/>
                <w:highlight w:val="none"/>
              </w:rPr>
              <w:t>或者</w:t>
            </w:r>
            <w:r>
              <w:rPr>
                <w:rFonts w:ascii="Times New Roman" w:hAnsi="Times New Roman" w:eastAsia="仿宋_GB2312" w:cs="仿宋_GB2312"/>
                <w:color w:val="000000"/>
                <w:highlight w:val="none"/>
              </w:rPr>
              <w:t>使用</w:t>
            </w:r>
            <w:r>
              <w:rPr>
                <w:rFonts w:hint="eastAsia" w:ascii="Times New Roman" w:hAnsi="Times New Roman" w:eastAsia="仿宋_GB2312" w:cs="仿宋_GB2312"/>
                <w:highlight w:val="none"/>
              </w:rPr>
              <w:t>不符合规定标准或者要求的锅炉</w:t>
            </w:r>
            <w:r>
              <w:rPr>
                <w:rFonts w:ascii="Times New Roman" w:hAnsi="Times New Roman" w:eastAsia="仿宋_GB2312" w:cs="Times New Roman"/>
                <w:highlight w:val="none"/>
              </w:rPr>
              <w:t>10</w:t>
            </w:r>
            <w:r>
              <w:rPr>
                <w:rFonts w:hint="eastAsia" w:ascii="Times New Roman" w:hAnsi="Times New Roman" w:eastAsia="仿宋_GB2312" w:cs="仿宋_GB2312"/>
                <w:highlight w:val="none"/>
              </w:rPr>
              <w:t>台及以上的</w:t>
            </w:r>
          </w:p>
        </w:tc>
        <w:tc>
          <w:tcPr>
            <w:tcW w:w="2438"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污染防治设施建设使用情况</w:t>
            </w:r>
          </w:p>
        </w:tc>
        <w:tc>
          <w:tcPr>
            <w:tcW w:w="5500"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已按照规定安装污染防治设施，且规范使用的</w:t>
            </w:r>
          </w:p>
        </w:tc>
        <w:tc>
          <w:tcPr>
            <w:tcW w:w="2438"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500"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未规范安装污染防治设施，或者未规范使用的</w:t>
            </w:r>
          </w:p>
        </w:tc>
        <w:tc>
          <w:tcPr>
            <w:tcW w:w="2438"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500"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未安装污染防治设施的，或者未使用的</w:t>
            </w:r>
          </w:p>
        </w:tc>
        <w:tc>
          <w:tcPr>
            <w:tcW w:w="2438"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938" w:type="dxa"/>
            <w:gridSpan w:val="2"/>
            <w:vAlign w:val="center"/>
          </w:tcPr>
          <w:p>
            <w:pPr>
              <w:snapToGrid w:val="0"/>
              <w:spacing w:line="288" w:lineRule="auto"/>
              <w:ind w:firstLine="420"/>
              <w:jc w:val="center"/>
              <w:rPr>
                <w:rFonts w:ascii="Times New Roman" w:hAnsi="Times New Roman" w:cs="Times New Roman"/>
                <w:color w:val="000000"/>
                <w:highlight w:val="none"/>
              </w:rPr>
            </w:pPr>
          </w:p>
        </w:tc>
      </w:tr>
    </w:tbl>
    <w:p>
      <w:pPr>
        <w:widowControl/>
        <w:snapToGrid w:val="0"/>
        <w:jc w:val="left"/>
        <w:rPr>
          <w:rFonts w:ascii="Times New Roman" w:hAnsi="Times New Roman" w:cs="Times New Roman"/>
          <w:sz w:val="10"/>
          <w:szCs w:val="10"/>
          <w:highlight w:val="none"/>
        </w:rPr>
      </w:pPr>
      <w:r>
        <w:rPr>
          <w:rFonts w:ascii="Times New Roman" w:hAnsi="Times New Roman" w:cs="Times New Roman"/>
          <w:color w:val="000000"/>
          <w:highlight w:val="none"/>
        </w:rPr>
        <w:br w:type="page"/>
      </w:r>
    </w:p>
    <w:tbl>
      <w:tblPr>
        <w:tblStyle w:val="1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639"/>
        <w:gridCol w:w="2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（二）大气污染防治类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938" w:type="dxa"/>
            <w:gridSpan w:val="2"/>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38" w:type="dxa"/>
            <w:gridSpan w:val="2"/>
          </w:tcPr>
          <w:p>
            <w:pPr>
              <w:pStyle w:val="11"/>
              <w:snapToGrid w:val="0"/>
              <w:spacing w:before="62" w:beforeLines="20" w:line="288" w:lineRule="auto"/>
              <w:ind w:firstLine="420" w:firstLineChars="200"/>
              <w:rPr>
                <w:rFonts w:ascii="Times New Roman" w:hAnsi="Times New Roman" w:eastAsia="仿宋_GB2312" w:cs="Times New Roman"/>
                <w:color w:val="000000"/>
                <w:kern w:val="2"/>
                <w:sz w:val="21"/>
                <w:szCs w:val="21"/>
                <w:highlight w:val="none"/>
              </w:rPr>
            </w:pPr>
            <w:r>
              <w:rPr>
                <w:rFonts w:hint="eastAsia" w:ascii="Times New Roman" w:hAnsi="Times New Roman" w:eastAsia="仿宋_GB2312" w:cs="仿宋_GB2312"/>
                <w:color w:val="000000"/>
                <w:kern w:val="2"/>
                <w:sz w:val="21"/>
                <w:szCs w:val="21"/>
                <w:highlight w:val="none"/>
              </w:rPr>
              <w:t>产生含挥发性有机物废气的生产和服务活动，未在密闭空间或者设备中进行，未按照规定安装、使用污染防治设施，或者未采取减少废气排放措施的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2"/>
              <w:snapToGrid w:val="0"/>
              <w:spacing w:before="62" w:beforeLines="20" w:beforeAutospacing="0" w:after="0" w:afterAutospacing="0" w:line="288" w:lineRule="auto"/>
              <w:ind w:firstLine="422" w:firstLineChars="200"/>
              <w:rPr>
                <w:rFonts w:ascii="Times New Roman" w:hAnsi="Times New Roman" w:eastAsia="仿宋_GB2312" w:cs="Times New Roman"/>
                <w:kern w:val="2"/>
                <w:sz w:val="21"/>
                <w:szCs w:val="21"/>
                <w:highlight w:val="none"/>
              </w:rPr>
            </w:pPr>
            <w:r>
              <w:rPr>
                <w:rFonts w:ascii="Times New Roman" w:hAnsi="Times New Roman" w:eastAsia="仿宋_GB2312" w:cs="Times New Roman"/>
                <w:b/>
                <w:bCs/>
                <w:kern w:val="2"/>
                <w:sz w:val="21"/>
                <w:szCs w:val="21"/>
                <w:highlight w:val="none"/>
              </w:rPr>
              <w:t>1.</w:t>
            </w:r>
            <w:r>
              <w:rPr>
                <w:rFonts w:hint="eastAsia" w:ascii="Times New Roman" w:hAnsi="Times New Roman" w:eastAsia="仿宋_GB2312" w:cs="仿宋_GB2312"/>
                <w:b/>
                <w:bCs/>
                <w:kern w:val="2"/>
                <w:sz w:val="21"/>
                <w:szCs w:val="21"/>
                <w:highlight w:val="none"/>
              </w:rPr>
              <w:t>《中华人民共和国大气污染防治法》第四十五条</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产生含挥发性有机物废气的生产和服务活动，应当在密闭空间或者设备中进行，并按照规定安装、使用污染防治设施</w:t>
            </w:r>
            <w:r>
              <w:rPr>
                <w:rFonts w:ascii="Times New Roman" w:hAnsi="Times New Roman" w:eastAsia="仿宋_GB2312" w:cs="Times New Roman"/>
                <w:kern w:val="2"/>
                <w:sz w:val="21"/>
                <w:szCs w:val="21"/>
                <w:highlight w:val="none"/>
              </w:rPr>
              <w:t>;</w:t>
            </w:r>
            <w:r>
              <w:rPr>
                <w:rFonts w:hint="eastAsia" w:ascii="Times New Roman" w:hAnsi="Times New Roman" w:eastAsia="仿宋_GB2312" w:cs="仿宋_GB2312"/>
                <w:kern w:val="2"/>
                <w:sz w:val="21"/>
                <w:szCs w:val="21"/>
                <w:highlight w:val="none"/>
              </w:rPr>
              <w:t>无法密闭的，应当采取措施减少废气排放。</w:t>
            </w:r>
          </w:p>
          <w:p>
            <w:pPr>
              <w:pStyle w:val="12"/>
              <w:snapToGrid w:val="0"/>
              <w:spacing w:before="0" w:beforeAutospacing="0" w:after="0" w:afterAutospacing="0" w:line="288" w:lineRule="auto"/>
              <w:ind w:firstLine="422" w:firstLineChars="200"/>
              <w:rPr>
                <w:rFonts w:ascii="Times New Roman" w:hAnsi="Times New Roman" w:eastAsia="仿宋_GB2312" w:cs="Times New Roman"/>
                <w:kern w:val="2"/>
                <w:sz w:val="21"/>
                <w:szCs w:val="21"/>
                <w:highlight w:val="none"/>
              </w:rPr>
            </w:pPr>
            <w:r>
              <w:rPr>
                <w:rFonts w:ascii="Times New Roman" w:hAnsi="Times New Roman" w:eastAsia="仿宋_GB2312" w:cs="Times New Roman"/>
                <w:b/>
                <w:bCs/>
                <w:kern w:val="2"/>
                <w:sz w:val="21"/>
                <w:szCs w:val="21"/>
                <w:highlight w:val="none"/>
              </w:rPr>
              <w:t>2.</w:t>
            </w:r>
            <w:r>
              <w:rPr>
                <w:rFonts w:hint="eastAsia" w:ascii="Times New Roman" w:hAnsi="Times New Roman" w:eastAsia="仿宋_GB2312" w:cs="仿宋_GB2312"/>
                <w:b/>
                <w:bCs/>
                <w:kern w:val="2"/>
                <w:sz w:val="21"/>
                <w:szCs w:val="21"/>
                <w:highlight w:val="none"/>
              </w:rPr>
              <w:t>《山东省大气污染防治条例》第三十六条</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下列产生含挥发性有机物废气的活动，应当使用低挥发性有机物含量的原料和工艺，按照规定在密闭空间或者设备中进行并安装、使用污染防治设施；无法密闭的，应当采取措施减少废气排放：</w:t>
            </w:r>
          </w:p>
          <w:p>
            <w:pPr>
              <w:pStyle w:val="12"/>
              <w:numPr>
                <w:ilvl w:val="0"/>
                <w:numId w:val="2"/>
              </w:numPr>
              <w:snapToGrid w:val="0"/>
              <w:spacing w:before="0" w:beforeAutospacing="0" w:after="0" w:afterAutospacing="0" w:line="288" w:lineRule="auto"/>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石油、煤化工等含挥发性有机物原料的生产；</w:t>
            </w:r>
          </w:p>
          <w:p>
            <w:pPr>
              <w:pStyle w:val="12"/>
              <w:numPr>
                <w:ilvl w:val="0"/>
                <w:numId w:val="2"/>
              </w:numPr>
              <w:snapToGrid w:val="0"/>
              <w:spacing w:before="0" w:beforeAutospacing="0" w:after="0" w:afterAutospacing="0" w:line="288" w:lineRule="auto"/>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燃油、溶剂的储存、运输和销售；</w:t>
            </w:r>
          </w:p>
          <w:p>
            <w:pPr>
              <w:pStyle w:val="12"/>
              <w:numPr>
                <w:ilvl w:val="0"/>
                <w:numId w:val="2"/>
              </w:numPr>
              <w:snapToGrid w:val="0"/>
              <w:spacing w:before="0" w:beforeAutospacing="0" w:after="0" w:afterAutospacing="0" w:line="288" w:lineRule="auto"/>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涂料、油墨、胶粘剂、农药等以挥发性有机物为原料的生产；</w:t>
            </w:r>
          </w:p>
          <w:p>
            <w:pPr>
              <w:pStyle w:val="12"/>
              <w:numPr>
                <w:ilvl w:val="0"/>
                <w:numId w:val="2"/>
              </w:numPr>
              <w:snapToGrid w:val="0"/>
              <w:spacing w:before="0" w:beforeAutospacing="0" w:after="0" w:afterAutospacing="0" w:line="288" w:lineRule="auto"/>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涂装、印刷、粘合、工业清洗等含挥发性有机物的产品使用；</w:t>
            </w:r>
          </w:p>
          <w:p>
            <w:pPr>
              <w:pStyle w:val="12"/>
              <w:numPr>
                <w:ilvl w:val="0"/>
                <w:numId w:val="2"/>
              </w:numPr>
              <w:snapToGrid w:val="0"/>
              <w:spacing w:before="0" w:beforeAutospacing="0" w:after="0" w:afterAutospacing="0" w:line="288" w:lineRule="auto"/>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其他产生挥发性有机物的生产和服务活动。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2"/>
              <w:snapToGrid w:val="0"/>
              <w:spacing w:before="0" w:beforeAutospacing="0" w:after="0" w:afterAutospacing="0" w:line="288" w:lineRule="auto"/>
              <w:ind w:firstLine="360"/>
              <w:rPr>
                <w:rFonts w:ascii="Times New Roman" w:hAnsi="Times New Roman" w:eastAsia="仿宋_GB2312" w:cs="Times New Roman"/>
                <w:kern w:val="2"/>
                <w:sz w:val="21"/>
                <w:szCs w:val="21"/>
                <w:highlight w:val="none"/>
              </w:rPr>
            </w:pPr>
            <w:r>
              <w:rPr>
                <w:rFonts w:ascii="Times New Roman" w:hAnsi="Times New Roman" w:eastAsia="仿宋_GB2312" w:cs="Times New Roman"/>
                <w:b/>
                <w:bCs/>
                <w:kern w:val="2"/>
                <w:sz w:val="21"/>
                <w:szCs w:val="21"/>
                <w:highlight w:val="none"/>
              </w:rPr>
              <w:t>1.</w:t>
            </w:r>
            <w:r>
              <w:rPr>
                <w:rFonts w:hint="eastAsia" w:ascii="Times New Roman" w:hAnsi="Times New Roman" w:eastAsia="仿宋_GB2312" w:cs="仿宋_GB2312"/>
                <w:b/>
                <w:bCs/>
                <w:kern w:val="2"/>
                <w:sz w:val="21"/>
                <w:szCs w:val="21"/>
                <w:highlight w:val="none"/>
              </w:rPr>
              <w:t>《中华人民共和国大气污染防治法》第一百零八条第（一）项</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违反本法规定，有下列行为之一的，由县级以上人民政府生态环境主管部门责令改正，处二万元以上二十万元以下的罚款；拒不改正的，责令停产整治</w:t>
            </w:r>
            <w:r>
              <w:rPr>
                <w:rFonts w:ascii="Times New Roman" w:hAnsi="Times New Roman" w:eastAsia="仿宋_GB2312" w:cs="Times New Roman"/>
                <w:kern w:val="2"/>
                <w:sz w:val="21"/>
                <w:szCs w:val="21"/>
                <w:highlight w:val="none"/>
              </w:rPr>
              <w:t>:</w:t>
            </w:r>
          </w:p>
          <w:p>
            <w:pPr>
              <w:pStyle w:val="12"/>
              <w:snapToGrid w:val="0"/>
              <w:spacing w:before="0" w:beforeAutospacing="0" w:after="0" w:afterAutospacing="0" w:line="288" w:lineRule="auto"/>
              <w:ind w:firstLine="420"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（一）产生含挥发性有机物废气的生产和服务活动，未在密闭空间或者设备中进行，未按照规定安装、使用污染防治设施，或者未采取减少废气排放措施的。</w:t>
            </w:r>
          </w:p>
          <w:p>
            <w:pPr>
              <w:pStyle w:val="12"/>
              <w:snapToGrid w:val="0"/>
              <w:spacing w:before="0" w:beforeAutospacing="0" w:after="0" w:afterAutospacing="0" w:line="288" w:lineRule="auto"/>
              <w:ind w:firstLine="422" w:firstLineChars="200"/>
              <w:rPr>
                <w:rFonts w:ascii="Times New Roman" w:hAnsi="Times New Roman" w:eastAsia="仿宋_GB2312" w:cs="Times New Roman"/>
                <w:kern w:val="2"/>
                <w:sz w:val="21"/>
                <w:szCs w:val="21"/>
                <w:highlight w:val="none"/>
              </w:rPr>
            </w:pPr>
            <w:r>
              <w:rPr>
                <w:rFonts w:ascii="Times New Roman" w:hAnsi="Times New Roman" w:eastAsia="仿宋_GB2312" w:cs="Times New Roman"/>
                <w:b/>
                <w:bCs/>
                <w:kern w:val="2"/>
                <w:sz w:val="21"/>
                <w:szCs w:val="21"/>
                <w:highlight w:val="none"/>
              </w:rPr>
              <w:t>2.</w:t>
            </w:r>
            <w:r>
              <w:rPr>
                <w:rFonts w:hint="eastAsia" w:ascii="Times New Roman" w:hAnsi="Times New Roman" w:eastAsia="仿宋_GB2312" w:cs="仿宋_GB2312"/>
                <w:b/>
                <w:bCs/>
                <w:kern w:val="2"/>
                <w:sz w:val="21"/>
                <w:szCs w:val="21"/>
                <w:highlight w:val="none"/>
              </w:rPr>
              <w:t>《山东省大气污染防治条例》第七十二条第（三）项</w:t>
            </w:r>
            <w:r>
              <w:rPr>
                <w:rFonts w:ascii="Times New Roman" w:hAnsi="Times New Roman" w:eastAsia="仿宋_GB2312" w:cs="Times New Roman"/>
                <w:b/>
                <w:bCs/>
                <w:kern w:val="2"/>
                <w:sz w:val="21"/>
                <w:szCs w:val="21"/>
                <w:highlight w:val="none"/>
              </w:rPr>
              <w:t xml:space="preserve"> </w:t>
            </w:r>
            <w:r>
              <w:rPr>
                <w:rFonts w:hint="eastAsia" w:ascii="Times New Roman" w:hAnsi="Times New Roman" w:eastAsia="仿宋_GB2312" w:cs="仿宋_GB2312"/>
                <w:kern w:val="2"/>
                <w:sz w:val="21"/>
                <w:szCs w:val="21"/>
                <w:highlight w:val="none"/>
              </w:rPr>
              <w:t>违反本条例规定，有下列行为之一的，由县级以上人民政府生态环境主管部门责令改正，处二万元以上二十万元以下的罚款；拒不改正的，责令停产整治：</w:t>
            </w:r>
          </w:p>
          <w:p>
            <w:pPr>
              <w:pStyle w:val="12"/>
              <w:snapToGrid w:val="0"/>
              <w:spacing w:before="0" w:beforeAutospacing="0" w:after="0" w:afterAutospacing="0" w:line="288" w:lineRule="auto"/>
              <w:ind w:firstLine="420"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（三）从事产生含挥发性有机物废气的活动，未按照规定采取必要的污染防治措施的。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63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29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639"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未在密闭空间或者设备中进行</w:t>
            </w:r>
          </w:p>
        </w:tc>
        <w:tc>
          <w:tcPr>
            <w:tcW w:w="2299"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639"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未采取减少废气排放措施的</w:t>
            </w:r>
          </w:p>
        </w:tc>
        <w:tc>
          <w:tcPr>
            <w:tcW w:w="2299"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639"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未按照规定安装、使用污染防治设施的</w:t>
            </w:r>
          </w:p>
        </w:tc>
        <w:tc>
          <w:tcPr>
            <w:tcW w:w="2299"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建设地点</w:t>
            </w:r>
          </w:p>
        </w:tc>
        <w:tc>
          <w:tcPr>
            <w:tcW w:w="5639"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highlight w:val="none"/>
              </w:rPr>
              <w:t>二类功能区（工业区和农村地区）</w:t>
            </w:r>
          </w:p>
        </w:tc>
        <w:tc>
          <w:tcPr>
            <w:tcW w:w="229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639"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highlight w:val="none"/>
              </w:rPr>
              <w:t>二类功能区（居民区、商业交通居民混合区、文化区）</w:t>
            </w:r>
          </w:p>
        </w:tc>
        <w:tc>
          <w:tcPr>
            <w:tcW w:w="229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639"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highlight w:val="none"/>
              </w:rPr>
              <w:t>一类功能区</w:t>
            </w:r>
          </w:p>
        </w:tc>
        <w:tc>
          <w:tcPr>
            <w:tcW w:w="229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tcPr>
          <w:p>
            <w:pPr>
              <w:snapToGrid w:val="0"/>
              <w:jc w:val="center"/>
              <w:rPr>
                <w:rFonts w:ascii="Times New Roman" w:hAnsi="Times New Roman" w:cs="宋体"/>
                <w:b/>
                <w:bCs/>
                <w:color w:val="000000"/>
                <w:highlight w:val="none"/>
              </w:rPr>
            </w:pPr>
            <w:r>
              <w:rPr>
                <w:rFonts w:hint="eastAsia" w:ascii="Times New Roman" w:hAnsi="Times New Roman" w:cs="宋体"/>
                <w:b/>
                <w:bCs/>
                <w:color w:val="000000"/>
                <w:highlight w:val="none"/>
              </w:rPr>
              <w:t>项目应报批的环评文件类型</w:t>
            </w:r>
          </w:p>
        </w:tc>
        <w:tc>
          <w:tcPr>
            <w:tcW w:w="5639" w:type="dxa"/>
            <w:vAlign w:val="center"/>
          </w:tcPr>
          <w:p>
            <w:pPr>
              <w:snapToGrid w:val="0"/>
              <w:jc w:val="center"/>
              <w:rPr>
                <w:rFonts w:hint="eastAsia"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报告表</w:t>
            </w:r>
          </w:p>
        </w:tc>
        <w:tc>
          <w:tcPr>
            <w:tcW w:w="2299"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tcPr>
          <w:p>
            <w:pPr>
              <w:snapToGrid w:val="0"/>
              <w:jc w:val="center"/>
              <w:rPr>
                <w:rFonts w:ascii="Times New Roman" w:hAnsi="Times New Roman" w:cs="Times New Roman"/>
                <w:b/>
                <w:bCs/>
                <w:color w:val="FF0000"/>
                <w:highlight w:val="none"/>
              </w:rPr>
            </w:pPr>
          </w:p>
        </w:tc>
        <w:tc>
          <w:tcPr>
            <w:tcW w:w="5639" w:type="dxa"/>
            <w:vAlign w:val="center"/>
          </w:tcPr>
          <w:p>
            <w:pPr>
              <w:snapToGrid w:val="0"/>
              <w:jc w:val="center"/>
              <w:rPr>
                <w:rFonts w:hint="eastAsia"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报告书</w:t>
            </w:r>
          </w:p>
        </w:tc>
        <w:tc>
          <w:tcPr>
            <w:tcW w:w="2299"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tcPr>
          <w:p>
            <w:pPr>
              <w:snapToGrid w:val="0"/>
              <w:jc w:val="center"/>
              <w:rPr>
                <w:rFonts w:ascii="Times New Roman" w:hAnsi="Times New Roman" w:cs="Times New Roman"/>
                <w:b/>
                <w:bCs/>
                <w:color w:val="FF0000"/>
                <w:highlight w:val="none"/>
              </w:rPr>
            </w:pPr>
          </w:p>
        </w:tc>
        <w:tc>
          <w:tcPr>
            <w:tcW w:w="5639" w:type="dxa"/>
            <w:vAlign w:val="center"/>
          </w:tcPr>
          <w:p>
            <w:pPr>
              <w:snapToGrid w:val="0"/>
              <w:jc w:val="center"/>
              <w:rPr>
                <w:rFonts w:hint="eastAsia"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报告书（化工、电镀、皮革、造纸、制浆、冶炼、放射性、 印染、染料、炼焦、炼油项目）</w:t>
            </w:r>
          </w:p>
        </w:tc>
        <w:tc>
          <w:tcPr>
            <w:tcW w:w="2299"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cs="Times New Roman"/>
                <w:highlight w:val="none"/>
              </w:rPr>
            </w:pPr>
          </w:p>
        </w:tc>
      </w:tr>
    </w:tbl>
    <w:p>
      <w:pPr>
        <w:widowControl/>
        <w:snapToGrid w:val="0"/>
        <w:jc w:val="left"/>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783"/>
        <w:gridCol w:w="2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spacing w:line="288" w:lineRule="auto"/>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（二）大气污染防治类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pStyle w:val="11"/>
              <w:snapToGrid w:val="0"/>
              <w:jc w:val="center"/>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工业涂装企业未使用低挥发性有机物含量涂料或者未建立、保存台账的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1"/>
              <w:snapToGrid w:val="0"/>
              <w:spacing w:before="62" w:beforeLines="20" w:line="288" w:lineRule="auto"/>
              <w:ind w:firstLine="357"/>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《中华人民共和国大气污染防治法》第四十六条</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工业涂装企业应当使用低挥发性有机物含量的涂料，并建立台账，记录生产原料、辅料的使用量、废弃量、去向以及挥发性有机物含量。台账保存期限不得少于三年。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1"/>
              <w:snapToGrid w:val="0"/>
              <w:spacing w:before="62" w:beforeLines="20" w:line="288" w:lineRule="auto"/>
              <w:ind w:firstLine="357"/>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《中华人民共和国大气污染防治法》第一百零八条第（二）项</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违反本法规定，有下列行为之一的，由县级以上人民政府生态环境主管部门责令改正，处二万元以上二十万元以下的罚款；拒不改正的，责令停产整治</w:t>
            </w:r>
            <w:r>
              <w:rPr>
                <w:rFonts w:ascii="Times New Roman" w:hAnsi="Times New Roman" w:eastAsia="仿宋_GB2312" w:cs="Times New Roman"/>
                <w:kern w:val="2"/>
                <w:sz w:val="21"/>
                <w:szCs w:val="21"/>
                <w:highlight w:val="none"/>
              </w:rPr>
              <w:t>:</w:t>
            </w:r>
          </w:p>
          <w:p>
            <w:pPr>
              <w:pStyle w:val="11"/>
              <w:snapToGrid w:val="0"/>
              <w:spacing w:line="288" w:lineRule="auto"/>
              <w:ind w:firstLine="36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（二）工业涂装企业未使用低挥发性有机物含量涂料或者未建立、保存台账的。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78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15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78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已使用低挥发性有机物含量涂料，但未规范建立、保存台账的</w:t>
            </w:r>
          </w:p>
        </w:tc>
        <w:tc>
          <w:tcPr>
            <w:tcW w:w="2155"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78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已使用低挥发性有机物含量涂料，但未建立、保存台账的</w:t>
            </w:r>
          </w:p>
        </w:tc>
        <w:tc>
          <w:tcPr>
            <w:tcW w:w="2155"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78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未使用低挥发性有机物含量涂料</w:t>
            </w:r>
          </w:p>
        </w:tc>
        <w:tc>
          <w:tcPr>
            <w:tcW w:w="2155"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建设地点</w:t>
            </w:r>
          </w:p>
        </w:tc>
        <w:tc>
          <w:tcPr>
            <w:tcW w:w="578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highlight w:val="none"/>
              </w:rPr>
              <w:t>二类功能区（工业区和农村地区）</w:t>
            </w:r>
          </w:p>
        </w:tc>
        <w:tc>
          <w:tcPr>
            <w:tcW w:w="2155"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二类功能区（居民区、商业交通居民混合区、文化区）</w:t>
            </w:r>
          </w:p>
        </w:tc>
        <w:tc>
          <w:tcPr>
            <w:tcW w:w="2155"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一类功能区</w:t>
            </w:r>
          </w:p>
        </w:tc>
        <w:tc>
          <w:tcPr>
            <w:tcW w:w="2155"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台账保存</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期限</w:t>
            </w:r>
          </w:p>
        </w:tc>
        <w:tc>
          <w:tcPr>
            <w:tcW w:w="578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年以上不足</w:t>
            </w: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年的</w:t>
            </w:r>
          </w:p>
        </w:tc>
        <w:tc>
          <w:tcPr>
            <w:tcW w:w="2155"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年以上不足</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年的</w:t>
            </w:r>
          </w:p>
        </w:tc>
        <w:tc>
          <w:tcPr>
            <w:tcW w:w="2155"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年的</w:t>
            </w:r>
          </w:p>
        </w:tc>
        <w:tc>
          <w:tcPr>
            <w:tcW w:w="2155"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cs="Times New Roman"/>
                <w:color w:val="FF0000"/>
                <w:highlight w:val="none"/>
              </w:rPr>
            </w:pPr>
          </w:p>
        </w:tc>
      </w:tr>
    </w:tbl>
    <w:p>
      <w:pPr>
        <w:widowControl/>
        <w:snapToGrid w:val="0"/>
        <w:jc w:val="left"/>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（二）大气污染防治类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pStyle w:val="11"/>
              <w:snapToGrid w:val="0"/>
              <w:spacing w:before="62" w:beforeLines="20"/>
              <w:ind w:firstLine="420" w:firstLineChars="200"/>
              <w:jc w:val="both"/>
              <w:rPr>
                <w:rFonts w:ascii="Times New Roman" w:hAnsi="Times New Roman" w:eastAsia="仿宋_GB2312" w:cs="Times New Roman"/>
                <w:color w:val="000000"/>
                <w:kern w:val="2"/>
                <w:sz w:val="21"/>
                <w:szCs w:val="21"/>
                <w:highlight w:val="none"/>
              </w:rPr>
            </w:pPr>
            <w:r>
              <w:rPr>
                <w:rFonts w:hint="eastAsia" w:ascii="Times New Roman" w:hAnsi="Times New Roman" w:eastAsia="仿宋_GB2312" w:cs="仿宋_GB2312"/>
                <w:color w:val="000000"/>
                <w:kern w:val="2"/>
                <w:sz w:val="21"/>
                <w:szCs w:val="21"/>
                <w:highlight w:val="none"/>
              </w:rPr>
              <w:t>石油、化工以及其他生产和使用有机溶剂的企业，未采取措施对管道、设备进行日常维护、维修，减少物料泄漏或者对泄漏的物料未及时收集处理的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2"/>
              <w:snapToGrid w:val="0"/>
              <w:spacing w:before="62" w:beforeLines="20" w:beforeAutospacing="0" w:after="0" w:afterAutospacing="0"/>
              <w:ind w:firstLine="422" w:firstLineChars="200"/>
              <w:rPr>
                <w:rFonts w:ascii="Times New Roman" w:hAnsi="Times New Roman" w:eastAsia="仿宋_GB2312" w:cs="Times New Roman"/>
                <w:kern w:val="2"/>
                <w:sz w:val="21"/>
                <w:szCs w:val="21"/>
                <w:highlight w:val="none"/>
              </w:rPr>
            </w:pPr>
            <w:r>
              <w:rPr>
                <w:rFonts w:ascii="Times New Roman" w:hAnsi="Times New Roman" w:eastAsia="仿宋_GB2312" w:cs="Times New Roman"/>
                <w:b/>
                <w:bCs/>
                <w:kern w:val="2"/>
                <w:sz w:val="21"/>
                <w:szCs w:val="21"/>
                <w:highlight w:val="none"/>
              </w:rPr>
              <w:t>1.</w:t>
            </w:r>
            <w:r>
              <w:rPr>
                <w:rFonts w:hint="eastAsia" w:ascii="Times New Roman" w:hAnsi="Times New Roman" w:eastAsia="仿宋_GB2312" w:cs="仿宋_GB2312"/>
                <w:b/>
                <w:bCs/>
                <w:kern w:val="2"/>
                <w:sz w:val="21"/>
                <w:szCs w:val="21"/>
                <w:highlight w:val="none"/>
              </w:rPr>
              <w:t>《中华人民共和国大气污染防治法》第四十七条</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石油、化工以及其他生产和使用有机溶剂的企业，应当采取措施对管道、设备进行日常维护、维修，减少物料泄漏，对泄漏的物料应当及时收集处理。</w:t>
            </w:r>
          </w:p>
          <w:p>
            <w:pPr>
              <w:pStyle w:val="12"/>
              <w:snapToGrid w:val="0"/>
              <w:spacing w:before="0" w:beforeAutospacing="0" w:after="0" w:afterAutospacing="0"/>
              <w:ind w:firstLine="420"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储油储气库、加油加气站、原油成品油码头、原油成品油运输船舶和油罐车、气罐车等，应当按照国家有关规定安装油气回收装置并保持正常使用。</w:t>
            </w:r>
            <w:r>
              <w:rPr>
                <w:rFonts w:ascii="Times New Roman" w:hAnsi="Times New Roman" w:eastAsia="仿宋_GB2312" w:cs="Times New Roman"/>
                <w:kern w:val="2"/>
                <w:sz w:val="21"/>
                <w:szCs w:val="21"/>
                <w:highlight w:val="none"/>
              </w:rPr>
              <w:t xml:space="preserve"> </w:t>
            </w:r>
          </w:p>
          <w:p>
            <w:pPr>
              <w:pStyle w:val="12"/>
              <w:snapToGrid w:val="0"/>
              <w:spacing w:before="0" w:beforeAutospacing="0" w:after="0" w:afterAutospacing="0"/>
              <w:ind w:firstLine="422" w:firstLineChars="200"/>
              <w:rPr>
                <w:rFonts w:ascii="Times New Roman" w:hAnsi="Times New Roman" w:eastAsia="仿宋_GB2312" w:cs="Times New Roman"/>
                <w:kern w:val="2"/>
                <w:sz w:val="21"/>
                <w:szCs w:val="21"/>
                <w:highlight w:val="none"/>
              </w:rPr>
            </w:pPr>
            <w:r>
              <w:rPr>
                <w:rFonts w:ascii="Times New Roman" w:hAnsi="Times New Roman" w:eastAsia="仿宋_GB2312" w:cs="Times New Roman"/>
                <w:b/>
                <w:bCs/>
                <w:kern w:val="2"/>
                <w:sz w:val="21"/>
                <w:szCs w:val="21"/>
                <w:highlight w:val="none"/>
              </w:rPr>
              <w:t>2.</w:t>
            </w:r>
            <w:r>
              <w:rPr>
                <w:rFonts w:hint="eastAsia" w:ascii="Times New Roman" w:hAnsi="Times New Roman" w:eastAsia="仿宋_GB2312" w:cs="仿宋_GB2312"/>
                <w:b/>
                <w:bCs/>
                <w:kern w:val="2"/>
                <w:sz w:val="21"/>
                <w:szCs w:val="21"/>
                <w:highlight w:val="none"/>
              </w:rPr>
              <w:t>《山东省大气污染防治条例》第三十四条</w:t>
            </w:r>
            <w:r>
              <w:rPr>
                <w:rFonts w:ascii="Times New Roman" w:hAnsi="Times New Roman" w:eastAsia="仿宋_GB2312" w:cs="Times New Roman"/>
                <w:b/>
                <w:bCs/>
                <w:kern w:val="2"/>
                <w:sz w:val="21"/>
                <w:szCs w:val="21"/>
                <w:highlight w:val="none"/>
              </w:rPr>
              <w:t xml:space="preserve"> </w:t>
            </w:r>
            <w:r>
              <w:rPr>
                <w:rFonts w:hint="eastAsia" w:ascii="Times New Roman" w:hAnsi="Times New Roman" w:eastAsia="仿宋_GB2312" w:cs="仿宋_GB2312"/>
                <w:kern w:val="2"/>
                <w:sz w:val="21"/>
                <w:szCs w:val="21"/>
                <w:highlight w:val="none"/>
              </w:rPr>
              <w:t>石化、重点有机化工等工业企业应当建立泄露检测与修复体系，对管道、设备等进行日常检修、维护，及时收集处理泄露物料。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2"/>
              <w:snapToGrid w:val="0"/>
              <w:spacing w:before="62" w:beforeLines="20" w:beforeAutospacing="0" w:after="0" w:afterAutospacing="0"/>
              <w:ind w:firstLine="357"/>
              <w:rPr>
                <w:rFonts w:ascii="Times New Roman" w:hAnsi="Times New Roman" w:eastAsia="仿宋_GB2312" w:cs="Times New Roman"/>
                <w:kern w:val="2"/>
                <w:sz w:val="21"/>
                <w:szCs w:val="21"/>
                <w:highlight w:val="none"/>
              </w:rPr>
            </w:pPr>
            <w:r>
              <w:rPr>
                <w:rFonts w:ascii="Times New Roman" w:hAnsi="Times New Roman" w:eastAsia="仿宋_GB2312" w:cs="Times New Roman"/>
                <w:b/>
                <w:bCs/>
                <w:kern w:val="2"/>
                <w:sz w:val="21"/>
                <w:szCs w:val="21"/>
                <w:highlight w:val="none"/>
              </w:rPr>
              <w:t>1.</w:t>
            </w:r>
            <w:r>
              <w:rPr>
                <w:rFonts w:hint="eastAsia" w:ascii="Times New Roman" w:hAnsi="Times New Roman" w:eastAsia="仿宋_GB2312" w:cs="仿宋_GB2312"/>
                <w:b/>
                <w:bCs/>
                <w:kern w:val="2"/>
                <w:sz w:val="21"/>
                <w:szCs w:val="21"/>
                <w:highlight w:val="none"/>
              </w:rPr>
              <w:t>《中华人民共和国大气污染防治法》第一百零八条第（三）项</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违反本法规定，有下列行为之一的，由县级以上人民政府生态环境主管部门责令改正，处二万元以上二十万元以下的罚款；拒不改正的，责令停产整治</w:t>
            </w:r>
            <w:r>
              <w:rPr>
                <w:rFonts w:ascii="Times New Roman" w:hAnsi="Times New Roman" w:eastAsia="仿宋_GB2312" w:cs="Times New Roman"/>
                <w:kern w:val="2"/>
                <w:sz w:val="21"/>
                <w:szCs w:val="21"/>
                <w:highlight w:val="none"/>
              </w:rPr>
              <w:t>:</w:t>
            </w:r>
          </w:p>
          <w:p>
            <w:pPr>
              <w:pStyle w:val="12"/>
              <w:snapToGrid w:val="0"/>
              <w:spacing w:before="0" w:beforeAutospacing="0" w:after="0" w:afterAutospacing="0"/>
              <w:ind w:firstLine="36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（三）石油、化工以及其他生产和使用有机溶剂的企业，未采取措施对管道、设备进行日常维护、维修，减少物料泄漏或者对泄漏的物料未及时收集处理的。</w:t>
            </w:r>
          </w:p>
          <w:p>
            <w:pPr>
              <w:pStyle w:val="12"/>
              <w:snapToGrid w:val="0"/>
              <w:spacing w:before="0" w:beforeAutospacing="0" w:after="0" w:afterAutospacing="0"/>
              <w:ind w:firstLine="360"/>
              <w:rPr>
                <w:rFonts w:ascii="Times New Roman" w:hAnsi="Times New Roman" w:eastAsia="仿宋_GB2312" w:cs="Times New Roman"/>
                <w:kern w:val="2"/>
                <w:sz w:val="21"/>
                <w:szCs w:val="21"/>
                <w:highlight w:val="none"/>
              </w:rPr>
            </w:pPr>
            <w:r>
              <w:rPr>
                <w:rFonts w:ascii="Times New Roman" w:hAnsi="Times New Roman" w:eastAsia="仿宋_GB2312" w:cs="Times New Roman"/>
                <w:b/>
                <w:bCs/>
                <w:kern w:val="2"/>
                <w:sz w:val="21"/>
                <w:szCs w:val="21"/>
                <w:highlight w:val="none"/>
              </w:rPr>
              <w:t>2.</w:t>
            </w:r>
            <w:r>
              <w:rPr>
                <w:rFonts w:hint="eastAsia" w:ascii="Times New Roman" w:hAnsi="Times New Roman" w:eastAsia="仿宋_GB2312" w:cs="仿宋_GB2312"/>
                <w:b/>
                <w:bCs/>
                <w:kern w:val="2"/>
                <w:sz w:val="21"/>
                <w:szCs w:val="21"/>
                <w:highlight w:val="none"/>
              </w:rPr>
              <w:t>《山东省大气污染防治条例》第七十二条第（二）项</w:t>
            </w:r>
            <w:r>
              <w:rPr>
                <w:rFonts w:ascii="Times New Roman" w:hAnsi="Times New Roman" w:eastAsia="仿宋_GB2312" w:cs="Times New Roman"/>
                <w:b/>
                <w:bCs/>
                <w:kern w:val="2"/>
                <w:sz w:val="21"/>
                <w:szCs w:val="21"/>
                <w:highlight w:val="none"/>
              </w:rPr>
              <w:t xml:space="preserve"> </w:t>
            </w:r>
            <w:r>
              <w:rPr>
                <w:rFonts w:hint="eastAsia" w:ascii="Times New Roman" w:hAnsi="Times New Roman" w:eastAsia="仿宋_GB2312" w:cs="仿宋_GB2312"/>
                <w:kern w:val="2"/>
                <w:sz w:val="21"/>
                <w:szCs w:val="21"/>
                <w:highlight w:val="none"/>
              </w:rPr>
              <w:t>违反本条例规定，有下列行为之一的，由县级以上人民政府生态环境主管部门责令改正，处二万元以上二十万元以下的罚款；拒不改正的，责令停产整治：</w:t>
            </w:r>
          </w:p>
          <w:p>
            <w:pPr>
              <w:pStyle w:val="12"/>
              <w:snapToGrid w:val="0"/>
              <w:spacing w:before="0" w:beforeAutospacing="0" w:after="0" w:afterAutospacing="0"/>
              <w:ind w:firstLine="36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（二）石化、重点有机化工等企业未按照规定建立实施泄露检测与修复体系，对管道、设备进行日常检修、维护，及时收集处理泄露物料的。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45"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采取措施进行日常维护、维修，但不规范的/</w:t>
            </w:r>
          </w:p>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挥发性有机液体泄漏大于3滴/分钟</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未按规定每6个月对相关设备进行检查和修复的/</w:t>
            </w:r>
          </w:p>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挥发性有机液体泄漏大于6滴/分钟</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未按规定每12个月对相关设备进行检查和修复的/</w:t>
            </w:r>
          </w:p>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挥发性有机液体泄漏大于9滴/分钟</w:t>
            </w:r>
          </w:p>
        </w:tc>
        <w:tc>
          <w:tcPr>
            <w:tcW w:w="2693" w:type="dxa"/>
            <w:vAlign w:val="center"/>
          </w:tcPr>
          <w:p>
            <w:pPr>
              <w:snapToGrid w:val="0"/>
              <w:jc w:val="center"/>
              <w:rPr>
                <w:rFonts w:ascii="Times New Roman" w:hAnsi="Times New Roman" w:cs="Times New Roman"/>
                <w:highlight w:val="none"/>
              </w:rPr>
            </w:pPr>
            <w:r>
              <w:rPr>
                <w:rFonts w:hint="eastAsia"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restart"/>
            <w:vAlign w:val="center"/>
          </w:tcPr>
          <w:p>
            <w:pPr>
              <w:snapToGrid w:val="0"/>
              <w:jc w:val="center"/>
              <w:rPr>
                <w:rFonts w:ascii="Times New Roman" w:hAnsi="Times New Roman" w:cs="宋体"/>
                <w:b/>
                <w:bCs/>
                <w:highlight w:val="none"/>
              </w:rPr>
            </w:pPr>
            <w:r>
              <w:rPr>
                <w:rFonts w:hint="eastAsia" w:ascii="Times New Roman" w:hAnsi="Times New Roman" w:cs="宋体"/>
                <w:b/>
                <w:bCs/>
                <w:highlight w:val="none"/>
              </w:rPr>
              <w:t>未及时</w:t>
            </w:r>
          </w:p>
          <w:p>
            <w:pPr>
              <w:snapToGrid w:val="0"/>
              <w:jc w:val="center"/>
              <w:rPr>
                <w:rFonts w:ascii="Times New Roman" w:hAnsi="Times New Roman" w:cs="宋体"/>
                <w:b/>
                <w:bCs/>
                <w:highlight w:val="none"/>
              </w:rPr>
            </w:pPr>
            <w:r>
              <w:rPr>
                <w:rFonts w:ascii="Times New Roman" w:hAnsi="Times New Roman" w:cs="宋体"/>
                <w:b/>
                <w:bCs/>
                <w:highlight w:val="none"/>
              </w:rPr>
              <w:t>处理时间</w:t>
            </w:r>
          </w:p>
        </w:tc>
        <w:tc>
          <w:tcPr>
            <w:tcW w:w="5245" w:type="dxa"/>
            <w:shd w:val="clear" w:color="auto" w:fill="auto"/>
            <w:vAlign w:val="center"/>
          </w:tcPr>
          <w:p>
            <w:pPr>
              <w:snapToGrid w:val="0"/>
              <w:jc w:val="center"/>
              <w:rPr>
                <w:rFonts w:ascii="Times New Roman" w:hAnsi="Times New Roman" w:eastAsia="仿宋_GB2312" w:cs="仿宋_GB2312"/>
                <w:color w:val="000000"/>
                <w:highlight w:val="none"/>
              </w:rPr>
            </w:pPr>
            <w:r>
              <w:rPr>
                <w:rFonts w:hint="eastAsia" w:ascii="仿宋_GB2312" w:hAnsi="仿宋_GB2312" w:eastAsia="仿宋_GB2312" w:cs="仿宋_GB2312"/>
                <w:sz w:val="18"/>
                <w:szCs w:val="18"/>
                <w:highlight w:val="none"/>
              </w:rPr>
              <w:t>时间≤24小时</w:t>
            </w:r>
          </w:p>
        </w:tc>
        <w:tc>
          <w:tcPr>
            <w:tcW w:w="2693"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宋体"/>
                <w:b/>
                <w:bCs/>
                <w:highlight w:val="none"/>
              </w:rPr>
            </w:pPr>
          </w:p>
        </w:tc>
        <w:tc>
          <w:tcPr>
            <w:tcW w:w="5245" w:type="dxa"/>
            <w:shd w:val="clear" w:color="auto" w:fill="auto"/>
            <w:vAlign w:val="center"/>
          </w:tcPr>
          <w:p>
            <w:pPr>
              <w:snapToGrid w:val="0"/>
              <w:jc w:val="center"/>
              <w:rPr>
                <w:rFonts w:ascii="Times New Roman" w:hAnsi="Times New Roman" w:eastAsia="仿宋_GB2312" w:cs="仿宋_GB2312"/>
                <w:color w:val="000000"/>
                <w:highlight w:val="none"/>
              </w:rPr>
            </w:pPr>
            <w:r>
              <w:rPr>
                <w:rFonts w:hint="eastAsia" w:ascii="仿宋_GB2312" w:hAnsi="仿宋_GB2312" w:eastAsia="仿宋_GB2312" w:cs="仿宋_GB2312"/>
                <w:sz w:val="18"/>
                <w:szCs w:val="18"/>
                <w:highlight w:val="none"/>
              </w:rPr>
              <w:t>24小时≤时间≤48小时</w:t>
            </w:r>
          </w:p>
        </w:tc>
        <w:tc>
          <w:tcPr>
            <w:tcW w:w="2693"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宋体"/>
                <w:b/>
                <w:bCs/>
                <w:highlight w:val="none"/>
              </w:rPr>
            </w:pPr>
          </w:p>
        </w:tc>
        <w:tc>
          <w:tcPr>
            <w:tcW w:w="5245" w:type="dxa"/>
            <w:shd w:val="clear" w:color="auto" w:fill="auto"/>
            <w:vAlign w:val="center"/>
          </w:tcPr>
          <w:p>
            <w:pPr>
              <w:snapToGrid w:val="0"/>
              <w:jc w:val="center"/>
              <w:rPr>
                <w:rFonts w:ascii="Times New Roman" w:hAnsi="Times New Roman" w:eastAsia="仿宋_GB2312" w:cs="仿宋_GB2312"/>
                <w:color w:val="000000"/>
                <w:highlight w:val="none"/>
              </w:rPr>
            </w:pPr>
            <w:r>
              <w:rPr>
                <w:rFonts w:hint="eastAsia" w:ascii="仿宋_GB2312" w:hAnsi="仿宋_GB2312" w:eastAsia="仿宋_GB2312" w:cs="仿宋_GB2312"/>
                <w:sz w:val="18"/>
                <w:szCs w:val="18"/>
                <w:highlight w:val="none"/>
              </w:rPr>
              <w:t>48小时≤时间≤72小时</w:t>
            </w:r>
          </w:p>
        </w:tc>
        <w:tc>
          <w:tcPr>
            <w:tcW w:w="2693"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宋体"/>
                <w:b/>
                <w:bCs/>
                <w:highlight w:val="none"/>
              </w:rPr>
            </w:pPr>
          </w:p>
        </w:tc>
        <w:tc>
          <w:tcPr>
            <w:tcW w:w="5245" w:type="dxa"/>
            <w:shd w:val="clear" w:color="auto" w:fill="auto"/>
            <w:vAlign w:val="center"/>
          </w:tcPr>
          <w:p>
            <w:pPr>
              <w:snapToGrid w:val="0"/>
              <w:jc w:val="center"/>
              <w:rPr>
                <w:rFonts w:ascii="Times New Roman" w:hAnsi="Times New Roman" w:eastAsia="仿宋_GB2312" w:cs="仿宋_GB2312"/>
                <w:color w:val="000000"/>
                <w:highlight w:val="none"/>
              </w:rPr>
            </w:pPr>
            <w:r>
              <w:rPr>
                <w:rFonts w:hint="eastAsia" w:ascii="仿宋_GB2312" w:hAnsi="仿宋_GB2312" w:eastAsia="仿宋_GB2312" w:cs="仿宋_GB2312"/>
                <w:sz w:val="18"/>
                <w:szCs w:val="18"/>
                <w:highlight w:val="none"/>
              </w:rPr>
              <w:t>时间≥72小时</w:t>
            </w:r>
          </w:p>
        </w:tc>
        <w:tc>
          <w:tcPr>
            <w:tcW w:w="2693"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restart"/>
            <w:vAlign w:val="center"/>
          </w:tcPr>
          <w:p>
            <w:pPr>
              <w:snapToGrid w:val="0"/>
              <w:jc w:val="center"/>
              <w:rPr>
                <w:rFonts w:ascii="Times New Roman" w:hAnsi="Times New Roman" w:cs="Times New Roman"/>
                <w:b/>
                <w:bCs/>
                <w:highlight w:val="none"/>
              </w:rPr>
            </w:pPr>
            <w:bookmarkStart w:id="40" w:name="_Hlk25086112"/>
            <w:r>
              <w:rPr>
                <w:rFonts w:hint="eastAsia" w:ascii="Times New Roman" w:hAnsi="Times New Roman" w:cs="宋体"/>
                <w:b/>
                <w:bCs/>
                <w:highlight w:val="none"/>
              </w:rPr>
              <w:t>项目建设</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地点</w:t>
            </w: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highlight w:val="none"/>
              </w:rPr>
              <w:t>二类功能区（工业区和农村地区）</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二类功能区（居民区、商业交通居民混合区、文化区）</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一类功能区</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5</w:t>
            </w:r>
          </w:p>
        </w:tc>
      </w:tr>
      <w:bookmark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cs="Times New Roman"/>
                <w:highlight w:val="none"/>
              </w:rPr>
            </w:pPr>
          </w:p>
        </w:tc>
      </w:tr>
    </w:tbl>
    <w:p>
      <w:pPr>
        <w:widowControl/>
        <w:snapToGrid w:val="0"/>
        <w:jc w:val="left"/>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（二）大气污染防治类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tcPr>
          <w:p>
            <w:pPr>
              <w:widowControl/>
              <w:shd w:val="clear" w:color="auto" w:fill="FFFFFF"/>
              <w:snapToGrid w:val="0"/>
              <w:spacing w:before="62" w:beforeLines="20" w:line="288" w:lineRule="auto"/>
              <w:ind w:firstLine="420"/>
              <w:jc w:val="left"/>
              <w:rPr>
                <w:rFonts w:ascii="Times New Roman" w:hAnsi="Times New Roman" w:eastAsia="仿宋_GB2312" w:cs="Times New Roman"/>
                <w:highlight w:val="none"/>
              </w:rPr>
            </w:pPr>
            <w:r>
              <w:rPr>
                <w:rFonts w:hint="eastAsia" w:ascii="Times New Roman" w:hAnsi="Times New Roman" w:eastAsia="仿宋_GB2312" w:cs="仿宋_GB2312"/>
                <w:highlight w:val="none"/>
              </w:rPr>
              <w:t>储油储气库、加油加气站和油罐车、气罐车等，未按照国家有关规定安装并正常使用油气回收装置的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2"/>
              <w:snapToGrid w:val="0"/>
              <w:spacing w:before="62" w:beforeLines="20" w:beforeAutospacing="0" w:after="0" w:afterAutospacing="0" w:line="288" w:lineRule="auto"/>
              <w:ind w:firstLine="422"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《中华人民共和国大气污染防治法》第四十七条</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石油、化工以及其他生产和使用有机溶剂的企业，应当采取措施对管道、设备进行日常维护、维修，减少物料泄漏，对泄漏的物料应当及时收集处理。</w:t>
            </w:r>
          </w:p>
          <w:p>
            <w:pPr>
              <w:pStyle w:val="12"/>
              <w:snapToGrid w:val="0"/>
              <w:spacing w:before="0" w:beforeAutospacing="0" w:after="0" w:afterAutospacing="0" w:line="288" w:lineRule="auto"/>
              <w:ind w:firstLine="420"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储油储气库、加油加气站、原油成品油码头、原油成品油运输船舶和油罐车、气罐车等，应当按照国家有关规定安装油气回收装置并保持正常使用。</w:t>
            </w:r>
            <w:r>
              <w:rPr>
                <w:rFonts w:ascii="Times New Roman" w:hAnsi="Times New Roman" w:eastAsia="仿宋_GB2312" w:cs="Times New Roman"/>
                <w:kern w:val="2"/>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2"/>
              <w:snapToGrid w:val="0"/>
              <w:spacing w:before="62" w:beforeLines="20" w:beforeAutospacing="0" w:after="0" w:afterAutospacing="0" w:line="288" w:lineRule="auto"/>
              <w:ind w:firstLine="357"/>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《中华人民共和国大气污染防治法》第一百零八条第（四）项</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违反本法规定，有下列行为之一的，由县级以上人民政府生态环境主管部门责令改正，处二万元以上二十万元以下的罚款；拒不改正的，责令停产整治：</w:t>
            </w:r>
          </w:p>
          <w:p>
            <w:pPr>
              <w:pStyle w:val="12"/>
              <w:snapToGrid w:val="0"/>
              <w:spacing w:before="0" w:beforeAutospacing="0" w:after="0" w:afterAutospacing="0" w:line="288" w:lineRule="auto"/>
              <w:ind w:firstLine="36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（四）</w:t>
            </w:r>
            <w:r>
              <w:rPr>
                <w:rFonts w:hint="eastAsia" w:ascii="Times New Roman" w:hAnsi="Times New Roman" w:eastAsia="仿宋_GB2312" w:cs="仿宋_GB2312"/>
                <w:sz w:val="21"/>
                <w:szCs w:val="21"/>
                <w:highlight w:val="none"/>
              </w:rPr>
              <w:t>储油储气库、加油加气站和油罐车、气罐车等，未按照国家有关规定安装并正常使用油气回收装置的。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已安装并使用油气回收装置，但不规范的</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已安装但未使用油气回收装置的</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未安装油气回收装置的</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未安装油气回收装置</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设备</w:t>
            </w: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油罐车、气罐车</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加油加气站</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储油储气库</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cs="宋体"/>
                <w:b/>
                <w:bCs/>
                <w:color w:val="000000"/>
                <w:highlight w:val="none"/>
              </w:rPr>
              <w:t>违法行为持续时间</w:t>
            </w: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1个月</w:t>
            </w:r>
            <w:r>
              <w:rPr>
                <w:rFonts w:ascii="Times New Roman" w:hAnsi="Times New Roman" w:eastAsia="仿宋_GB2312" w:cs="仿宋_GB2312"/>
                <w:color w:val="000000"/>
                <w:highlight w:val="none"/>
              </w:rPr>
              <w:t>以内</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r>
              <w:rPr>
                <w:rFonts w:hint="eastAsia" w:ascii="Times New Roman" w:hAnsi="Times New Roman" w:eastAsia="仿宋_GB2312" w:cs="Times New Roman"/>
                <w:color w:val="000000"/>
                <w:highlight w:val="none"/>
              </w:rPr>
              <w:t>个月</w:t>
            </w:r>
            <w:r>
              <w:rPr>
                <w:rFonts w:hint="eastAsia" w:ascii="Times New Roman" w:hAnsi="Times New Roman" w:eastAsia="仿宋_GB2312" w:cs="仿宋_GB2312"/>
                <w:color w:val="000000"/>
                <w:highlight w:val="none"/>
              </w:rPr>
              <w:t>以上不足</w:t>
            </w:r>
            <w:r>
              <w:rPr>
                <w:rFonts w:ascii="Times New Roman" w:hAnsi="Times New Roman" w:eastAsia="仿宋_GB2312" w:cs="Times New Roman"/>
                <w:color w:val="000000"/>
                <w:highlight w:val="none"/>
              </w:rPr>
              <w:t>3</w:t>
            </w:r>
            <w:r>
              <w:rPr>
                <w:rFonts w:hint="eastAsia" w:ascii="Times New Roman" w:hAnsi="Times New Roman" w:eastAsia="仿宋_GB2312" w:cs="Times New Roman"/>
                <w:color w:val="000000"/>
                <w:highlight w:val="none"/>
              </w:rPr>
              <w:t>个月</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Times New Roman"/>
                <w:color w:val="000000"/>
                <w:highlight w:val="none"/>
              </w:rPr>
              <w:t>个月</w:t>
            </w:r>
            <w:r>
              <w:rPr>
                <w:rFonts w:hint="eastAsia" w:ascii="Times New Roman" w:hAnsi="Times New Roman" w:eastAsia="仿宋_GB2312" w:cs="仿宋_GB2312"/>
                <w:color w:val="000000"/>
                <w:highlight w:val="none"/>
              </w:rPr>
              <w:t>以上不足</w:t>
            </w:r>
            <w:r>
              <w:rPr>
                <w:rFonts w:ascii="Times New Roman" w:hAnsi="Times New Roman" w:eastAsia="仿宋_GB2312" w:cs="Times New Roman"/>
                <w:color w:val="000000"/>
                <w:highlight w:val="none"/>
              </w:rPr>
              <w:t>6</w:t>
            </w:r>
            <w:r>
              <w:rPr>
                <w:rFonts w:hint="eastAsia" w:ascii="Times New Roman" w:hAnsi="Times New Roman" w:eastAsia="仿宋_GB2312" w:cs="Times New Roman"/>
                <w:color w:val="000000"/>
                <w:highlight w:val="none"/>
              </w:rPr>
              <w:t>个月</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6</w:t>
            </w:r>
            <w:r>
              <w:rPr>
                <w:rFonts w:hint="eastAsia" w:ascii="Times New Roman" w:hAnsi="Times New Roman" w:eastAsia="仿宋_GB2312" w:cs="Times New Roman"/>
                <w:color w:val="000000"/>
                <w:highlight w:val="none"/>
              </w:rPr>
              <w:t>个月</w:t>
            </w:r>
            <w:r>
              <w:rPr>
                <w:rFonts w:hint="eastAsia" w:ascii="Times New Roman" w:hAnsi="Times New Roman" w:eastAsia="仿宋_GB2312" w:cs="仿宋_GB2312"/>
                <w:color w:val="000000"/>
                <w:highlight w:val="none"/>
              </w:rPr>
              <w:t>以上不足</w:t>
            </w:r>
            <w:r>
              <w:rPr>
                <w:rFonts w:ascii="Times New Roman" w:hAnsi="Times New Roman" w:eastAsia="仿宋_GB2312" w:cs="Times New Roman"/>
                <w:color w:val="000000"/>
                <w:highlight w:val="none"/>
              </w:rPr>
              <w:t>12</w:t>
            </w:r>
            <w:r>
              <w:rPr>
                <w:rFonts w:hint="eastAsia" w:ascii="Times New Roman" w:hAnsi="Times New Roman" w:eastAsia="仿宋_GB2312" w:cs="仿宋_GB2312"/>
                <w:color w:val="000000"/>
                <w:highlight w:val="none"/>
              </w:rPr>
              <w:t>个月</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12</w:t>
            </w:r>
            <w:r>
              <w:rPr>
                <w:rFonts w:hint="eastAsia" w:ascii="Times New Roman" w:hAnsi="Times New Roman" w:eastAsia="仿宋_GB2312" w:cs="仿宋_GB2312"/>
                <w:color w:val="000000"/>
                <w:highlight w:val="none"/>
              </w:rPr>
              <w:t>个月以上</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cs="Times New Roman"/>
                <w:highlight w:val="none"/>
              </w:rPr>
            </w:pPr>
          </w:p>
        </w:tc>
      </w:tr>
    </w:tbl>
    <w:p>
      <w:pPr>
        <w:widowControl/>
        <w:snapToGrid w:val="0"/>
        <w:jc w:val="left"/>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6208"/>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（二）大气污染防治类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tcPr>
          <w:p>
            <w:pPr>
              <w:pStyle w:val="11"/>
              <w:snapToGrid w:val="0"/>
              <w:ind w:firstLine="420"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钢铁、建材、有色金属、石油、化工、制药、矿产开采等企业，未采取集中收集处理、密闭、围挡、遮盖、清扫、洒水等措施，控制、减少粉尘和气态污染物排放的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2"/>
              <w:shd w:val="clear" w:color="auto" w:fill="FFFFFF"/>
              <w:snapToGrid w:val="0"/>
              <w:spacing w:before="62" w:beforeLines="20" w:beforeAutospacing="0" w:after="0" w:afterAutospacing="0"/>
              <w:ind w:firstLine="42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《中华人民共和国大气污染防治法》第四十八条</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钢铁、建材、有色金属、石油、化工、制药、矿产开采等企业，应当加强精细化管理，采取集中收集处理等措施，严格控制粉尘和气态污染物的排放。</w:t>
            </w:r>
          </w:p>
          <w:p>
            <w:pPr>
              <w:pStyle w:val="12"/>
              <w:shd w:val="clear" w:color="auto" w:fill="FFFFFF"/>
              <w:snapToGrid w:val="0"/>
              <w:spacing w:before="0" w:beforeAutospacing="0" w:after="0" w:afterAutospacing="0"/>
              <w:ind w:firstLine="42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工业生产企业应当采取密闭、围挡、遮盖、清扫、洒水等措施，减少内部物料的堆存、传输、装卸等环节产生的粉尘和气态污染物的排放。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1"/>
              <w:snapToGrid w:val="0"/>
              <w:spacing w:before="62" w:beforeLines="20"/>
              <w:ind w:firstLine="482"/>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《中华人民共和国大气污染防治法》第一百零八条第（五）项</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违反本法规定，有下列行为之一的，由县级以上人民政府生态环境主管部门责令改正，处二万元以上二十万元以下的罚款；拒不改正的，责令停产整治：</w:t>
            </w:r>
          </w:p>
          <w:p>
            <w:pPr>
              <w:pStyle w:val="11"/>
              <w:snapToGrid w:val="0"/>
              <w:ind w:firstLine="48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（五）钢铁、建材、有色金属、石油、化工、制药、矿产开采等企业，未采取集中收集处理、密闭、围挡、遮盖、清扫、洒水等措施，控制、减少粉尘和气态污染物排放的。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6208"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1730"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6208"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已落实集中收集处理、密闭、围挡、遮盖、清扫、洒水等措施，但未按规定使用或管理，造成少量抛洒、泄漏</w:t>
            </w:r>
          </w:p>
        </w:tc>
        <w:tc>
          <w:tcPr>
            <w:tcW w:w="1730"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6208"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部分落实集中收集处理、密闭、围挡、遮盖、清扫、洒水等措施</w:t>
            </w:r>
          </w:p>
        </w:tc>
        <w:tc>
          <w:tcPr>
            <w:tcW w:w="1730"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6208"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未落实集中收集处理、密闭、围挡、遮盖、清扫、洒水等措施</w:t>
            </w:r>
          </w:p>
        </w:tc>
        <w:tc>
          <w:tcPr>
            <w:tcW w:w="1730"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项目建设</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地点</w:t>
            </w:r>
          </w:p>
        </w:tc>
        <w:tc>
          <w:tcPr>
            <w:tcW w:w="6208"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highlight w:val="none"/>
              </w:rPr>
              <w:t>二类功能区（工业区和农村地区）</w:t>
            </w:r>
          </w:p>
        </w:tc>
        <w:tc>
          <w:tcPr>
            <w:tcW w:w="1730"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6208"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highlight w:val="none"/>
              </w:rPr>
              <w:t>二类功能区（居民区、商业交通居民混合区、文化区）</w:t>
            </w:r>
          </w:p>
        </w:tc>
        <w:tc>
          <w:tcPr>
            <w:tcW w:w="1730"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6208"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highlight w:val="none"/>
              </w:rPr>
              <w:t>一类功能区</w:t>
            </w:r>
          </w:p>
        </w:tc>
        <w:tc>
          <w:tcPr>
            <w:tcW w:w="1730"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持续时间</w:t>
            </w:r>
          </w:p>
        </w:tc>
        <w:tc>
          <w:tcPr>
            <w:tcW w:w="6208"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1个月</w:t>
            </w:r>
            <w:r>
              <w:rPr>
                <w:rFonts w:ascii="Times New Roman" w:hAnsi="Times New Roman" w:eastAsia="仿宋_GB2312" w:cs="仿宋_GB2312"/>
                <w:color w:val="000000"/>
                <w:highlight w:val="none"/>
              </w:rPr>
              <w:t>以内</w:t>
            </w:r>
          </w:p>
        </w:tc>
        <w:tc>
          <w:tcPr>
            <w:tcW w:w="1730"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6208"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r>
              <w:rPr>
                <w:rFonts w:hint="eastAsia" w:ascii="Times New Roman" w:hAnsi="Times New Roman" w:eastAsia="仿宋_GB2312" w:cs="Times New Roman"/>
                <w:color w:val="000000"/>
                <w:highlight w:val="none"/>
              </w:rPr>
              <w:t>个月</w:t>
            </w:r>
            <w:r>
              <w:rPr>
                <w:rFonts w:hint="eastAsia" w:ascii="Times New Roman" w:hAnsi="Times New Roman" w:eastAsia="仿宋_GB2312" w:cs="仿宋_GB2312"/>
                <w:color w:val="000000"/>
                <w:highlight w:val="none"/>
              </w:rPr>
              <w:t>以上不足</w:t>
            </w:r>
            <w:r>
              <w:rPr>
                <w:rFonts w:ascii="Times New Roman" w:hAnsi="Times New Roman" w:eastAsia="仿宋_GB2312" w:cs="Times New Roman"/>
                <w:color w:val="000000"/>
                <w:highlight w:val="none"/>
              </w:rPr>
              <w:t>3</w:t>
            </w:r>
            <w:r>
              <w:rPr>
                <w:rFonts w:hint="eastAsia" w:ascii="Times New Roman" w:hAnsi="Times New Roman" w:eastAsia="仿宋_GB2312" w:cs="Times New Roman"/>
                <w:color w:val="000000"/>
                <w:highlight w:val="none"/>
              </w:rPr>
              <w:t>个月</w:t>
            </w:r>
          </w:p>
        </w:tc>
        <w:tc>
          <w:tcPr>
            <w:tcW w:w="1730"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6208"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Times New Roman"/>
                <w:color w:val="000000"/>
                <w:highlight w:val="none"/>
              </w:rPr>
              <w:t>个月</w:t>
            </w:r>
            <w:r>
              <w:rPr>
                <w:rFonts w:hint="eastAsia" w:ascii="Times New Roman" w:hAnsi="Times New Roman" w:eastAsia="仿宋_GB2312" w:cs="仿宋_GB2312"/>
                <w:color w:val="000000"/>
                <w:highlight w:val="none"/>
              </w:rPr>
              <w:t>以上不足</w:t>
            </w:r>
            <w:r>
              <w:rPr>
                <w:rFonts w:ascii="Times New Roman" w:hAnsi="Times New Roman" w:eastAsia="仿宋_GB2312" w:cs="Times New Roman"/>
                <w:color w:val="000000"/>
                <w:highlight w:val="none"/>
              </w:rPr>
              <w:t>6</w:t>
            </w:r>
            <w:r>
              <w:rPr>
                <w:rFonts w:hint="eastAsia" w:ascii="Times New Roman" w:hAnsi="Times New Roman" w:eastAsia="仿宋_GB2312" w:cs="Times New Roman"/>
                <w:color w:val="000000"/>
                <w:highlight w:val="none"/>
              </w:rPr>
              <w:t>个月</w:t>
            </w:r>
          </w:p>
        </w:tc>
        <w:tc>
          <w:tcPr>
            <w:tcW w:w="1730"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6208"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6</w:t>
            </w:r>
            <w:r>
              <w:rPr>
                <w:rFonts w:hint="eastAsia" w:ascii="Times New Roman" w:hAnsi="Times New Roman" w:eastAsia="仿宋_GB2312" w:cs="Times New Roman"/>
                <w:color w:val="000000"/>
                <w:highlight w:val="none"/>
              </w:rPr>
              <w:t>个月</w:t>
            </w:r>
            <w:r>
              <w:rPr>
                <w:rFonts w:hint="eastAsia" w:ascii="Times New Roman" w:hAnsi="Times New Roman" w:eastAsia="仿宋_GB2312" w:cs="仿宋_GB2312"/>
                <w:color w:val="000000"/>
                <w:highlight w:val="none"/>
              </w:rPr>
              <w:t>以上不足</w:t>
            </w:r>
            <w:r>
              <w:rPr>
                <w:rFonts w:ascii="Times New Roman" w:hAnsi="Times New Roman" w:eastAsia="仿宋_GB2312" w:cs="Times New Roman"/>
                <w:color w:val="000000"/>
                <w:highlight w:val="none"/>
              </w:rPr>
              <w:t>12</w:t>
            </w:r>
            <w:r>
              <w:rPr>
                <w:rFonts w:hint="eastAsia" w:ascii="Times New Roman" w:hAnsi="Times New Roman" w:eastAsia="仿宋_GB2312" w:cs="仿宋_GB2312"/>
                <w:color w:val="000000"/>
                <w:highlight w:val="none"/>
              </w:rPr>
              <w:t>个月</w:t>
            </w:r>
          </w:p>
        </w:tc>
        <w:tc>
          <w:tcPr>
            <w:tcW w:w="1730"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6208"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12</w:t>
            </w:r>
            <w:r>
              <w:rPr>
                <w:rFonts w:hint="eastAsia" w:ascii="Times New Roman" w:hAnsi="Times New Roman" w:eastAsia="仿宋_GB2312" w:cs="仿宋_GB2312"/>
                <w:color w:val="000000"/>
                <w:highlight w:val="none"/>
              </w:rPr>
              <w:t>个月以上</w:t>
            </w:r>
          </w:p>
        </w:tc>
        <w:tc>
          <w:tcPr>
            <w:tcW w:w="1730"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cs="Times New Roman"/>
                <w:highlight w:val="none"/>
              </w:rPr>
            </w:pPr>
          </w:p>
        </w:tc>
      </w:tr>
    </w:tbl>
    <w:p>
      <w:pPr>
        <w:widowControl/>
        <w:snapToGrid w:val="0"/>
        <w:jc w:val="left"/>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（二）大气污染防治类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tcPr>
          <w:p>
            <w:pPr>
              <w:pStyle w:val="11"/>
              <w:snapToGrid w:val="0"/>
              <w:spacing w:before="62" w:beforeLines="20"/>
              <w:ind w:firstLine="420" w:firstLineChars="200"/>
              <w:rPr>
                <w:rFonts w:ascii="Times New Roman" w:hAnsi="Times New Roman" w:eastAsia="仿宋_GB2312" w:cs="Times New Roman"/>
                <w:color w:val="000000"/>
                <w:kern w:val="2"/>
                <w:sz w:val="21"/>
                <w:szCs w:val="21"/>
                <w:highlight w:val="none"/>
              </w:rPr>
            </w:pPr>
            <w:r>
              <w:rPr>
                <w:rFonts w:hint="eastAsia" w:ascii="Times New Roman" w:hAnsi="Times New Roman" w:eastAsia="仿宋_GB2312" w:cs="仿宋_GB2312"/>
                <w:color w:val="000000"/>
                <w:kern w:val="2"/>
                <w:sz w:val="21"/>
                <w:szCs w:val="21"/>
                <w:highlight w:val="none"/>
              </w:rPr>
              <w:t>工业生产、垃圾填埋或者其他活动中产生的可燃性气体未回收利用，不具备回收利用条件未进行防治污染处理，或者可燃性气体回收利用装置不能正常作业，未及时修复或者更新的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widowControl/>
              <w:snapToGrid w:val="0"/>
              <w:spacing w:before="62" w:beforeLines="20"/>
              <w:ind w:firstLine="482"/>
              <w:jc w:val="left"/>
              <w:rPr>
                <w:rFonts w:ascii="Times New Roman" w:hAnsi="Times New Roman" w:eastAsia="仿宋_GB2312" w:cs="Times New Roman"/>
                <w:highlight w:val="none"/>
              </w:rPr>
            </w:pPr>
            <w:r>
              <w:rPr>
                <w:rFonts w:hint="eastAsia" w:ascii="Times New Roman" w:hAnsi="Times New Roman" w:eastAsia="仿宋_GB2312" w:cs="仿宋_GB2312"/>
                <w:b/>
                <w:bCs/>
                <w:highlight w:val="none"/>
              </w:rPr>
              <w:t>《中华人民共和国大气污染防治法》第四十九条</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工业生产、垃圾填埋或者其他活动产生的可燃性气体应当回收利用，不具备回收利用条件的，应当进行污染防治处理。</w:t>
            </w:r>
          </w:p>
          <w:p>
            <w:pPr>
              <w:snapToGrid w:val="0"/>
              <w:ind w:firstLine="420"/>
              <w:rPr>
                <w:rFonts w:ascii="Times New Roman" w:hAnsi="Times New Roman" w:eastAsia="仿宋_GB2312" w:cs="Times New Roman"/>
                <w:color w:val="333333"/>
                <w:highlight w:val="none"/>
              </w:rPr>
            </w:pPr>
            <w:r>
              <w:rPr>
                <w:rFonts w:hint="eastAsia" w:ascii="Times New Roman" w:hAnsi="Times New Roman" w:eastAsia="仿宋_GB2312" w:cs="仿宋_GB2312"/>
                <w:highlight w:val="none"/>
              </w:rPr>
              <w:t>可燃性气体回收利用装置不能正常作业的，应当及时修复或者更新。在回收利用装置不能正常作业期间确需排放可燃性气体的，应当将排放的可燃性气体充分燃烧或者采取其他控制大气污染物排放的措施，并向当地生态环境主管部门报告，按照要求限期修复或者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1"/>
              <w:snapToGrid w:val="0"/>
              <w:spacing w:before="62" w:beforeLines="20"/>
              <w:ind w:firstLine="422"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《中华人民共和国大气污染防治法》第一百零八条第（六）项</w:t>
            </w:r>
            <w:r>
              <w:rPr>
                <w:rFonts w:ascii="Times New Roman" w:hAnsi="Times New Roman" w:eastAsia="仿宋_GB2312" w:cs="Times New Roman"/>
                <w:b/>
                <w:bCs/>
                <w:kern w:val="2"/>
                <w:sz w:val="21"/>
                <w:szCs w:val="21"/>
                <w:highlight w:val="none"/>
              </w:rPr>
              <w:t xml:space="preserve"> </w:t>
            </w:r>
            <w:r>
              <w:rPr>
                <w:rFonts w:hint="eastAsia" w:ascii="Times New Roman" w:hAnsi="Times New Roman" w:eastAsia="仿宋_GB2312" w:cs="仿宋_GB2312"/>
                <w:kern w:val="2"/>
                <w:sz w:val="21"/>
                <w:szCs w:val="21"/>
                <w:highlight w:val="none"/>
              </w:rPr>
              <w:t>违反本法规定，有下列行为之一的，由县级以上人民政府生态环境主管部门责令改正，处二万元以上二十万元以下的罚款；拒不改正的，责令停产整治：</w:t>
            </w:r>
          </w:p>
          <w:p>
            <w:pPr>
              <w:pStyle w:val="11"/>
              <w:snapToGrid w:val="0"/>
              <w:ind w:firstLine="420"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（六）工业生产、垃圾填埋或者其他活动中产生的可燃性气体未回收利用，不具备回收利用条件未进行防治污染处理，或者可燃性气体回收利用装置不能正常作业，未及时修复或者更新的。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未按规定使用或管理，少量泄漏</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不正常作业，未及时修复或更新</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未回收利用或未处理</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restart"/>
            <w:vAlign w:val="center"/>
          </w:tcPr>
          <w:p>
            <w:pPr>
              <w:snapToGrid w:val="0"/>
              <w:jc w:val="center"/>
              <w:rPr>
                <w:rFonts w:ascii="Times New Roman" w:hAnsi="Times New Roman" w:cs="Times New Roman"/>
                <w:b/>
                <w:bCs/>
                <w:highlight w:val="none"/>
              </w:rPr>
            </w:pPr>
            <w:bookmarkStart w:id="41" w:name="_Hlk25087218"/>
            <w:r>
              <w:rPr>
                <w:rFonts w:hint="eastAsia" w:ascii="Times New Roman" w:hAnsi="Times New Roman" w:cs="宋体"/>
                <w:b/>
                <w:bCs/>
                <w:highlight w:val="none"/>
              </w:rPr>
              <w:t>项目建设</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地点</w:t>
            </w: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highlight w:val="none"/>
              </w:rPr>
              <w:t>二类功能区（工业区和农村地区）</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二类功能区（居民区、商业交通居民混合区、文化区）</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一类功能区</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5</w:t>
            </w:r>
          </w:p>
        </w:tc>
      </w:tr>
      <w:bookmark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cs="Times New Roman"/>
                <w:highlight w:val="none"/>
              </w:rPr>
            </w:pPr>
          </w:p>
        </w:tc>
      </w:tr>
    </w:tbl>
    <w:p>
      <w:pPr>
        <w:widowControl/>
        <w:snapToGrid w:val="0"/>
        <w:spacing w:line="288" w:lineRule="auto"/>
        <w:jc w:val="left"/>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09" w:type="dxa"/>
            <w:gridSpan w:val="3"/>
          </w:tcPr>
          <w:p>
            <w:pPr>
              <w:snapToGrid w:val="0"/>
              <w:ind w:firstLine="420"/>
              <w:jc w:val="center"/>
              <w:rPr>
                <w:rFonts w:ascii="Times New Roman" w:hAnsi="Times New Roman" w:cs="Times New Roman"/>
                <w:color w:val="000000"/>
                <w:highlight w:val="none"/>
              </w:rPr>
            </w:pPr>
            <w:r>
              <w:rPr>
                <w:rFonts w:hint="eastAsia" w:ascii="Times New Roman" w:hAnsi="Times New Roman" w:eastAsia="仿宋_GB2312" w:cs="仿宋_GB2312"/>
                <w:b/>
                <w:bCs/>
                <w:color w:val="000000"/>
                <w:sz w:val="32"/>
                <w:szCs w:val="32"/>
                <w:highlight w:val="none"/>
              </w:rPr>
              <w:t>（二）大气污染防治类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938" w:type="dxa"/>
            <w:gridSpan w:val="2"/>
            <w:vAlign w:val="center"/>
          </w:tcPr>
          <w:p>
            <w:pPr>
              <w:snapToGrid w:val="0"/>
              <w:ind w:firstLine="420"/>
              <w:jc w:val="center"/>
              <w:rPr>
                <w:rFonts w:ascii="Times New Roman" w:hAnsi="Times New Roman" w:cs="Times New Roman"/>
                <w:color w:val="000000"/>
                <w:highlight w:val="none"/>
              </w:rPr>
            </w:pPr>
            <w:r>
              <w:rPr>
                <w:rFonts w:ascii="Times New Roman" w:hAnsi="Times New Roman" w:cs="Times New Roman"/>
                <w:color w:val="000000"/>
                <w:highlight w:val="none"/>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38" w:type="dxa"/>
            <w:gridSpan w:val="2"/>
            <w:vAlign w:val="center"/>
          </w:tcPr>
          <w:p>
            <w:pPr>
              <w:snapToGrid w:val="0"/>
              <w:ind w:firstLine="42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生产超过污染物排放标准的机动车、非道路移动机械的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违反条款</w:t>
            </w:r>
          </w:p>
        </w:tc>
        <w:tc>
          <w:tcPr>
            <w:tcW w:w="7938" w:type="dxa"/>
            <w:gridSpan w:val="2"/>
          </w:tcPr>
          <w:p>
            <w:pPr>
              <w:snapToGrid w:val="0"/>
              <w:spacing w:before="156" w:beforeLines="50" w:line="288" w:lineRule="auto"/>
              <w:ind w:firstLine="482"/>
              <w:rPr>
                <w:rFonts w:ascii="Times New Roman" w:hAnsi="Times New Roman" w:eastAsia="仿宋_GB2312" w:cs="Times New Roman"/>
                <w:highlight w:val="none"/>
              </w:rPr>
            </w:pPr>
            <w:r>
              <w:rPr>
                <w:rFonts w:hint="eastAsia" w:ascii="Times New Roman" w:hAnsi="Times New Roman" w:eastAsia="仿宋_GB2312" w:cs="仿宋_GB2312"/>
                <w:b/>
                <w:bCs/>
                <w:highlight w:val="none"/>
              </w:rPr>
              <w:t>《中华人民共和国大气污染防治法》第五十一条</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机动车船、非道路移动机械不得超过标准排放大气污染物。</w:t>
            </w:r>
          </w:p>
          <w:p>
            <w:pPr>
              <w:snapToGrid w:val="0"/>
              <w:spacing w:line="288" w:lineRule="auto"/>
              <w:ind w:firstLine="480"/>
              <w:rPr>
                <w:rFonts w:ascii="Times New Roman" w:hAnsi="Times New Roman" w:eastAsia="仿宋_GB2312" w:cs="Times New Roman"/>
                <w:highlight w:val="none"/>
              </w:rPr>
            </w:pPr>
            <w:r>
              <w:rPr>
                <w:rFonts w:hint="eastAsia" w:ascii="Times New Roman" w:hAnsi="Times New Roman" w:eastAsia="仿宋_GB2312" w:cs="仿宋_GB2312"/>
                <w:highlight w:val="none"/>
              </w:rPr>
              <w:t>禁止生产、进口或者销售大气污染物排放超过标准的机动车船、非道路移动机械。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处罚依据</w:t>
            </w:r>
          </w:p>
        </w:tc>
        <w:tc>
          <w:tcPr>
            <w:tcW w:w="7938" w:type="dxa"/>
            <w:gridSpan w:val="2"/>
          </w:tcPr>
          <w:p>
            <w:pPr>
              <w:snapToGrid w:val="0"/>
              <w:spacing w:before="156" w:beforeLines="50" w:line="288"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《中华人民共和国大气污染防治法》第一百零九条第一款</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违反本法规定，生产超过污染物排放标准的机动车、非道路移动机械的，由省级以上人民政府生态环境主管部门责令改正，没收违法所得，并处货值金额一倍以上三倍以下的罚款，没收销毁无法达到污染物排放标准的机动车、非道路移动机械；拒不改正的，责令停产整治，并由国务院机动车生产主管部门责令停止生产该车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245"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9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生产超过污染物排放标准的机动车、非道路移动机械</w:t>
            </w:r>
            <w:r>
              <w:rPr>
                <w:rFonts w:ascii="Times New Roman" w:hAnsi="Times New Roman" w:eastAsia="仿宋_GB2312" w:cs="Times New Roman"/>
                <w:highlight w:val="none"/>
              </w:rPr>
              <w:t>5</w:t>
            </w:r>
            <w:r>
              <w:rPr>
                <w:rFonts w:hint="eastAsia" w:ascii="Times New Roman" w:hAnsi="Times New Roman" w:eastAsia="仿宋_GB2312" w:cs="仿宋_GB2312"/>
                <w:highlight w:val="none"/>
              </w:rPr>
              <w:t>辆以内的</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生产超过污染物排放标准的机动车、非道路移动机械</w:t>
            </w:r>
            <w:r>
              <w:rPr>
                <w:rFonts w:ascii="Times New Roman" w:hAnsi="Times New Roman" w:eastAsia="仿宋_GB2312" w:cs="Times New Roman"/>
                <w:highlight w:val="none"/>
              </w:rPr>
              <w:t>5</w:t>
            </w:r>
            <w:r>
              <w:rPr>
                <w:rFonts w:hint="eastAsia" w:ascii="Times New Roman" w:hAnsi="Times New Roman" w:eastAsia="仿宋_GB2312" w:cs="仿宋_GB2312"/>
                <w:highlight w:val="none"/>
              </w:rPr>
              <w:t>辆以上</w:t>
            </w:r>
            <w:r>
              <w:rPr>
                <w:rFonts w:ascii="Times New Roman" w:hAnsi="Times New Roman" w:eastAsia="仿宋_GB2312" w:cs="Times New Roman"/>
                <w:highlight w:val="none"/>
              </w:rPr>
              <w:t>10</w:t>
            </w:r>
            <w:r>
              <w:rPr>
                <w:rFonts w:hint="eastAsia" w:ascii="Times New Roman" w:hAnsi="Times New Roman" w:eastAsia="仿宋_GB2312" w:cs="仿宋_GB2312"/>
                <w:highlight w:val="none"/>
              </w:rPr>
              <w:t>辆以内的</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生产超过污染物排放标准的机动车、非道路移动机械</w:t>
            </w:r>
            <w:r>
              <w:rPr>
                <w:rFonts w:ascii="Times New Roman" w:hAnsi="Times New Roman" w:eastAsia="仿宋_GB2312" w:cs="Times New Roman"/>
                <w:highlight w:val="none"/>
              </w:rPr>
              <w:t>10</w:t>
            </w:r>
            <w:r>
              <w:rPr>
                <w:rFonts w:hint="eastAsia" w:ascii="Times New Roman" w:hAnsi="Times New Roman" w:eastAsia="仿宋_GB2312" w:cs="仿宋_GB2312"/>
                <w:highlight w:val="none"/>
              </w:rPr>
              <w:t>辆以上的</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宋体"/>
                <w:b/>
                <w:bCs/>
                <w:color w:val="000000"/>
                <w:highlight w:val="none"/>
              </w:rPr>
            </w:pPr>
            <w:r>
              <w:rPr>
                <w:rFonts w:hint="eastAsia" w:ascii="Times New Roman" w:hAnsi="Times New Roman" w:cs="宋体"/>
                <w:b/>
                <w:bCs/>
                <w:color w:val="000000"/>
                <w:highlight w:val="none"/>
              </w:rPr>
              <w:t>超标</w:t>
            </w:r>
            <w:r>
              <w:rPr>
                <w:rFonts w:ascii="Times New Roman" w:hAnsi="Times New Roman" w:cs="宋体"/>
                <w:b/>
                <w:bCs/>
                <w:color w:val="000000"/>
                <w:highlight w:val="none"/>
              </w:rPr>
              <w:t>倍数</w:t>
            </w:r>
          </w:p>
        </w:tc>
        <w:tc>
          <w:tcPr>
            <w:tcW w:w="5245"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超标</w:t>
            </w:r>
            <w:r>
              <w:rPr>
                <w:rFonts w:ascii="Times New Roman" w:hAnsi="Times New Roman" w:eastAsia="仿宋_GB2312" w:cs="仿宋_GB2312"/>
                <w:color w:val="000000"/>
                <w:highlight w:val="none"/>
              </w:rPr>
              <w:t>车型的污染物测量值</w:t>
            </w:r>
            <w:r>
              <w:rPr>
                <w:rFonts w:hint="eastAsia" w:ascii="Times New Roman" w:hAnsi="Times New Roman" w:eastAsia="仿宋_GB2312" w:cs="仿宋_GB2312"/>
                <w:color w:val="000000"/>
                <w:highlight w:val="none"/>
              </w:rPr>
              <w:t>超标20%以下的</w:t>
            </w:r>
          </w:p>
        </w:tc>
        <w:tc>
          <w:tcPr>
            <w:tcW w:w="269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宋体"/>
                <w:b/>
                <w:bCs/>
                <w:color w:val="000000"/>
                <w:highlight w:val="none"/>
              </w:rPr>
            </w:pPr>
          </w:p>
        </w:tc>
        <w:tc>
          <w:tcPr>
            <w:tcW w:w="5245"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超标</w:t>
            </w:r>
            <w:r>
              <w:rPr>
                <w:rFonts w:ascii="Times New Roman" w:hAnsi="Times New Roman" w:eastAsia="仿宋_GB2312" w:cs="仿宋_GB2312"/>
                <w:color w:val="000000"/>
                <w:highlight w:val="none"/>
              </w:rPr>
              <w:t>车型的污染物测量值</w:t>
            </w:r>
            <w:r>
              <w:rPr>
                <w:rFonts w:hint="eastAsia" w:ascii="Times New Roman" w:hAnsi="Times New Roman" w:eastAsia="仿宋_GB2312" w:cs="仿宋_GB2312"/>
                <w:color w:val="000000"/>
                <w:highlight w:val="none"/>
              </w:rPr>
              <w:t>超标20%以上50%以下的</w:t>
            </w:r>
          </w:p>
        </w:tc>
        <w:tc>
          <w:tcPr>
            <w:tcW w:w="269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宋体"/>
                <w:b/>
                <w:bCs/>
                <w:color w:val="000000"/>
                <w:highlight w:val="none"/>
              </w:rPr>
            </w:pPr>
          </w:p>
        </w:tc>
        <w:tc>
          <w:tcPr>
            <w:tcW w:w="5245"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超标</w:t>
            </w:r>
            <w:r>
              <w:rPr>
                <w:rFonts w:ascii="Times New Roman" w:hAnsi="Times New Roman" w:eastAsia="仿宋_GB2312" w:cs="仿宋_GB2312"/>
                <w:color w:val="000000"/>
                <w:highlight w:val="none"/>
              </w:rPr>
              <w:t>车型的污染物测量值</w:t>
            </w:r>
            <w:r>
              <w:rPr>
                <w:rFonts w:hint="eastAsia" w:ascii="Times New Roman" w:hAnsi="Times New Roman" w:eastAsia="仿宋_GB2312" w:cs="仿宋_GB2312"/>
                <w:color w:val="000000"/>
                <w:highlight w:val="none"/>
              </w:rPr>
              <w:t>超标50%以上100%以下的</w:t>
            </w:r>
          </w:p>
        </w:tc>
        <w:tc>
          <w:tcPr>
            <w:tcW w:w="269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宋体"/>
                <w:b/>
                <w:bCs/>
                <w:color w:val="000000"/>
                <w:highlight w:val="none"/>
              </w:rPr>
            </w:pPr>
          </w:p>
        </w:tc>
        <w:tc>
          <w:tcPr>
            <w:tcW w:w="5245"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超标</w:t>
            </w:r>
            <w:r>
              <w:rPr>
                <w:rFonts w:ascii="Times New Roman" w:hAnsi="Times New Roman" w:eastAsia="仿宋_GB2312" w:cs="仿宋_GB2312"/>
                <w:color w:val="000000"/>
                <w:highlight w:val="none"/>
              </w:rPr>
              <w:t>车型的污染物测量值</w:t>
            </w:r>
            <w:r>
              <w:rPr>
                <w:rFonts w:hint="eastAsia" w:ascii="Times New Roman" w:hAnsi="Times New Roman" w:eastAsia="仿宋_GB2312" w:cs="仿宋_GB2312"/>
                <w:color w:val="000000"/>
                <w:highlight w:val="none"/>
              </w:rPr>
              <w:t>超标100%以上200以下的</w:t>
            </w:r>
          </w:p>
        </w:tc>
        <w:tc>
          <w:tcPr>
            <w:tcW w:w="269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宋体"/>
                <w:b/>
                <w:bCs/>
                <w:color w:val="000000"/>
                <w:highlight w:val="none"/>
              </w:rPr>
            </w:pPr>
          </w:p>
        </w:tc>
        <w:tc>
          <w:tcPr>
            <w:tcW w:w="5245"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超标</w:t>
            </w:r>
            <w:r>
              <w:rPr>
                <w:rFonts w:ascii="Times New Roman" w:hAnsi="Times New Roman" w:eastAsia="仿宋_GB2312" w:cs="仿宋_GB2312"/>
                <w:color w:val="000000"/>
                <w:highlight w:val="none"/>
              </w:rPr>
              <w:t>车型的污染物测量值</w:t>
            </w:r>
            <w:r>
              <w:rPr>
                <w:rFonts w:hint="eastAsia" w:ascii="Times New Roman" w:hAnsi="Times New Roman" w:eastAsia="仿宋_GB2312" w:cs="仿宋_GB2312"/>
                <w:color w:val="000000"/>
                <w:highlight w:val="none"/>
              </w:rPr>
              <w:t>超标20</w:t>
            </w:r>
            <w:r>
              <w:rPr>
                <w:rFonts w:ascii="Times New Roman" w:hAnsi="Times New Roman" w:eastAsia="仿宋_GB2312" w:cs="仿宋_GB2312"/>
                <w:color w:val="000000"/>
                <w:highlight w:val="none"/>
              </w:rPr>
              <w:t>0</w:t>
            </w:r>
            <w:r>
              <w:rPr>
                <w:rFonts w:hint="eastAsia" w:ascii="Times New Roman" w:hAnsi="Times New Roman" w:eastAsia="仿宋_GB2312" w:cs="仿宋_GB2312"/>
                <w:color w:val="000000"/>
                <w:highlight w:val="none"/>
              </w:rPr>
              <w:t>%以上的</w:t>
            </w:r>
          </w:p>
        </w:tc>
        <w:tc>
          <w:tcPr>
            <w:tcW w:w="269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货值金额</w:t>
            </w: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货值金额不超过</w:t>
            </w:r>
            <w:r>
              <w:rPr>
                <w:rFonts w:ascii="Times New Roman" w:hAnsi="Times New Roman" w:eastAsia="仿宋_GB2312" w:cs="Times New Roman"/>
                <w:color w:val="000000"/>
                <w:highlight w:val="none"/>
              </w:rPr>
              <w:t>100</w:t>
            </w:r>
            <w:r>
              <w:rPr>
                <w:rFonts w:hint="eastAsia" w:ascii="Times New Roman" w:hAnsi="Times New Roman" w:eastAsia="仿宋_GB2312" w:cs="仿宋_GB2312"/>
                <w:color w:val="000000"/>
                <w:highlight w:val="none"/>
              </w:rPr>
              <w:t>万元的</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货值金额</w:t>
            </w:r>
            <w:r>
              <w:rPr>
                <w:rFonts w:ascii="Times New Roman" w:hAnsi="Times New Roman" w:eastAsia="仿宋_GB2312" w:cs="Times New Roman"/>
                <w:color w:val="000000"/>
                <w:highlight w:val="none"/>
              </w:rPr>
              <w:t>100</w:t>
            </w:r>
            <w:r>
              <w:rPr>
                <w:rFonts w:hint="eastAsia" w:ascii="Times New Roman" w:hAnsi="Times New Roman" w:eastAsia="仿宋_GB2312" w:cs="仿宋_GB2312"/>
                <w:color w:val="000000"/>
                <w:highlight w:val="none"/>
              </w:rPr>
              <w:t>万元以上</w:t>
            </w:r>
            <w:r>
              <w:rPr>
                <w:rFonts w:ascii="Times New Roman" w:hAnsi="Times New Roman" w:eastAsia="仿宋_GB2312" w:cs="Times New Roman"/>
                <w:color w:val="000000"/>
                <w:highlight w:val="none"/>
              </w:rPr>
              <w:t>500</w:t>
            </w:r>
            <w:r>
              <w:rPr>
                <w:rFonts w:hint="eastAsia" w:ascii="Times New Roman" w:hAnsi="Times New Roman" w:eastAsia="仿宋_GB2312" w:cs="仿宋_GB2312"/>
                <w:color w:val="000000"/>
                <w:highlight w:val="none"/>
              </w:rPr>
              <w:t>万元以下的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货值金额超过</w:t>
            </w:r>
            <w:r>
              <w:rPr>
                <w:rFonts w:ascii="Times New Roman" w:hAnsi="Times New Roman" w:eastAsia="仿宋_GB2312" w:cs="Times New Roman"/>
                <w:color w:val="000000"/>
                <w:highlight w:val="none"/>
              </w:rPr>
              <w:t>500</w:t>
            </w:r>
            <w:r>
              <w:rPr>
                <w:rFonts w:hint="eastAsia" w:ascii="Times New Roman" w:hAnsi="Times New Roman" w:eastAsia="仿宋_GB2312" w:cs="仿宋_GB2312"/>
                <w:color w:val="000000"/>
                <w:highlight w:val="none"/>
              </w:rPr>
              <w:t>万元的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938" w:type="dxa"/>
            <w:gridSpan w:val="2"/>
            <w:vAlign w:val="center"/>
          </w:tcPr>
          <w:p>
            <w:pPr>
              <w:snapToGrid w:val="0"/>
              <w:ind w:firstLine="420"/>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适用裁量计算公式裁定罚款金额时，</w:t>
            </w:r>
            <w:r>
              <w:rPr>
                <w:rFonts w:ascii="Times New Roman" w:hAnsi="Times New Roman" w:eastAsia="仿宋_GB2312" w:cs="Times New Roman"/>
                <w:color w:val="000000"/>
                <w:highlight w:val="none"/>
              </w:rPr>
              <w:t>M</w:t>
            </w:r>
            <w:r>
              <w:rPr>
                <w:rFonts w:hint="eastAsia" w:ascii="Times New Roman" w:hAnsi="Times New Roman" w:eastAsia="仿宋_GB2312" w:cs="仿宋_GB2312"/>
                <w:color w:val="000000"/>
                <w:highlight w:val="none"/>
              </w:rPr>
              <w:t>值（法定处罚金额上限）取货值金额三倍罚款，</w:t>
            </w:r>
            <w:r>
              <w:rPr>
                <w:rFonts w:ascii="Times New Roman" w:hAnsi="Times New Roman" w:eastAsia="仿宋_GB2312" w:cs="Times New Roman"/>
                <w:color w:val="000000"/>
                <w:highlight w:val="none"/>
              </w:rPr>
              <w:t>N</w:t>
            </w:r>
            <w:r>
              <w:rPr>
                <w:rFonts w:hint="eastAsia" w:ascii="Times New Roman" w:hAnsi="Times New Roman" w:eastAsia="仿宋_GB2312" w:cs="仿宋_GB2312"/>
                <w:color w:val="000000"/>
                <w:highlight w:val="none"/>
              </w:rPr>
              <w:t>值（法定处罚金额下限）取货值金额一倍罚款。</w:t>
            </w:r>
          </w:p>
        </w:tc>
      </w:tr>
    </w:tbl>
    <w:p>
      <w:pPr>
        <w:snapToGrid w:val="0"/>
        <w:rPr>
          <w:rFonts w:ascii="Times New Roman" w:hAnsi="Times New Roman" w:cs="Times New Roman"/>
          <w:color w:val="000000"/>
          <w:sz w:val="10"/>
          <w:szCs w:val="10"/>
          <w:highlight w:val="none"/>
        </w:rPr>
      </w:pPr>
      <w:r>
        <w:rPr>
          <w:rFonts w:ascii="Times New Roman" w:hAnsi="Times New Roman" w:cs="Times New Roman"/>
          <w:color w:val="000000"/>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9" w:type="dxa"/>
            <w:gridSpan w:val="3"/>
          </w:tcPr>
          <w:p>
            <w:pPr>
              <w:snapToGrid w:val="0"/>
              <w:jc w:val="center"/>
              <w:rPr>
                <w:rFonts w:ascii="Times New Roman" w:hAnsi="Times New Roman" w:cs="Times New Roman"/>
                <w:color w:val="000000"/>
                <w:highlight w:val="none"/>
              </w:rPr>
            </w:pPr>
            <w:r>
              <w:rPr>
                <w:rFonts w:hint="eastAsia" w:ascii="Times New Roman" w:hAnsi="Times New Roman" w:eastAsia="仿宋_GB2312" w:cs="仿宋_GB2312"/>
                <w:b/>
                <w:bCs/>
                <w:color w:val="000000"/>
                <w:sz w:val="32"/>
                <w:szCs w:val="32"/>
                <w:highlight w:val="none"/>
              </w:rPr>
              <w:t>（二）大气污染防治类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938" w:type="dxa"/>
            <w:gridSpan w:val="2"/>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38" w:type="dxa"/>
            <w:gridSpan w:val="2"/>
          </w:tcPr>
          <w:p>
            <w:pPr>
              <w:snapToGrid w:val="0"/>
              <w:ind w:firstLine="420"/>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机动车、非道路移动机械生产企业对发动机、污染控制装置弄虚作假、以次充好，冒充排放检验合格产品出厂销售的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违反条款</w:t>
            </w:r>
          </w:p>
        </w:tc>
        <w:tc>
          <w:tcPr>
            <w:tcW w:w="7938" w:type="dxa"/>
            <w:gridSpan w:val="2"/>
          </w:tcPr>
          <w:p>
            <w:pPr>
              <w:snapToGrid w:val="0"/>
              <w:spacing w:before="62" w:beforeLines="20"/>
              <w:ind w:firstLine="482"/>
              <w:rPr>
                <w:rFonts w:ascii="Times New Roman" w:hAnsi="Times New Roman" w:eastAsia="仿宋_GB2312" w:cs="Times New Roman"/>
                <w:highlight w:val="none"/>
              </w:rPr>
            </w:pPr>
            <w:r>
              <w:rPr>
                <w:rFonts w:hint="eastAsia" w:ascii="Times New Roman" w:hAnsi="Times New Roman" w:eastAsia="仿宋_GB2312" w:cs="仿宋_GB2312"/>
                <w:b/>
                <w:bCs/>
                <w:highlight w:val="none"/>
              </w:rPr>
              <w:t>《中华人民共和国大气污染防治法》五十二条</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机动车、非道路移动机械生产企业应当对新生产的机动车和非道路移动机械进行排放检验。经检验合格的，方可出厂销售。检验信息应当向社会公开。</w:t>
            </w:r>
          </w:p>
          <w:p>
            <w:pPr>
              <w:snapToGrid w:val="0"/>
              <w:ind w:firstLine="480"/>
              <w:rPr>
                <w:rFonts w:ascii="Times New Roman" w:hAnsi="Times New Roman" w:eastAsia="仿宋_GB2312" w:cs="Times New Roman"/>
                <w:highlight w:val="none"/>
              </w:rPr>
            </w:pPr>
            <w:r>
              <w:rPr>
                <w:rFonts w:hint="eastAsia" w:ascii="Times New Roman" w:hAnsi="Times New Roman" w:eastAsia="仿宋_GB2312" w:cs="仿宋_GB2312"/>
                <w:highlight w:val="none"/>
              </w:rPr>
              <w:t>省级以上人民政府生态环境主管部门可以通过现场检查、抽样检测等方式，加强对新生产、销售机动车和非道路移动机械大气污染物排放状况的监督检查。工业、市场监督管理等有关部门予以配合。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处罚依据</w:t>
            </w:r>
          </w:p>
        </w:tc>
        <w:tc>
          <w:tcPr>
            <w:tcW w:w="7938" w:type="dxa"/>
            <w:gridSpan w:val="2"/>
          </w:tcPr>
          <w:p>
            <w:pPr>
              <w:snapToGrid w:val="0"/>
              <w:spacing w:before="62" w:beforeLines="20"/>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《中华人民共和国大气污染防治法》第一百零九条第二款</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违反本法规定，机动车、非道路移动机械生产企业对发动机、污染控制装置弄虚作假、以次充好，冒充排放检验合格产品出厂销售的，由省级以上人民政府环境保护主管部门责令停产整治，没收违法所得，并处货值金额一倍以上三倍以下的罚款，没收销毁无法达到污染物排放标准的机动车、非道路移动机械，并由国务院机动车生产主管部门责令停止生产该车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245"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9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45" w:type="dxa"/>
            <w:vAlign w:val="center"/>
          </w:tcPr>
          <w:p>
            <w:pPr>
              <w:pStyle w:val="12"/>
              <w:shd w:val="clear" w:color="auto" w:fill="FFFFFF"/>
              <w:snapToGrid w:val="0"/>
              <w:spacing w:before="0" w:beforeAutospacing="0" w:after="0" w:afterAutospacing="0"/>
              <w:jc w:val="center"/>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销售弄虚作假、以次充好，冒充排放检验合格产品的发动机、污染控制装置数量在</w:t>
            </w:r>
            <w:r>
              <w:rPr>
                <w:rFonts w:ascii="Times New Roman" w:hAnsi="Times New Roman" w:eastAsia="仿宋_GB2312" w:cs="Times New Roman"/>
                <w:kern w:val="2"/>
                <w:sz w:val="21"/>
                <w:szCs w:val="21"/>
                <w:highlight w:val="none"/>
              </w:rPr>
              <w:t>5</w:t>
            </w:r>
            <w:r>
              <w:rPr>
                <w:rFonts w:hint="eastAsia" w:ascii="Times New Roman" w:hAnsi="Times New Roman" w:eastAsia="仿宋_GB2312" w:cs="仿宋_GB2312"/>
                <w:kern w:val="2"/>
                <w:sz w:val="21"/>
                <w:szCs w:val="21"/>
                <w:highlight w:val="none"/>
              </w:rPr>
              <w:t>辆以内的</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销售弄虚作假、以次充好，冒充排放检验合格产品的发动机、污染控制装置数量在</w:t>
            </w:r>
            <w:r>
              <w:rPr>
                <w:rFonts w:ascii="Times New Roman" w:hAnsi="Times New Roman" w:eastAsia="仿宋_GB2312" w:cs="Times New Roman"/>
                <w:highlight w:val="none"/>
              </w:rPr>
              <w:t>5</w:t>
            </w:r>
            <w:r>
              <w:rPr>
                <w:rFonts w:hint="eastAsia" w:ascii="Times New Roman" w:hAnsi="Times New Roman" w:eastAsia="仿宋_GB2312" w:cs="仿宋_GB2312"/>
                <w:highlight w:val="none"/>
              </w:rPr>
              <w:t>辆以上</w:t>
            </w:r>
            <w:r>
              <w:rPr>
                <w:rFonts w:ascii="Times New Roman" w:hAnsi="Times New Roman" w:eastAsia="仿宋_GB2312" w:cs="Times New Roman"/>
                <w:highlight w:val="none"/>
              </w:rPr>
              <w:t>10</w:t>
            </w:r>
            <w:r>
              <w:rPr>
                <w:rFonts w:hint="eastAsia" w:ascii="Times New Roman" w:hAnsi="Times New Roman" w:eastAsia="仿宋_GB2312" w:cs="仿宋_GB2312"/>
                <w:highlight w:val="none"/>
              </w:rPr>
              <w:t>辆以内的</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销售弄虚作假、以次充好，冒充排放检验合格产品的发动机、污染控制装置数量在</w:t>
            </w:r>
            <w:r>
              <w:rPr>
                <w:rFonts w:ascii="Times New Roman" w:hAnsi="Times New Roman" w:eastAsia="仿宋_GB2312" w:cs="Times New Roman"/>
                <w:highlight w:val="none"/>
              </w:rPr>
              <w:t>10</w:t>
            </w:r>
            <w:r>
              <w:rPr>
                <w:rFonts w:hint="eastAsia" w:ascii="Times New Roman" w:hAnsi="Times New Roman" w:eastAsia="仿宋_GB2312" w:cs="仿宋_GB2312"/>
                <w:highlight w:val="none"/>
              </w:rPr>
              <w:t>辆以上的</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货值金额</w:t>
            </w: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货值金额不超过</w:t>
            </w:r>
            <w:r>
              <w:rPr>
                <w:rFonts w:ascii="Times New Roman" w:hAnsi="Times New Roman" w:eastAsia="仿宋_GB2312" w:cs="Times New Roman"/>
                <w:color w:val="000000"/>
                <w:highlight w:val="none"/>
              </w:rPr>
              <w:t>100</w:t>
            </w:r>
            <w:r>
              <w:rPr>
                <w:rFonts w:hint="eastAsia" w:ascii="Times New Roman" w:hAnsi="Times New Roman" w:eastAsia="仿宋_GB2312" w:cs="仿宋_GB2312"/>
                <w:color w:val="000000"/>
                <w:highlight w:val="none"/>
              </w:rPr>
              <w:t>万元的</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eastAsia="仿宋_GB2312" w:cs="仿宋_GB2312"/>
                <w:color w:val="000000"/>
                <w:highlight w:val="none"/>
              </w:rPr>
              <w:t>货值金额</w:t>
            </w:r>
            <w:r>
              <w:rPr>
                <w:rFonts w:ascii="Times New Roman" w:hAnsi="Times New Roman" w:eastAsia="仿宋_GB2312" w:cs="Times New Roman"/>
                <w:color w:val="000000"/>
                <w:highlight w:val="none"/>
              </w:rPr>
              <w:t>100</w:t>
            </w:r>
            <w:r>
              <w:rPr>
                <w:rFonts w:hint="eastAsia" w:ascii="Times New Roman" w:hAnsi="Times New Roman" w:eastAsia="仿宋_GB2312" w:cs="仿宋_GB2312"/>
                <w:color w:val="000000"/>
                <w:highlight w:val="none"/>
              </w:rPr>
              <w:t>万元以上</w:t>
            </w:r>
            <w:r>
              <w:rPr>
                <w:rFonts w:ascii="Times New Roman" w:hAnsi="Times New Roman" w:eastAsia="仿宋_GB2312" w:cs="Times New Roman"/>
                <w:color w:val="000000"/>
                <w:highlight w:val="none"/>
              </w:rPr>
              <w:t>500</w:t>
            </w:r>
            <w:r>
              <w:rPr>
                <w:rFonts w:hint="eastAsia" w:ascii="Times New Roman" w:hAnsi="Times New Roman" w:eastAsia="仿宋_GB2312" w:cs="仿宋_GB2312"/>
                <w:color w:val="000000"/>
                <w:highlight w:val="none"/>
              </w:rPr>
              <w:t>万元以下的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货值金额超过</w:t>
            </w:r>
            <w:r>
              <w:rPr>
                <w:rFonts w:ascii="Times New Roman" w:hAnsi="Times New Roman" w:eastAsia="仿宋_GB2312" w:cs="Times New Roman"/>
                <w:color w:val="000000"/>
                <w:highlight w:val="none"/>
              </w:rPr>
              <w:t>500</w:t>
            </w:r>
            <w:r>
              <w:rPr>
                <w:rFonts w:hint="eastAsia" w:ascii="Times New Roman" w:hAnsi="Times New Roman" w:eastAsia="仿宋_GB2312" w:cs="仿宋_GB2312"/>
                <w:color w:val="000000"/>
                <w:highlight w:val="none"/>
              </w:rPr>
              <w:t>万元的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938" w:type="dxa"/>
            <w:gridSpan w:val="2"/>
            <w:vAlign w:val="center"/>
          </w:tcPr>
          <w:p>
            <w:pPr>
              <w:snapToGrid w:val="0"/>
              <w:ind w:firstLine="420"/>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适用裁量计算公式裁定罚款金额时，</w:t>
            </w:r>
            <w:r>
              <w:rPr>
                <w:rFonts w:ascii="Times New Roman" w:hAnsi="Times New Roman" w:eastAsia="仿宋_GB2312" w:cs="Times New Roman"/>
                <w:color w:val="000000"/>
                <w:highlight w:val="none"/>
              </w:rPr>
              <w:t>M</w:t>
            </w:r>
            <w:r>
              <w:rPr>
                <w:rFonts w:hint="eastAsia" w:ascii="Times New Roman" w:hAnsi="Times New Roman" w:eastAsia="仿宋_GB2312" w:cs="仿宋_GB2312"/>
                <w:color w:val="000000"/>
                <w:highlight w:val="none"/>
              </w:rPr>
              <w:t>值（法定处罚金额上限）取货值金额三倍罚款，</w:t>
            </w:r>
            <w:r>
              <w:rPr>
                <w:rFonts w:ascii="Times New Roman" w:hAnsi="Times New Roman" w:eastAsia="仿宋_GB2312" w:cs="Times New Roman"/>
                <w:color w:val="000000"/>
                <w:highlight w:val="none"/>
              </w:rPr>
              <w:t>N</w:t>
            </w:r>
            <w:r>
              <w:rPr>
                <w:rFonts w:hint="eastAsia" w:ascii="Times New Roman" w:hAnsi="Times New Roman" w:eastAsia="仿宋_GB2312" w:cs="仿宋_GB2312"/>
                <w:color w:val="000000"/>
                <w:highlight w:val="none"/>
              </w:rPr>
              <w:t>值（法定处罚金额下限）取货值金额一倍罚款。</w:t>
            </w:r>
          </w:p>
        </w:tc>
      </w:tr>
    </w:tbl>
    <w:p>
      <w:pPr>
        <w:snapToGrid w:val="0"/>
        <w:rPr>
          <w:rFonts w:ascii="Times New Roman" w:hAnsi="Times New Roman" w:cs="Times New Roman"/>
          <w:color w:val="000000"/>
          <w:sz w:val="10"/>
          <w:szCs w:val="10"/>
          <w:highlight w:val="none"/>
        </w:rPr>
      </w:pPr>
      <w:r>
        <w:rPr>
          <w:rFonts w:ascii="Times New Roman" w:hAnsi="Times New Roman" w:cs="Times New Roman"/>
          <w:color w:val="000000"/>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9" w:type="dxa"/>
            <w:gridSpan w:val="3"/>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仿宋_GB2312"/>
                <w:b/>
                <w:bCs/>
                <w:color w:val="000000"/>
                <w:sz w:val="32"/>
                <w:szCs w:val="32"/>
                <w:highlight w:val="none"/>
              </w:rPr>
              <w:t>（二）大气污染防治类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938" w:type="dxa"/>
            <w:gridSpan w:val="2"/>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38" w:type="dxa"/>
            <w:gridSpan w:val="2"/>
            <w:vAlign w:val="center"/>
          </w:tcPr>
          <w:p>
            <w:pPr>
              <w:snapToGrid w:val="0"/>
              <w:spacing w:before="62" w:beforeLines="20" w:line="264" w:lineRule="auto"/>
              <w:ind w:firstLine="420"/>
              <w:jc w:val="left"/>
              <w:rPr>
                <w:rFonts w:ascii="Times New Roman" w:hAnsi="Times New Roman" w:eastAsia="仿宋_GB2312" w:cs="Times New Roman"/>
                <w:highlight w:val="none"/>
              </w:rPr>
            </w:pPr>
            <w:r>
              <w:rPr>
                <w:rFonts w:hint="eastAsia" w:ascii="Times New Roman" w:hAnsi="Times New Roman" w:eastAsia="仿宋_GB2312" w:cs="仿宋_GB2312"/>
                <w:highlight w:val="none"/>
              </w:rPr>
              <w:t>机动车生产、进口企业未按照规定向社会公布其生产、进口机动车车型的排放检验信息或者污染控制技术信息的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违反条款</w:t>
            </w:r>
          </w:p>
        </w:tc>
        <w:tc>
          <w:tcPr>
            <w:tcW w:w="7938" w:type="dxa"/>
            <w:gridSpan w:val="2"/>
          </w:tcPr>
          <w:p>
            <w:pPr>
              <w:snapToGrid w:val="0"/>
              <w:spacing w:before="62" w:beforeLines="20" w:line="264" w:lineRule="auto"/>
              <w:ind w:firstLine="422" w:firstLineChars="20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《中华人民共和国大气污染防治法》第五十五条</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机动车生产、进口企业应当向社会公布其生产、进口机动车车型的排放检验信息、污染控制技术信息和有关维修技术信息。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处罚依据</w:t>
            </w:r>
          </w:p>
        </w:tc>
        <w:tc>
          <w:tcPr>
            <w:tcW w:w="7938" w:type="dxa"/>
            <w:gridSpan w:val="2"/>
          </w:tcPr>
          <w:p>
            <w:pPr>
              <w:snapToGrid w:val="0"/>
              <w:spacing w:before="62" w:beforeLines="20" w:line="264"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《中华人民共和国大气污染防治法》第一百一十一条</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违反本法规定，机动车生产、进口企业未按照规定向社会公布其生产、进口机动车车型的排放检验信息或者污染控制技术信息的，由省级以上人民政府生态环境主管部门责令改正，处五万元以上五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245"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9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已向社会公开其生产、进口机动车车型的排放检验信息或者污染控制技术信息的，但是信息不全的</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未向社会公开其生产、进口机动车车型的排放检验信息或者污染控制技术信息的</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在向社会公开其生产、进口机动车车型的排放检验信息或者污染控制技术信息中弄虚作假的</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未公开车辆数量</w:t>
            </w:r>
          </w:p>
        </w:tc>
        <w:tc>
          <w:tcPr>
            <w:tcW w:w="524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r>
              <w:rPr>
                <w:rFonts w:hint="eastAsia" w:ascii="Times New Roman" w:hAnsi="Times New Roman" w:eastAsia="仿宋_GB2312" w:cs="仿宋_GB2312"/>
                <w:highlight w:val="none"/>
              </w:rPr>
              <w:t>辆以内的</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r>
              <w:rPr>
                <w:rFonts w:hint="eastAsia" w:ascii="Times New Roman" w:hAnsi="Times New Roman" w:eastAsia="仿宋_GB2312" w:cs="仿宋_GB2312"/>
                <w:highlight w:val="none"/>
              </w:rPr>
              <w:t>辆以上</w:t>
            </w:r>
            <w:r>
              <w:rPr>
                <w:rFonts w:ascii="Times New Roman" w:hAnsi="Times New Roman" w:eastAsia="仿宋_GB2312" w:cs="Times New Roman"/>
                <w:highlight w:val="none"/>
              </w:rPr>
              <w:t>10</w:t>
            </w:r>
            <w:r>
              <w:rPr>
                <w:rFonts w:hint="eastAsia" w:ascii="Times New Roman" w:hAnsi="Times New Roman" w:eastAsia="仿宋_GB2312" w:cs="仿宋_GB2312"/>
                <w:highlight w:val="none"/>
              </w:rPr>
              <w:t>辆以内的</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10</w:t>
            </w:r>
            <w:r>
              <w:rPr>
                <w:rFonts w:hint="eastAsia" w:ascii="Times New Roman" w:hAnsi="Times New Roman" w:eastAsia="仿宋_GB2312" w:cs="仿宋_GB2312"/>
                <w:highlight w:val="none"/>
              </w:rPr>
              <w:t>辆及以上的</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违法时间</w:t>
            </w: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不足</w:t>
            </w:r>
            <w:r>
              <w:rPr>
                <w:rFonts w:ascii="Times New Roman" w:hAnsi="Times New Roman" w:eastAsia="仿宋_GB2312" w:cs="Times New Roman"/>
                <w:highlight w:val="none"/>
              </w:rPr>
              <w:t>5</w:t>
            </w:r>
            <w:r>
              <w:rPr>
                <w:rFonts w:hint="eastAsia" w:ascii="Times New Roman" w:hAnsi="Times New Roman" w:eastAsia="仿宋_GB2312" w:cs="仿宋_GB2312"/>
                <w:highlight w:val="none"/>
              </w:rPr>
              <w:t>天</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r>
              <w:rPr>
                <w:rFonts w:hint="eastAsia" w:ascii="Times New Roman" w:hAnsi="Times New Roman" w:eastAsia="仿宋_GB2312" w:cs="仿宋_GB2312"/>
                <w:highlight w:val="none"/>
              </w:rPr>
              <w:t>天以上不足</w:t>
            </w:r>
            <w:r>
              <w:rPr>
                <w:rFonts w:ascii="Times New Roman" w:hAnsi="Times New Roman" w:eastAsia="仿宋_GB2312" w:cs="Times New Roman"/>
                <w:highlight w:val="none"/>
              </w:rPr>
              <w:t>10</w:t>
            </w:r>
            <w:r>
              <w:rPr>
                <w:rFonts w:hint="eastAsia" w:ascii="Times New Roman" w:hAnsi="Times New Roman" w:eastAsia="仿宋_GB2312" w:cs="仿宋_GB2312"/>
                <w:highlight w:val="none"/>
              </w:rPr>
              <w:t>天</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10</w:t>
            </w:r>
            <w:r>
              <w:rPr>
                <w:rFonts w:hint="eastAsia" w:ascii="Times New Roman" w:hAnsi="Times New Roman" w:eastAsia="仿宋_GB2312" w:cs="仿宋_GB2312"/>
                <w:highlight w:val="none"/>
              </w:rPr>
              <w:t>天以上不足</w:t>
            </w:r>
            <w:r>
              <w:rPr>
                <w:rFonts w:ascii="Times New Roman" w:hAnsi="Times New Roman" w:eastAsia="仿宋_GB2312" w:cs="Times New Roman"/>
                <w:highlight w:val="none"/>
              </w:rPr>
              <w:t>20</w:t>
            </w:r>
            <w:r>
              <w:rPr>
                <w:rFonts w:hint="eastAsia" w:ascii="Times New Roman" w:hAnsi="Times New Roman" w:eastAsia="仿宋_GB2312" w:cs="仿宋_GB2312"/>
                <w:highlight w:val="none"/>
              </w:rPr>
              <w:t>天</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20</w:t>
            </w:r>
            <w:r>
              <w:rPr>
                <w:rFonts w:hint="eastAsia" w:ascii="Times New Roman" w:hAnsi="Times New Roman" w:eastAsia="仿宋_GB2312" w:cs="仿宋_GB2312"/>
                <w:highlight w:val="none"/>
              </w:rPr>
              <w:t>天以上不足</w:t>
            </w:r>
            <w:r>
              <w:rPr>
                <w:rFonts w:ascii="Times New Roman" w:hAnsi="Times New Roman" w:eastAsia="仿宋_GB2312" w:cs="Times New Roman"/>
                <w:highlight w:val="none"/>
              </w:rPr>
              <w:t>1</w:t>
            </w:r>
            <w:r>
              <w:rPr>
                <w:rFonts w:hint="eastAsia" w:ascii="Times New Roman" w:hAnsi="Times New Roman" w:eastAsia="仿宋_GB2312" w:cs="仿宋_GB2312"/>
                <w:highlight w:val="none"/>
              </w:rPr>
              <w:t>个月</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r>
              <w:rPr>
                <w:rFonts w:hint="eastAsia" w:ascii="Times New Roman" w:hAnsi="Times New Roman" w:eastAsia="仿宋_GB2312" w:cs="仿宋_GB2312"/>
                <w:highlight w:val="none"/>
              </w:rPr>
              <w:t>个月以上</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938" w:type="dxa"/>
            <w:gridSpan w:val="2"/>
            <w:vAlign w:val="center"/>
          </w:tcPr>
          <w:p>
            <w:pPr>
              <w:snapToGrid w:val="0"/>
              <w:ind w:firstLine="420"/>
              <w:jc w:val="center"/>
              <w:rPr>
                <w:rFonts w:ascii="Times New Roman" w:hAnsi="Times New Roman" w:cs="Times New Roman"/>
                <w:color w:val="000000"/>
                <w:highlight w:val="none"/>
              </w:rPr>
            </w:pPr>
          </w:p>
        </w:tc>
      </w:tr>
    </w:tbl>
    <w:p>
      <w:pPr>
        <w:snapToGrid w:val="0"/>
        <w:rPr>
          <w:rFonts w:ascii="Times New Roman" w:hAnsi="Times New Roman" w:cs="Times New Roman"/>
          <w:color w:val="000000"/>
          <w:sz w:val="10"/>
          <w:szCs w:val="10"/>
          <w:highlight w:val="none"/>
        </w:rPr>
      </w:pPr>
      <w:r>
        <w:rPr>
          <w:rFonts w:ascii="Times New Roman" w:hAnsi="Times New Roman" w:cs="Times New Roman"/>
          <w:color w:val="000000"/>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仿宋_GB2312"/>
                <w:b/>
                <w:bCs/>
                <w:color w:val="000000"/>
                <w:sz w:val="32"/>
                <w:szCs w:val="32"/>
                <w:highlight w:val="none"/>
              </w:rPr>
              <w:t>（二）大气污染防治类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938" w:type="dxa"/>
            <w:gridSpan w:val="2"/>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38" w:type="dxa"/>
            <w:gridSpan w:val="2"/>
            <w:vAlign w:val="center"/>
          </w:tcPr>
          <w:p>
            <w:pPr>
              <w:snapToGrid w:val="0"/>
              <w:spacing w:line="288" w:lineRule="auto"/>
              <w:ind w:firstLine="42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伪造机动车、非道路移动机械排放检验结果或者出具虚假排放检验报告的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违反条款</w:t>
            </w:r>
          </w:p>
        </w:tc>
        <w:tc>
          <w:tcPr>
            <w:tcW w:w="7938" w:type="dxa"/>
            <w:gridSpan w:val="2"/>
          </w:tcPr>
          <w:p>
            <w:pPr>
              <w:snapToGrid w:val="0"/>
              <w:spacing w:line="288" w:lineRule="auto"/>
              <w:ind w:firstLine="422" w:firstLineChars="200"/>
              <w:rPr>
                <w:rFonts w:ascii="Times New Roman" w:hAnsi="Times New Roman" w:eastAsia="仿宋_GB2312" w:cs="Times New Roman"/>
                <w:highlight w:val="none"/>
              </w:rPr>
            </w:pPr>
            <w:r>
              <w:rPr>
                <w:rFonts w:ascii="Times New Roman" w:hAnsi="Times New Roman" w:eastAsia="仿宋_GB2312" w:cs="Times New Roman"/>
                <w:b/>
                <w:bCs/>
                <w:highlight w:val="none"/>
              </w:rPr>
              <w:t>1.</w:t>
            </w:r>
            <w:r>
              <w:rPr>
                <w:rFonts w:hint="eastAsia" w:ascii="Times New Roman" w:hAnsi="Times New Roman" w:eastAsia="仿宋_GB2312" w:cs="仿宋_GB2312"/>
                <w:b/>
                <w:bCs/>
                <w:highlight w:val="none"/>
              </w:rPr>
              <w:t xml:space="preserve">《中华人民共和国大气污染防治法》第五十四条第一款  </w:t>
            </w:r>
            <w:r>
              <w:rPr>
                <w:rFonts w:hint="eastAsia" w:ascii="Times New Roman" w:hAnsi="Times New Roman" w:eastAsia="仿宋_GB2312" w:cs="仿宋_GB2312"/>
                <w:highlight w:val="none"/>
              </w:rPr>
              <w:t>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w:t>
            </w:r>
          </w:p>
          <w:p>
            <w:pPr>
              <w:snapToGrid w:val="0"/>
              <w:spacing w:line="288" w:lineRule="auto"/>
              <w:ind w:firstLine="422" w:firstLineChars="200"/>
              <w:rPr>
                <w:rFonts w:ascii="Times New Roman" w:hAnsi="Times New Roman" w:eastAsia="仿宋_GB2312" w:cs="Times New Roman"/>
                <w:highlight w:val="none"/>
              </w:rPr>
            </w:pPr>
            <w:r>
              <w:rPr>
                <w:rFonts w:ascii="Times New Roman" w:hAnsi="Times New Roman" w:eastAsia="仿宋_GB2312" w:cs="Times New Roman"/>
                <w:b/>
                <w:bCs/>
                <w:highlight w:val="none"/>
              </w:rPr>
              <w:t>2.</w:t>
            </w:r>
            <w:r>
              <w:rPr>
                <w:rFonts w:hint="eastAsia" w:ascii="Times New Roman" w:hAnsi="Times New Roman" w:eastAsia="仿宋_GB2312" w:cs="仿宋_GB2312"/>
                <w:b/>
                <w:bCs/>
                <w:highlight w:val="none"/>
              </w:rPr>
              <w:t>《山东省机动车排气污染防治条例》第十七条</w:t>
            </w:r>
            <w:r>
              <w:rPr>
                <w:rFonts w:hint="eastAsia" w:ascii="Times New Roman" w:hAnsi="Times New Roman" w:eastAsia="仿宋_GB2312" w:cs="仿宋_GB2312"/>
                <w:highlight w:val="none"/>
              </w:rPr>
              <w:t xml:space="preserve"> </w:t>
            </w:r>
            <w:r>
              <w:rPr>
                <w:rFonts w:ascii="Times New Roman" w:hAnsi="Times New Roman" w:eastAsia="仿宋_GB2312" w:cs="仿宋_GB2312"/>
                <w:highlight w:val="none"/>
              </w:rPr>
              <w:t xml:space="preserve"> </w:t>
            </w:r>
            <w:r>
              <w:rPr>
                <w:rFonts w:hint="eastAsia" w:ascii="Times New Roman" w:hAnsi="Times New Roman" w:eastAsia="仿宋_GB2312" w:cs="仿宋_GB2312"/>
                <w:highlight w:val="none"/>
              </w:rPr>
              <w:t>机动车环保</w:t>
            </w:r>
            <w:r>
              <w:rPr>
                <w:rFonts w:ascii="Times New Roman" w:hAnsi="Times New Roman" w:eastAsia="仿宋_GB2312" w:cs="仿宋_GB2312"/>
                <w:highlight w:val="none"/>
              </w:rPr>
              <w:t>检验机构应当遵守下列规定：（</w:t>
            </w:r>
            <w:r>
              <w:rPr>
                <w:rFonts w:hint="eastAsia" w:ascii="Times New Roman" w:hAnsi="Times New Roman" w:eastAsia="仿宋_GB2312" w:cs="仿宋_GB2312"/>
                <w:highlight w:val="none"/>
              </w:rPr>
              <w:t>一</w:t>
            </w:r>
            <w:r>
              <w:rPr>
                <w:rFonts w:ascii="Times New Roman" w:hAnsi="Times New Roman" w:eastAsia="仿宋_GB2312" w:cs="仿宋_GB2312"/>
                <w:highlight w:val="none"/>
              </w:rPr>
              <w:t>）</w:t>
            </w:r>
            <w:r>
              <w:rPr>
                <w:rFonts w:hint="eastAsia" w:ascii="Times New Roman" w:hAnsi="Times New Roman" w:eastAsia="仿宋_GB2312" w:cs="仿宋_GB2312"/>
                <w:highlight w:val="none"/>
              </w:rPr>
              <w:t>按照</w:t>
            </w:r>
            <w:r>
              <w:rPr>
                <w:rFonts w:ascii="Times New Roman" w:hAnsi="Times New Roman" w:eastAsia="仿宋_GB2312" w:cs="仿宋_GB2312"/>
                <w:highlight w:val="none"/>
              </w:rPr>
              <w:t>省规定的排</w:t>
            </w:r>
            <w:r>
              <w:rPr>
                <w:rFonts w:hint="eastAsia" w:ascii="Times New Roman" w:hAnsi="Times New Roman" w:eastAsia="仿宋_GB2312" w:cs="仿宋_GB2312"/>
                <w:highlight w:val="none"/>
              </w:rPr>
              <w:t>气</w:t>
            </w:r>
            <w:r>
              <w:rPr>
                <w:rFonts w:ascii="Times New Roman" w:hAnsi="Times New Roman" w:eastAsia="仿宋_GB2312" w:cs="仿宋_GB2312"/>
                <w:highlight w:val="none"/>
              </w:rPr>
              <w:t>污染检验方法、技术规范和排放标准进行检验，出具真</w:t>
            </w:r>
            <w:r>
              <w:rPr>
                <w:rFonts w:hint="eastAsia" w:ascii="Times New Roman" w:hAnsi="Times New Roman" w:eastAsia="仿宋_GB2312" w:cs="仿宋_GB2312"/>
                <w:highlight w:val="none"/>
              </w:rPr>
              <w:t>实</w:t>
            </w:r>
            <w:r>
              <w:rPr>
                <w:rFonts w:ascii="Times New Roman" w:hAnsi="Times New Roman" w:eastAsia="仿宋_GB2312" w:cs="仿宋_GB2312"/>
                <w:highlight w:val="none"/>
              </w:rPr>
              <w:t>、准确的检验报告</w:t>
            </w:r>
            <w:r>
              <w:rPr>
                <w:rFonts w:hint="eastAsia" w:ascii="Times New Roman" w:hAnsi="Times New Roman" w:eastAsia="仿宋_GB2312" w:cs="仿宋_GB231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处罚依据</w:t>
            </w:r>
          </w:p>
        </w:tc>
        <w:tc>
          <w:tcPr>
            <w:tcW w:w="7938" w:type="dxa"/>
            <w:gridSpan w:val="2"/>
          </w:tcPr>
          <w:p>
            <w:pPr>
              <w:snapToGrid w:val="0"/>
              <w:spacing w:line="288" w:lineRule="auto"/>
              <w:ind w:firstLine="420"/>
              <w:rPr>
                <w:rFonts w:ascii="Times New Roman" w:hAnsi="Times New Roman" w:eastAsia="仿宋_GB2312" w:cs="Times New Roman"/>
                <w:highlight w:val="none"/>
              </w:rPr>
            </w:pPr>
            <w:r>
              <w:rPr>
                <w:rFonts w:ascii="Times New Roman" w:hAnsi="Times New Roman" w:eastAsia="仿宋_GB2312" w:cs="Times New Roman"/>
                <w:b/>
                <w:bCs/>
                <w:highlight w:val="none"/>
              </w:rPr>
              <w:t>1.</w:t>
            </w:r>
            <w:r>
              <w:rPr>
                <w:rFonts w:hint="eastAsia" w:ascii="Times New Roman" w:hAnsi="Times New Roman" w:eastAsia="仿宋_GB2312" w:cs="仿宋_GB2312"/>
                <w:b/>
                <w:bCs/>
                <w:highlight w:val="none"/>
              </w:rPr>
              <w:t>《中华人民共和国大气污染防治法》第一百一十二条第一款</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p>
          <w:p>
            <w:pPr>
              <w:snapToGrid w:val="0"/>
              <w:spacing w:line="288" w:lineRule="auto"/>
              <w:ind w:firstLine="420"/>
              <w:rPr>
                <w:rFonts w:ascii="Times New Roman" w:hAnsi="Times New Roman" w:eastAsia="仿宋_GB2312" w:cs="Times New Roman"/>
                <w:highlight w:val="none"/>
              </w:rPr>
            </w:pPr>
            <w:r>
              <w:rPr>
                <w:rFonts w:ascii="Times New Roman" w:hAnsi="Times New Roman" w:eastAsia="仿宋_GB2312" w:cs="Times New Roman"/>
                <w:b/>
                <w:bCs/>
                <w:highlight w:val="none"/>
              </w:rPr>
              <w:t>2.</w:t>
            </w:r>
            <w:r>
              <w:rPr>
                <w:rFonts w:hint="eastAsia" w:ascii="Times New Roman" w:hAnsi="Times New Roman" w:eastAsia="仿宋_GB2312" w:cs="仿宋_GB2312"/>
                <w:b/>
                <w:bCs/>
                <w:highlight w:val="none"/>
              </w:rPr>
              <w:t>《山东省机动车排气污染防治条例》第三十一条第一款</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违反本条例规定，伪造机动车排放检验结果或者出具虚假排放检验报告的，由县级以上人民政府环境保护行政主管部门没收违法所得，并处十万元以上五十万元以下的罚款；情节严重的，由负责资质认定的部门取消其检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245" w:type="dxa"/>
            <w:vAlign w:val="center"/>
          </w:tcPr>
          <w:p>
            <w:pPr>
              <w:snapToGrid w:val="0"/>
              <w:jc w:val="center"/>
              <w:rPr>
                <w:rFonts w:ascii="Times New Roman" w:hAnsi="Times New Roman" w:cs="Times New Roman"/>
                <w:color w:val="000000"/>
                <w:highlight w:val="none"/>
              </w:rPr>
            </w:pPr>
            <w:r>
              <w:rPr>
                <w:rFonts w:hint="eastAsia" w:ascii="Times New Roman" w:hAnsi="Times New Roman" w:cs="宋体"/>
                <w:b/>
                <w:bCs/>
                <w:color w:val="000000"/>
                <w:highlight w:val="none"/>
              </w:rPr>
              <w:t>判定标准</w:t>
            </w:r>
          </w:p>
        </w:tc>
        <w:tc>
          <w:tcPr>
            <w:tcW w:w="2693" w:type="dxa"/>
            <w:vAlign w:val="center"/>
          </w:tcPr>
          <w:p>
            <w:pPr>
              <w:snapToGrid w:val="0"/>
              <w:jc w:val="center"/>
              <w:rPr>
                <w:rFonts w:ascii="Times New Roman" w:hAnsi="Times New Roman" w:cs="Times New Roman"/>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伪造结果或出具虚假报告</w:t>
            </w:r>
            <w:r>
              <w:rPr>
                <w:rFonts w:ascii="Times New Roman" w:hAnsi="Times New Roman" w:eastAsia="仿宋_GB2312" w:cs="Times New Roman"/>
                <w:highlight w:val="none"/>
              </w:rPr>
              <w:t>5</w:t>
            </w:r>
            <w:r>
              <w:rPr>
                <w:rFonts w:hint="eastAsia" w:ascii="Times New Roman" w:hAnsi="Times New Roman" w:eastAsia="仿宋_GB2312" w:cs="仿宋_GB2312"/>
                <w:highlight w:val="none"/>
              </w:rPr>
              <w:t>辆以下的</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伪造结果或出具虚假报告</w:t>
            </w:r>
            <w:r>
              <w:rPr>
                <w:rFonts w:ascii="Times New Roman" w:hAnsi="Times New Roman" w:eastAsia="仿宋_GB2312" w:cs="Times New Roman"/>
                <w:highlight w:val="none"/>
              </w:rPr>
              <w:t>5</w:t>
            </w:r>
            <w:r>
              <w:rPr>
                <w:rFonts w:hint="eastAsia" w:ascii="Times New Roman" w:hAnsi="Times New Roman" w:eastAsia="仿宋_GB2312" w:cs="仿宋_GB2312"/>
                <w:highlight w:val="none"/>
              </w:rPr>
              <w:t>辆以上</w:t>
            </w:r>
            <w:r>
              <w:rPr>
                <w:rFonts w:ascii="Times New Roman" w:hAnsi="Times New Roman" w:eastAsia="仿宋_GB2312" w:cs="Times New Roman"/>
                <w:highlight w:val="none"/>
              </w:rPr>
              <w:t>10</w:t>
            </w:r>
            <w:r>
              <w:rPr>
                <w:rFonts w:hint="eastAsia" w:ascii="Times New Roman" w:hAnsi="Times New Roman" w:eastAsia="仿宋_GB2312" w:cs="仿宋_GB2312"/>
                <w:highlight w:val="none"/>
              </w:rPr>
              <w:t>辆以下的</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伪造结果或出具虚假报告</w:t>
            </w:r>
            <w:r>
              <w:rPr>
                <w:rFonts w:ascii="Times New Roman" w:hAnsi="Times New Roman" w:eastAsia="仿宋_GB2312" w:cs="Times New Roman"/>
                <w:highlight w:val="none"/>
              </w:rPr>
              <w:t>10</w:t>
            </w:r>
            <w:r>
              <w:rPr>
                <w:rFonts w:hint="eastAsia" w:ascii="Times New Roman" w:hAnsi="Times New Roman" w:eastAsia="仿宋_GB2312" w:cs="仿宋_GB2312"/>
                <w:highlight w:val="none"/>
              </w:rPr>
              <w:t>辆以上的</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Times New Roman"/>
                <w:b/>
                <w:bCs/>
                <w:color w:val="000000"/>
                <w:highlight w:val="none"/>
              </w:rPr>
              <w:t>资质情况</w:t>
            </w:r>
          </w:p>
        </w:tc>
        <w:tc>
          <w:tcPr>
            <w:tcW w:w="52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在计量认证有效期，使用经依法检定合格的机动车排放检验设备</w:t>
            </w:r>
          </w:p>
        </w:tc>
        <w:tc>
          <w:tcPr>
            <w:tcW w:w="26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在计量认证有效期，未使用经依法检定合格的机动车排放检验设备</w:t>
            </w:r>
          </w:p>
        </w:tc>
        <w:tc>
          <w:tcPr>
            <w:tcW w:w="26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不在计量认证有效期，使用经依法检定合格的机动车排放检验设备</w:t>
            </w:r>
          </w:p>
        </w:tc>
        <w:tc>
          <w:tcPr>
            <w:tcW w:w="26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不在计量认证有效期，未使用经依法检定合格的机动车排放检验设备</w:t>
            </w:r>
          </w:p>
        </w:tc>
        <w:tc>
          <w:tcPr>
            <w:tcW w:w="26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938" w:type="dxa"/>
            <w:gridSpan w:val="2"/>
            <w:vAlign w:val="center"/>
          </w:tcPr>
          <w:p>
            <w:pPr>
              <w:snapToGrid w:val="0"/>
              <w:ind w:firstLine="420"/>
              <w:jc w:val="center"/>
              <w:rPr>
                <w:rFonts w:ascii="Times New Roman" w:hAnsi="Times New Roman" w:cs="Times New Roman"/>
                <w:color w:val="000000"/>
                <w:highlight w:val="none"/>
              </w:rPr>
            </w:pPr>
          </w:p>
        </w:tc>
      </w:tr>
    </w:tbl>
    <w:p>
      <w:pPr>
        <w:snapToGrid w:val="0"/>
        <w:rPr>
          <w:rFonts w:ascii="Times New Roman" w:hAnsi="Times New Roman" w:cs="Times New Roman"/>
          <w:color w:val="000000"/>
          <w:sz w:val="10"/>
          <w:szCs w:val="10"/>
          <w:highlight w:val="none"/>
        </w:rPr>
      </w:pPr>
      <w:r>
        <w:rPr>
          <w:rFonts w:ascii="Times New Roman" w:hAnsi="Times New Roman" w:cs="Times New Roman"/>
          <w:color w:val="000000"/>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783"/>
        <w:gridCol w:w="2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（二）大气污染防治类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未密闭煤炭、煤矸石、煤渣、煤灰、水泥、石灰、石膏、砂土等易产生扬尘的物料的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1"/>
              <w:snapToGrid w:val="0"/>
              <w:spacing w:before="62" w:beforeLines="20" w:line="288" w:lineRule="auto"/>
              <w:ind w:firstLine="357"/>
              <w:jc w:val="both"/>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《中华人民共和国大气污染防治法》第七十二条第一款</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贮存煤炭、煤矸石、煤渣、煤灰、水泥、石灰、石膏、砂土等易产生扬尘的物料应当密闭；不能密闭的，应当设置不低于堆放物高度的严密围挡，并采取有效覆盖措施防治扬尘污染。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2"/>
              <w:snapToGrid w:val="0"/>
              <w:spacing w:before="62" w:beforeLines="20" w:beforeAutospacing="0" w:after="0" w:afterAutospacing="0"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《中华人民共和国大气污染防治法》第一百一十七条第（一）项</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违反本法规定，有下列行为之一的，由县级以上人民政府生态环境等主管部门按照职责责令改正，处一万元以上十万元以下的罚款；拒不改正的，责令停工整治或者停业整治：</w:t>
            </w:r>
          </w:p>
          <w:p>
            <w:pPr>
              <w:pStyle w:val="12"/>
              <w:snapToGrid w:val="0"/>
              <w:spacing w:before="0" w:beforeAutospacing="0" w:after="0" w:afterAutospacing="0"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（一）未密闭煤炭、煤矸石、煤渣、煤灰、水泥、石灰、石膏、砂土等易产生扬尘的物料的。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78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15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宋体"/>
                <w:b/>
                <w:bCs/>
                <w:color w:val="000000"/>
                <w:highlight w:val="none"/>
              </w:rPr>
            </w:pPr>
            <w:r>
              <w:rPr>
                <w:rFonts w:hint="eastAsia" w:ascii="Times New Roman" w:hAnsi="Times New Roman" w:cs="宋体"/>
                <w:b/>
                <w:bCs/>
                <w:color w:val="000000"/>
                <w:highlight w:val="none"/>
              </w:rPr>
              <w:t>违法事实★</w:t>
            </w:r>
          </w:p>
        </w:tc>
        <w:tc>
          <w:tcPr>
            <w:tcW w:w="5783"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已采取密闭措施但密闭不严导致扬尘污染的/已按要求设置围挡但未采取有效覆盖措施导致扬尘污染的</w:t>
            </w:r>
          </w:p>
        </w:tc>
        <w:tc>
          <w:tcPr>
            <w:tcW w:w="2155"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宋体"/>
                <w:b/>
                <w:bCs/>
                <w:highlight w:val="none"/>
              </w:rPr>
            </w:pPr>
          </w:p>
        </w:tc>
        <w:tc>
          <w:tcPr>
            <w:tcW w:w="5783" w:type="dxa"/>
            <w:vAlign w:val="bottom"/>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采取部分密闭设施导致扬尘污染的/设置的围挡低于堆放物高度的</w:t>
            </w:r>
          </w:p>
        </w:tc>
        <w:tc>
          <w:tcPr>
            <w:tcW w:w="2155"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宋体"/>
                <w:b/>
                <w:bCs/>
                <w:highlight w:val="none"/>
              </w:rPr>
            </w:pPr>
          </w:p>
        </w:tc>
        <w:tc>
          <w:tcPr>
            <w:tcW w:w="5783" w:type="dxa"/>
            <w:vAlign w:val="bottom"/>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未采取密闭设施的/未设置围挡的</w:t>
            </w:r>
          </w:p>
        </w:tc>
        <w:tc>
          <w:tcPr>
            <w:tcW w:w="2155"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hint="eastAsia" w:ascii="Times New Roman" w:hAnsi="Times New Roman" w:cs="宋体"/>
                <w:b/>
                <w:bCs/>
                <w:highlight w:val="none"/>
              </w:rPr>
            </w:pPr>
            <w:r>
              <w:rPr>
                <w:rFonts w:hint="eastAsia" w:ascii="Times New Roman" w:hAnsi="Times New Roman" w:cs="宋体"/>
                <w:b/>
                <w:bCs/>
                <w:color w:val="000000"/>
                <w:highlight w:val="none"/>
              </w:rPr>
              <w:t>占地面积</w:t>
            </w:r>
          </w:p>
        </w:tc>
        <w:tc>
          <w:tcPr>
            <w:tcW w:w="5783" w:type="dxa"/>
            <w:vAlign w:val="center"/>
          </w:tcPr>
          <w:p>
            <w:pPr>
              <w:snapToGrid w:val="0"/>
              <w:jc w:val="center"/>
              <w:rPr>
                <w:rFonts w:hint="eastAsia"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占地面积100m</w:t>
            </w:r>
            <w:r>
              <w:rPr>
                <w:rFonts w:ascii="Times New Roman" w:hAnsi="Times New Roman" w:eastAsia="仿宋_GB2312" w:cs="仿宋_GB2312"/>
                <w:color w:val="000000"/>
                <w:highlight w:val="none"/>
                <w:vertAlign w:val="superscript"/>
              </w:rPr>
              <w:t>2</w:t>
            </w:r>
            <w:r>
              <w:rPr>
                <w:rFonts w:hint="eastAsia" w:ascii="仿宋_GB2312" w:hAnsi="仿宋_GB2312" w:eastAsia="仿宋_GB2312" w:cs="仿宋_GB2312"/>
                <w:color w:val="000000"/>
                <w:highlight w:val="none"/>
              </w:rPr>
              <w:t>以内的</w:t>
            </w:r>
          </w:p>
        </w:tc>
        <w:tc>
          <w:tcPr>
            <w:tcW w:w="2155"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hint="eastAsia" w:ascii="Times New Roman" w:hAnsi="Times New Roman" w:cs="宋体"/>
                <w:b/>
                <w:bCs/>
                <w:highlight w:val="none"/>
              </w:rPr>
            </w:pPr>
          </w:p>
        </w:tc>
        <w:tc>
          <w:tcPr>
            <w:tcW w:w="5783" w:type="dxa"/>
            <w:vAlign w:val="center"/>
          </w:tcPr>
          <w:p>
            <w:pPr>
              <w:snapToGrid w:val="0"/>
              <w:jc w:val="center"/>
              <w:rPr>
                <w:rFonts w:hint="eastAsia"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占地面积100 m</w:t>
            </w:r>
            <w:r>
              <w:rPr>
                <w:rFonts w:ascii="Times New Roman" w:hAnsi="Times New Roman" w:eastAsia="仿宋_GB2312" w:cs="仿宋_GB2312"/>
                <w:color w:val="000000"/>
                <w:highlight w:val="none"/>
                <w:vertAlign w:val="superscript"/>
              </w:rPr>
              <w:t>2</w:t>
            </w:r>
            <w:r>
              <w:rPr>
                <w:rFonts w:hint="eastAsia" w:ascii="仿宋_GB2312" w:hAnsi="仿宋_GB2312" w:eastAsia="仿宋_GB2312" w:cs="仿宋_GB2312"/>
                <w:color w:val="000000"/>
                <w:highlight w:val="none"/>
              </w:rPr>
              <w:t>以上</w:t>
            </w:r>
            <w:r>
              <w:rPr>
                <w:rFonts w:hint="eastAsia" w:ascii="Times New Roman" w:hAnsi="Times New Roman" w:eastAsia="仿宋_GB2312" w:cs="仿宋_GB2312"/>
                <w:color w:val="000000"/>
                <w:highlight w:val="none"/>
              </w:rPr>
              <w:t>500 m</w:t>
            </w:r>
            <w:r>
              <w:rPr>
                <w:rFonts w:ascii="Times New Roman" w:hAnsi="Times New Roman" w:eastAsia="仿宋_GB2312" w:cs="仿宋_GB2312"/>
                <w:color w:val="000000"/>
                <w:highlight w:val="none"/>
                <w:vertAlign w:val="superscript"/>
              </w:rPr>
              <w:t>2</w:t>
            </w:r>
            <w:r>
              <w:rPr>
                <w:rFonts w:hint="eastAsia" w:ascii="仿宋_GB2312" w:hAnsi="仿宋_GB2312" w:eastAsia="仿宋_GB2312" w:cs="仿宋_GB2312"/>
                <w:color w:val="000000"/>
                <w:highlight w:val="none"/>
              </w:rPr>
              <w:t>以内的</w:t>
            </w:r>
          </w:p>
        </w:tc>
        <w:tc>
          <w:tcPr>
            <w:tcW w:w="2155"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hint="eastAsia" w:ascii="Times New Roman" w:hAnsi="Times New Roman" w:cs="宋体"/>
                <w:b/>
                <w:bCs/>
                <w:highlight w:val="none"/>
              </w:rPr>
            </w:pPr>
          </w:p>
        </w:tc>
        <w:tc>
          <w:tcPr>
            <w:tcW w:w="5783" w:type="dxa"/>
            <w:vAlign w:val="center"/>
          </w:tcPr>
          <w:p>
            <w:pPr>
              <w:snapToGrid w:val="0"/>
              <w:jc w:val="center"/>
              <w:rPr>
                <w:rFonts w:hint="eastAsia"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占地面积500 m</w:t>
            </w:r>
            <w:r>
              <w:rPr>
                <w:rFonts w:ascii="Times New Roman" w:hAnsi="Times New Roman" w:eastAsia="仿宋_GB2312" w:cs="仿宋_GB2312"/>
                <w:color w:val="000000"/>
                <w:highlight w:val="none"/>
                <w:vertAlign w:val="superscript"/>
              </w:rPr>
              <w:t>2</w:t>
            </w:r>
            <w:r>
              <w:rPr>
                <w:rFonts w:hint="eastAsia" w:ascii="仿宋_GB2312" w:hAnsi="仿宋_GB2312" w:eastAsia="仿宋_GB2312" w:cs="仿宋_GB2312"/>
                <w:color w:val="000000"/>
                <w:highlight w:val="none"/>
              </w:rPr>
              <w:t>以上的</w:t>
            </w:r>
          </w:p>
        </w:tc>
        <w:tc>
          <w:tcPr>
            <w:tcW w:w="2155"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项目建设</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地点</w:t>
            </w:r>
          </w:p>
        </w:tc>
        <w:tc>
          <w:tcPr>
            <w:tcW w:w="578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highlight w:val="none"/>
              </w:rPr>
              <w:t>二类功能区（工业区和农村地区）</w:t>
            </w:r>
          </w:p>
        </w:tc>
        <w:tc>
          <w:tcPr>
            <w:tcW w:w="2155"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snapToGrid w:val="0"/>
              <w:jc w:val="center"/>
              <w:rPr>
                <w:rFonts w:ascii="Times New Roman" w:hAnsi="Times New Roman" w:eastAsia="仿宋_GB2312" w:cs="Times New Roman"/>
                <w:b/>
                <w:bCs/>
                <w:highlight w:val="none"/>
              </w:rPr>
            </w:pPr>
            <w:r>
              <w:rPr>
                <w:rFonts w:hint="eastAsia" w:ascii="Times New Roman" w:hAnsi="Times New Roman" w:eastAsia="仿宋_GB2312" w:cs="仿宋_GB2312"/>
                <w:highlight w:val="none"/>
              </w:rPr>
              <w:t>二类功能区（居民区、商业交通居民混合区、文化区）</w:t>
            </w:r>
          </w:p>
        </w:tc>
        <w:tc>
          <w:tcPr>
            <w:tcW w:w="2155"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一类功能区</w:t>
            </w:r>
          </w:p>
        </w:tc>
        <w:tc>
          <w:tcPr>
            <w:tcW w:w="2155"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jc w:val="center"/>
              <w:rPr>
                <w:rFonts w:ascii="Times New Roman" w:hAnsi="Times New Roman" w:cs="Times New Roman"/>
                <w:highlight w:val="none"/>
              </w:rPr>
            </w:pPr>
          </w:p>
        </w:tc>
      </w:tr>
    </w:tbl>
    <w:p>
      <w:pPr>
        <w:widowControl/>
        <w:snapToGrid w:val="0"/>
        <w:jc w:val="left"/>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6208"/>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（二）大气污染防治类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hint="eastAsia" w:ascii="Times New Roman" w:hAnsi="Times New Roman" w:cs="Times New Roman"/>
                <w:highlight w:val="none"/>
              </w:rPr>
            </w:pPr>
            <w:r>
              <w:rPr>
                <w:rFonts w:ascii="Times New Roman" w:hAnsi="Times New Roman" w:cs="Times New Roman"/>
                <w:highlight w:val="none"/>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tcPr>
          <w:p>
            <w:pPr>
              <w:pStyle w:val="11"/>
              <w:snapToGrid w:val="0"/>
              <w:spacing w:before="62" w:beforeLines="20" w:line="288" w:lineRule="auto"/>
              <w:ind w:firstLine="420" w:firstLineChars="200"/>
              <w:rPr>
                <w:rFonts w:ascii="Times New Roman" w:hAnsi="Times New Roman" w:eastAsia="仿宋_GB2312" w:cs="Times New Roman"/>
                <w:color w:val="000000"/>
                <w:kern w:val="2"/>
                <w:sz w:val="21"/>
                <w:szCs w:val="21"/>
                <w:highlight w:val="none"/>
              </w:rPr>
            </w:pPr>
            <w:r>
              <w:rPr>
                <w:rFonts w:hint="eastAsia" w:ascii="Times New Roman" w:hAnsi="Times New Roman" w:eastAsia="仿宋_GB2312" w:cs="仿宋_GB2312"/>
                <w:color w:val="000000"/>
                <w:sz w:val="21"/>
                <w:szCs w:val="21"/>
                <w:highlight w:val="none"/>
              </w:rPr>
              <w:t>对不能密闭的易产生扬尘的物料，未设置不低于堆放物高度的严密围挡，或者未采取有效覆盖措施防治扬尘污染的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1"/>
              <w:snapToGrid w:val="0"/>
              <w:spacing w:before="62" w:beforeLines="20" w:line="288" w:lineRule="auto"/>
              <w:ind w:firstLine="357"/>
              <w:jc w:val="both"/>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《中华人民共和国大气污染防治法》第七十二条第一款</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贮存煤炭、煤矸石、煤渣、煤灰、水泥、石灰、石膏、砂土等易产生扬尘的物料应当密闭；不能密闭的，应当设置不低于堆放物高度的严密围挡，并采取有效覆盖措施防治扬尘污染。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1"/>
              <w:snapToGrid w:val="0"/>
              <w:spacing w:before="62" w:beforeLines="20" w:line="288" w:lineRule="auto"/>
              <w:ind w:firstLine="357"/>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《中华人民共和国大气污染防治法》第一百一十七条</w:t>
            </w:r>
            <w:r>
              <w:rPr>
                <w:rFonts w:hint="eastAsia" w:ascii="Times New Roman" w:hAnsi="Times New Roman" w:eastAsia="仿宋_GB2312" w:cs="仿宋_GB2312"/>
                <w:b/>
                <w:bCs/>
                <w:sz w:val="21"/>
                <w:szCs w:val="21"/>
                <w:highlight w:val="none"/>
              </w:rPr>
              <w:t>第（二）项</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kern w:val="2"/>
                <w:sz w:val="21"/>
                <w:szCs w:val="21"/>
                <w:highlight w:val="none"/>
              </w:rPr>
              <w:t>违反本法规定，有下列行为之一的，由县级以上人民政府生态环境等主管部门按照职责责令改正，处一万元以上十万元以下的罚款；拒不改正的，责令停工整治或者停业整治：</w:t>
            </w:r>
          </w:p>
          <w:p>
            <w:pPr>
              <w:pStyle w:val="11"/>
              <w:snapToGrid w:val="0"/>
              <w:spacing w:line="288" w:lineRule="auto"/>
              <w:ind w:firstLine="36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（二）</w:t>
            </w:r>
            <w:r>
              <w:rPr>
                <w:rFonts w:hint="eastAsia" w:ascii="Times New Roman" w:hAnsi="Times New Roman" w:eastAsia="仿宋_GB2312" w:cs="仿宋_GB2312"/>
                <w:sz w:val="21"/>
                <w:szCs w:val="21"/>
                <w:highlight w:val="none"/>
              </w:rPr>
              <w:t>对不能密闭的易产生扬尘的物料，未设置不低于堆放物高度的严密围挡，或者未采取有效覆盖措施防治扬尘污染的。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6208"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1730"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6208"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未规范采取防治扬尘污染措施，或者围挡高度低于堆放物高度的</w:t>
            </w:r>
          </w:p>
        </w:tc>
        <w:tc>
          <w:tcPr>
            <w:tcW w:w="1730"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6208"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未采取防治扬尘污染措施或者设置围挡的</w:t>
            </w:r>
          </w:p>
        </w:tc>
        <w:tc>
          <w:tcPr>
            <w:tcW w:w="1730"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Merge w:val="restart"/>
            <w:vAlign w:val="center"/>
          </w:tcPr>
          <w:p>
            <w:pPr>
              <w:snapToGrid w:val="0"/>
              <w:jc w:val="center"/>
              <w:rPr>
                <w:rFonts w:ascii="Times New Roman" w:hAnsi="Times New Roman" w:cs="宋体"/>
                <w:b/>
                <w:bCs/>
                <w:highlight w:val="none"/>
              </w:rPr>
            </w:pPr>
            <w:r>
              <w:rPr>
                <w:rFonts w:hint="eastAsia" w:ascii="Times New Roman" w:hAnsi="Times New Roman" w:cs="宋体"/>
                <w:b/>
                <w:bCs/>
                <w:color w:val="000000"/>
                <w:highlight w:val="none"/>
              </w:rPr>
              <w:t>占地面积</w:t>
            </w:r>
          </w:p>
          <w:p>
            <w:pPr>
              <w:snapToGrid w:val="0"/>
              <w:jc w:val="center"/>
              <w:rPr>
                <w:rFonts w:ascii="Times New Roman" w:hAnsi="Times New Roman" w:cs="宋体"/>
                <w:b/>
                <w:bCs/>
                <w:highlight w:val="none"/>
              </w:rPr>
            </w:pPr>
            <w:r>
              <w:rPr>
                <w:rFonts w:hint="eastAsia" w:ascii="Times New Roman" w:hAnsi="Times New Roman" w:cs="宋体"/>
                <w:b/>
                <w:bCs/>
                <w:color w:val="000000"/>
                <w:highlight w:val="none"/>
              </w:rPr>
              <w:t>占地面积</w:t>
            </w:r>
          </w:p>
        </w:tc>
        <w:tc>
          <w:tcPr>
            <w:tcW w:w="6208"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占地面积100m</w:t>
            </w:r>
            <w:r>
              <w:rPr>
                <w:rFonts w:ascii="Times New Roman" w:hAnsi="Times New Roman" w:eastAsia="仿宋_GB2312" w:cs="仿宋_GB2312"/>
                <w:color w:val="000000"/>
                <w:highlight w:val="none"/>
                <w:vertAlign w:val="superscript"/>
              </w:rPr>
              <w:t>2</w:t>
            </w:r>
            <w:r>
              <w:rPr>
                <w:rFonts w:hint="eastAsia" w:ascii="仿宋_GB2312" w:hAnsi="仿宋_GB2312" w:eastAsia="仿宋_GB2312" w:cs="仿宋_GB2312"/>
                <w:color w:val="000000"/>
                <w:highlight w:val="none"/>
              </w:rPr>
              <w:t>以内的</w:t>
            </w:r>
          </w:p>
        </w:tc>
        <w:tc>
          <w:tcPr>
            <w:tcW w:w="1730"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宋体"/>
                <w:b/>
                <w:bCs/>
                <w:highlight w:val="none"/>
              </w:rPr>
            </w:pPr>
          </w:p>
        </w:tc>
        <w:tc>
          <w:tcPr>
            <w:tcW w:w="6208"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占地面积100 m</w:t>
            </w:r>
            <w:r>
              <w:rPr>
                <w:rFonts w:ascii="Times New Roman" w:hAnsi="Times New Roman" w:eastAsia="仿宋_GB2312" w:cs="仿宋_GB2312"/>
                <w:color w:val="000000"/>
                <w:highlight w:val="none"/>
                <w:vertAlign w:val="superscript"/>
              </w:rPr>
              <w:t>2</w:t>
            </w:r>
            <w:r>
              <w:rPr>
                <w:rFonts w:hint="eastAsia" w:ascii="仿宋_GB2312" w:hAnsi="仿宋_GB2312" w:eastAsia="仿宋_GB2312" w:cs="仿宋_GB2312"/>
                <w:color w:val="000000"/>
                <w:highlight w:val="none"/>
              </w:rPr>
              <w:t>以上</w:t>
            </w:r>
            <w:r>
              <w:rPr>
                <w:rFonts w:hint="eastAsia" w:ascii="Times New Roman" w:hAnsi="Times New Roman" w:eastAsia="仿宋_GB2312" w:cs="仿宋_GB2312"/>
                <w:color w:val="000000"/>
                <w:highlight w:val="none"/>
              </w:rPr>
              <w:t>500 m</w:t>
            </w:r>
            <w:r>
              <w:rPr>
                <w:rFonts w:ascii="Times New Roman" w:hAnsi="Times New Roman" w:eastAsia="仿宋_GB2312" w:cs="仿宋_GB2312"/>
                <w:color w:val="000000"/>
                <w:highlight w:val="none"/>
                <w:vertAlign w:val="superscript"/>
              </w:rPr>
              <w:t>2</w:t>
            </w:r>
            <w:r>
              <w:rPr>
                <w:rFonts w:hint="eastAsia" w:ascii="仿宋_GB2312" w:hAnsi="仿宋_GB2312" w:eastAsia="仿宋_GB2312" w:cs="仿宋_GB2312"/>
                <w:color w:val="000000"/>
                <w:highlight w:val="none"/>
              </w:rPr>
              <w:t>以内的</w:t>
            </w:r>
          </w:p>
        </w:tc>
        <w:tc>
          <w:tcPr>
            <w:tcW w:w="1730"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宋体"/>
                <w:b/>
                <w:bCs/>
                <w:highlight w:val="none"/>
              </w:rPr>
            </w:pPr>
          </w:p>
        </w:tc>
        <w:tc>
          <w:tcPr>
            <w:tcW w:w="6208" w:type="dxa"/>
            <w:vAlign w:val="center"/>
          </w:tcPr>
          <w:p>
            <w:pPr>
              <w:tabs>
                <w:tab w:val="left" w:pos="510"/>
                <w:tab w:val="center" w:pos="2996"/>
              </w:tabs>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占地面积500 m</w:t>
            </w:r>
            <w:r>
              <w:rPr>
                <w:rFonts w:ascii="Times New Roman" w:hAnsi="Times New Roman" w:eastAsia="仿宋_GB2312" w:cs="仿宋_GB2312"/>
                <w:color w:val="000000"/>
                <w:highlight w:val="none"/>
                <w:vertAlign w:val="superscript"/>
              </w:rPr>
              <w:t>2</w:t>
            </w:r>
            <w:r>
              <w:rPr>
                <w:rFonts w:hint="eastAsia" w:ascii="仿宋_GB2312" w:hAnsi="仿宋_GB2312" w:eastAsia="仿宋_GB2312" w:cs="仿宋_GB2312"/>
                <w:color w:val="000000"/>
                <w:highlight w:val="none"/>
              </w:rPr>
              <w:t>以上的</w:t>
            </w:r>
          </w:p>
        </w:tc>
        <w:tc>
          <w:tcPr>
            <w:tcW w:w="1730"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项目建设</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地点</w:t>
            </w:r>
          </w:p>
        </w:tc>
        <w:tc>
          <w:tcPr>
            <w:tcW w:w="6208"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二类功能区（工业区和农村地区）</w:t>
            </w:r>
          </w:p>
        </w:tc>
        <w:tc>
          <w:tcPr>
            <w:tcW w:w="1730"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6208"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二类功能区（居民区、商业交通居民混合区、文化区）</w:t>
            </w:r>
          </w:p>
        </w:tc>
        <w:tc>
          <w:tcPr>
            <w:tcW w:w="1730"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6208"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一类功能区</w:t>
            </w:r>
          </w:p>
        </w:tc>
        <w:tc>
          <w:tcPr>
            <w:tcW w:w="1730"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cs="Times New Roman"/>
                <w:highlight w:val="none"/>
              </w:rPr>
            </w:pPr>
          </w:p>
        </w:tc>
      </w:tr>
    </w:tbl>
    <w:p>
      <w:pPr>
        <w:widowControl/>
        <w:snapToGrid w:val="0"/>
        <w:jc w:val="left"/>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（二）大气污染防治类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pStyle w:val="11"/>
              <w:snapToGrid w:val="0"/>
              <w:jc w:val="center"/>
              <w:rPr>
                <w:rFonts w:ascii="Times New Roman" w:hAnsi="Times New Roman" w:eastAsia="仿宋_GB2312" w:cs="Times New Roman"/>
                <w:color w:val="000000"/>
                <w:kern w:val="2"/>
                <w:sz w:val="21"/>
                <w:szCs w:val="21"/>
                <w:highlight w:val="none"/>
              </w:rPr>
            </w:pPr>
            <w:r>
              <w:rPr>
                <w:rFonts w:hint="eastAsia" w:ascii="Times New Roman" w:hAnsi="Times New Roman" w:eastAsia="仿宋_GB2312" w:cs="仿宋_GB2312"/>
                <w:color w:val="000000"/>
                <w:sz w:val="21"/>
                <w:szCs w:val="21"/>
                <w:highlight w:val="none"/>
              </w:rPr>
              <w:t>装卸物料未采取密闭或者喷淋等方式控制扬尘排放的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1"/>
              <w:snapToGrid w:val="0"/>
              <w:spacing w:before="62" w:beforeLines="20" w:line="288" w:lineRule="auto"/>
              <w:ind w:firstLine="357"/>
              <w:jc w:val="both"/>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《中华人民共和国大气污染防治法》第七十条第二款</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装卸物料应当采取密闭或者喷淋等方式防治扬尘污染。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1"/>
              <w:snapToGrid w:val="0"/>
              <w:spacing w:before="62" w:beforeLines="20" w:line="288" w:lineRule="auto"/>
              <w:ind w:firstLine="357"/>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《中华人民共和国大气污染防治法》第一百一十七条第（三）项</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违反本法规定，有下列行为之一的，由县级以上人民政府生态环境等主管部门按照职责责令改正，处一万元以上十万元以下的罚款；拒不改正的，责令停工整治或者停业整治：</w:t>
            </w:r>
          </w:p>
          <w:p>
            <w:pPr>
              <w:pStyle w:val="11"/>
              <w:snapToGrid w:val="0"/>
              <w:spacing w:line="288" w:lineRule="auto"/>
              <w:ind w:firstLine="36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（三）</w:t>
            </w:r>
            <w:r>
              <w:rPr>
                <w:rFonts w:hint="eastAsia" w:ascii="Times New Roman" w:hAnsi="Times New Roman" w:eastAsia="仿宋_GB2312" w:cs="仿宋_GB2312"/>
                <w:sz w:val="21"/>
                <w:szCs w:val="21"/>
                <w:highlight w:val="none"/>
              </w:rPr>
              <w:t>装卸物料未采取密闭或者喷淋等方式控制扬尘排放的。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45" w:type="dxa"/>
            <w:vAlign w:val="bottom"/>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密闭不严，或喷淋不及时的</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bottom"/>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未采取防治扬尘污染措施的</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项目建设</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地点</w:t>
            </w: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highlight w:val="none"/>
              </w:rPr>
              <w:t>二类功能区（工业区和农村地区）</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二类功能区（居民区、商业交通居民混合区、文化区）</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一类功能区</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cs="Times New Roman"/>
                <w:highlight w:val="none"/>
              </w:rPr>
            </w:pPr>
          </w:p>
        </w:tc>
      </w:tr>
    </w:tbl>
    <w:p>
      <w:pPr>
        <w:widowControl/>
        <w:snapToGrid w:val="0"/>
        <w:jc w:val="left"/>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641"/>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（二）大气污染防治类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pStyle w:val="11"/>
              <w:snapToGrid w:val="0"/>
              <w:jc w:val="center"/>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sz w:val="21"/>
                <w:szCs w:val="21"/>
                <w:highlight w:val="none"/>
              </w:rPr>
              <w:t>存放煤炭、煤矸石、煤渣、煤灰等物料，未采取防燃措施的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1"/>
              <w:snapToGrid w:val="0"/>
              <w:spacing w:before="62" w:beforeLines="20" w:line="288" w:lineRule="auto"/>
              <w:ind w:firstLine="357"/>
              <w:jc w:val="both"/>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《中华人民共和国大气污染防治法》第三十五条第二款</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单位存放煤炭、煤矸石、煤渣、煤灰等物料，应当采取防燃措施，防止大气污染。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1"/>
              <w:snapToGrid w:val="0"/>
              <w:spacing w:before="62" w:beforeLines="20" w:line="288" w:lineRule="auto"/>
              <w:ind w:firstLine="357"/>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《中华人民共和国大气污染防治法》第一百一十七条第（四）项</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违反本法规定，有下列行为之一的，由县级以上人民政府生态环境等主管部门按照职责责令改正，处一万元以上十万元以下的罚款；拒不改正的，责令停工整治或者停业整治：</w:t>
            </w:r>
          </w:p>
          <w:p>
            <w:pPr>
              <w:pStyle w:val="11"/>
              <w:snapToGrid w:val="0"/>
              <w:spacing w:line="288" w:lineRule="auto"/>
              <w:ind w:firstLine="36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（四）</w:t>
            </w:r>
            <w:r>
              <w:rPr>
                <w:rFonts w:hint="eastAsia" w:ascii="Times New Roman" w:hAnsi="Times New Roman" w:eastAsia="仿宋_GB2312" w:cs="仿宋_GB2312"/>
                <w:sz w:val="21"/>
                <w:szCs w:val="21"/>
                <w:highlight w:val="none"/>
              </w:rPr>
              <w:t>存放煤炭、煤矸石、煤渣、煤灰等物料，未采取防燃措施的。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64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29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64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未规范采取防燃措施的</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部分物料采取防燃措施的</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未采取防燃措施的</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项目建设</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地点</w:t>
            </w: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highlight w:val="none"/>
              </w:rPr>
              <w:t>二类功能区（工业区和农村地区）</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二类功能区（居民区、商业交通居民混合区、文化区）</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一类功能区</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物料存放量</w:t>
            </w:r>
          </w:p>
        </w:tc>
        <w:tc>
          <w:tcPr>
            <w:tcW w:w="5641" w:type="dxa"/>
            <w:vAlign w:val="center"/>
          </w:tcPr>
          <w:p>
            <w:pPr>
              <w:pStyle w:val="12"/>
              <w:snapToGrid w:val="0"/>
              <w:spacing w:before="0" w:beforeAutospacing="0" w:after="0" w:afterAutospacing="0"/>
              <w:jc w:val="center"/>
              <w:rPr>
                <w:rFonts w:ascii="Times New Roman" w:hAnsi="Times New Roman" w:eastAsia="仿宋_GB2312" w:cs="Times New Roman"/>
                <w:color w:val="000000"/>
                <w:kern w:val="2"/>
                <w:sz w:val="21"/>
                <w:szCs w:val="21"/>
                <w:highlight w:val="none"/>
              </w:rPr>
            </w:pPr>
            <w:r>
              <w:rPr>
                <w:rFonts w:hint="eastAsia" w:ascii="Times New Roman" w:hAnsi="Times New Roman" w:eastAsia="仿宋_GB2312" w:cs="仿宋_GB2312"/>
                <w:color w:val="000000"/>
                <w:kern w:val="2"/>
                <w:sz w:val="21"/>
                <w:szCs w:val="21"/>
                <w:highlight w:val="none"/>
              </w:rPr>
              <w:t>1</w:t>
            </w:r>
            <w:r>
              <w:rPr>
                <w:rFonts w:ascii="Times New Roman" w:hAnsi="Times New Roman" w:eastAsia="仿宋_GB2312" w:cs="仿宋_GB2312"/>
                <w:color w:val="000000"/>
                <w:kern w:val="2"/>
                <w:sz w:val="21"/>
                <w:szCs w:val="21"/>
                <w:highlight w:val="none"/>
              </w:rPr>
              <w:t>0</w:t>
            </w:r>
            <w:r>
              <w:rPr>
                <w:rFonts w:hint="eastAsia" w:ascii="Times New Roman" w:hAnsi="Times New Roman" w:eastAsia="仿宋_GB2312" w:cs="仿宋_GB2312"/>
                <w:color w:val="000000"/>
                <w:kern w:val="2"/>
                <w:sz w:val="21"/>
                <w:szCs w:val="21"/>
                <w:highlight w:val="none"/>
              </w:rPr>
              <w:t>吨</w:t>
            </w:r>
            <w:r>
              <w:rPr>
                <w:rFonts w:ascii="Times New Roman" w:hAnsi="Times New Roman" w:eastAsia="仿宋_GB2312" w:cs="仿宋_GB2312"/>
                <w:color w:val="000000"/>
                <w:kern w:val="2"/>
                <w:sz w:val="21"/>
                <w:szCs w:val="21"/>
                <w:highlight w:val="none"/>
              </w:rPr>
              <w:t>以下的</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pStyle w:val="12"/>
              <w:snapToGrid w:val="0"/>
              <w:spacing w:before="0" w:beforeAutospacing="0" w:after="0" w:afterAutospacing="0"/>
              <w:jc w:val="center"/>
              <w:rPr>
                <w:rFonts w:ascii="Times New Roman" w:hAnsi="Times New Roman" w:eastAsia="仿宋_GB2312" w:cs="Times New Roman"/>
                <w:color w:val="000000"/>
                <w:kern w:val="2"/>
                <w:sz w:val="21"/>
                <w:szCs w:val="21"/>
                <w:highlight w:val="none"/>
              </w:rPr>
            </w:pPr>
            <w:r>
              <w:rPr>
                <w:rFonts w:ascii="Times New Roman" w:hAnsi="Times New Roman" w:eastAsia="仿宋_GB2312" w:cs="Times New Roman"/>
                <w:color w:val="000000"/>
                <w:kern w:val="2"/>
                <w:sz w:val="21"/>
                <w:szCs w:val="21"/>
                <w:highlight w:val="none"/>
              </w:rPr>
              <w:t>10</w:t>
            </w:r>
            <w:r>
              <w:rPr>
                <w:rFonts w:hint="eastAsia" w:ascii="Times New Roman" w:hAnsi="Times New Roman" w:eastAsia="仿宋_GB2312" w:cs="仿宋_GB2312"/>
                <w:color w:val="000000"/>
                <w:kern w:val="2"/>
                <w:sz w:val="21"/>
                <w:szCs w:val="21"/>
                <w:highlight w:val="none"/>
              </w:rPr>
              <w:t>吨以上5</w:t>
            </w:r>
            <w:r>
              <w:rPr>
                <w:rFonts w:ascii="Times New Roman" w:hAnsi="Times New Roman" w:eastAsia="仿宋_GB2312" w:cs="仿宋_GB2312"/>
                <w:color w:val="000000"/>
                <w:kern w:val="2"/>
                <w:sz w:val="21"/>
                <w:szCs w:val="21"/>
                <w:highlight w:val="none"/>
              </w:rPr>
              <w:t>0</w:t>
            </w:r>
            <w:r>
              <w:rPr>
                <w:rFonts w:hint="eastAsia" w:ascii="Times New Roman" w:hAnsi="Times New Roman" w:eastAsia="仿宋_GB2312" w:cs="仿宋_GB2312"/>
                <w:color w:val="000000"/>
                <w:kern w:val="2"/>
                <w:sz w:val="21"/>
                <w:szCs w:val="21"/>
                <w:highlight w:val="none"/>
              </w:rPr>
              <w:t>吨以下</w:t>
            </w:r>
            <w:r>
              <w:rPr>
                <w:rFonts w:ascii="Times New Roman" w:hAnsi="Times New Roman" w:eastAsia="仿宋_GB2312" w:cs="仿宋_GB2312"/>
                <w:color w:val="000000"/>
                <w:kern w:val="2"/>
                <w:sz w:val="21"/>
                <w:szCs w:val="21"/>
                <w:highlight w:val="none"/>
              </w:rPr>
              <w:t>的</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pStyle w:val="12"/>
              <w:snapToGrid w:val="0"/>
              <w:spacing w:before="0" w:beforeAutospacing="0" w:after="0" w:afterAutospacing="0"/>
              <w:jc w:val="center"/>
              <w:rPr>
                <w:rFonts w:ascii="Times New Roman" w:hAnsi="Times New Roman" w:eastAsia="仿宋_GB2312" w:cs="Times New Roman"/>
                <w:color w:val="000000"/>
                <w:kern w:val="2"/>
                <w:sz w:val="21"/>
                <w:szCs w:val="21"/>
                <w:highlight w:val="none"/>
              </w:rPr>
            </w:pPr>
            <w:r>
              <w:rPr>
                <w:rFonts w:hint="eastAsia" w:ascii="Times New Roman" w:hAnsi="Times New Roman" w:eastAsia="仿宋_GB2312" w:cs="Times New Roman"/>
                <w:color w:val="000000"/>
                <w:kern w:val="2"/>
                <w:sz w:val="21"/>
                <w:szCs w:val="21"/>
                <w:highlight w:val="none"/>
              </w:rPr>
              <w:t>50吨</w:t>
            </w:r>
            <w:r>
              <w:rPr>
                <w:rFonts w:ascii="Times New Roman" w:hAnsi="Times New Roman" w:eastAsia="仿宋_GB2312" w:cs="Times New Roman"/>
                <w:color w:val="000000"/>
                <w:kern w:val="2"/>
                <w:sz w:val="21"/>
                <w:szCs w:val="21"/>
                <w:highlight w:val="none"/>
              </w:rPr>
              <w:t>以上</w:t>
            </w:r>
            <w:r>
              <w:rPr>
                <w:rFonts w:hint="eastAsia" w:ascii="Times New Roman" w:hAnsi="Times New Roman" w:eastAsia="仿宋_GB2312" w:cs="Times New Roman"/>
                <w:color w:val="000000"/>
                <w:kern w:val="2"/>
                <w:sz w:val="21"/>
                <w:szCs w:val="21"/>
                <w:highlight w:val="none"/>
              </w:rPr>
              <w:t>100吨</w:t>
            </w:r>
            <w:r>
              <w:rPr>
                <w:rFonts w:ascii="Times New Roman" w:hAnsi="Times New Roman" w:eastAsia="仿宋_GB2312" w:cs="Times New Roman"/>
                <w:color w:val="000000"/>
                <w:kern w:val="2"/>
                <w:sz w:val="21"/>
                <w:szCs w:val="21"/>
                <w:highlight w:val="none"/>
              </w:rPr>
              <w:t>以下</w:t>
            </w:r>
            <w:r>
              <w:rPr>
                <w:rFonts w:hint="eastAsia" w:ascii="Times New Roman" w:hAnsi="Times New Roman" w:eastAsia="仿宋_GB2312" w:cs="Times New Roman"/>
                <w:color w:val="000000"/>
                <w:kern w:val="2"/>
                <w:sz w:val="21"/>
                <w:szCs w:val="21"/>
                <w:highlight w:val="none"/>
              </w:rPr>
              <w:t>的</w:t>
            </w:r>
          </w:p>
        </w:tc>
        <w:tc>
          <w:tcPr>
            <w:tcW w:w="2297"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pStyle w:val="12"/>
              <w:snapToGrid w:val="0"/>
              <w:spacing w:before="0" w:beforeAutospacing="0" w:after="0" w:afterAutospacing="0"/>
              <w:jc w:val="center"/>
              <w:rPr>
                <w:rFonts w:ascii="Times New Roman" w:hAnsi="Times New Roman" w:eastAsia="仿宋_GB2312" w:cs="Times New Roman"/>
                <w:color w:val="000000"/>
                <w:kern w:val="2"/>
                <w:sz w:val="21"/>
                <w:szCs w:val="21"/>
                <w:highlight w:val="none"/>
              </w:rPr>
            </w:pPr>
            <w:r>
              <w:rPr>
                <w:rFonts w:hint="eastAsia" w:ascii="Times New Roman" w:hAnsi="Times New Roman" w:eastAsia="仿宋_GB2312" w:cs="Times New Roman"/>
                <w:color w:val="000000"/>
                <w:kern w:val="2"/>
                <w:sz w:val="21"/>
                <w:szCs w:val="21"/>
                <w:highlight w:val="none"/>
              </w:rPr>
              <w:t>100吨</w:t>
            </w:r>
            <w:r>
              <w:rPr>
                <w:rFonts w:ascii="Times New Roman" w:hAnsi="Times New Roman" w:eastAsia="仿宋_GB2312" w:cs="Times New Roman"/>
                <w:color w:val="000000"/>
                <w:kern w:val="2"/>
                <w:sz w:val="21"/>
                <w:szCs w:val="21"/>
                <w:highlight w:val="none"/>
              </w:rPr>
              <w:t>以</w:t>
            </w:r>
            <w:r>
              <w:rPr>
                <w:rFonts w:hint="eastAsia" w:ascii="Times New Roman" w:hAnsi="Times New Roman" w:eastAsia="仿宋_GB2312" w:cs="Times New Roman"/>
                <w:color w:val="000000"/>
                <w:kern w:val="2"/>
                <w:sz w:val="21"/>
                <w:szCs w:val="21"/>
                <w:highlight w:val="none"/>
              </w:rPr>
              <w:t>上300吨</w:t>
            </w:r>
            <w:r>
              <w:rPr>
                <w:rFonts w:ascii="Times New Roman" w:hAnsi="Times New Roman" w:eastAsia="仿宋_GB2312" w:cs="Times New Roman"/>
                <w:color w:val="000000"/>
                <w:kern w:val="2"/>
                <w:sz w:val="21"/>
                <w:szCs w:val="21"/>
                <w:highlight w:val="none"/>
              </w:rPr>
              <w:t>以下的</w:t>
            </w:r>
          </w:p>
        </w:tc>
        <w:tc>
          <w:tcPr>
            <w:tcW w:w="2297"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pStyle w:val="12"/>
              <w:snapToGrid w:val="0"/>
              <w:spacing w:before="0" w:beforeAutospacing="0" w:after="0" w:afterAutospacing="0"/>
              <w:jc w:val="center"/>
              <w:rPr>
                <w:rFonts w:ascii="Times New Roman" w:hAnsi="Times New Roman" w:eastAsia="仿宋_GB2312" w:cs="Times New Roman"/>
                <w:color w:val="000000"/>
                <w:kern w:val="2"/>
                <w:sz w:val="21"/>
                <w:szCs w:val="21"/>
                <w:highlight w:val="none"/>
              </w:rPr>
            </w:pPr>
            <w:r>
              <w:rPr>
                <w:rFonts w:ascii="Times New Roman" w:hAnsi="Times New Roman" w:eastAsia="仿宋_GB2312" w:cs="Times New Roman"/>
                <w:color w:val="000000"/>
                <w:kern w:val="2"/>
                <w:sz w:val="21"/>
                <w:szCs w:val="21"/>
                <w:highlight w:val="none"/>
              </w:rPr>
              <w:t>300</w:t>
            </w:r>
            <w:r>
              <w:rPr>
                <w:rFonts w:hint="eastAsia" w:ascii="Times New Roman" w:hAnsi="Times New Roman" w:eastAsia="仿宋_GB2312" w:cs="仿宋_GB2312"/>
                <w:color w:val="000000"/>
                <w:kern w:val="2"/>
                <w:sz w:val="21"/>
                <w:szCs w:val="21"/>
                <w:highlight w:val="none"/>
              </w:rPr>
              <w:t>吨以上的</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cs="Times New Roman"/>
                <w:highlight w:val="none"/>
              </w:rPr>
            </w:pPr>
          </w:p>
        </w:tc>
      </w:tr>
    </w:tbl>
    <w:p>
      <w:pPr>
        <w:widowControl/>
        <w:snapToGrid w:val="0"/>
        <w:jc w:val="left"/>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（二）大气污染防治类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pStyle w:val="11"/>
              <w:snapToGrid w:val="0"/>
              <w:jc w:val="center"/>
              <w:rPr>
                <w:rFonts w:ascii="Times New Roman" w:hAnsi="Times New Roman" w:eastAsia="仿宋_GB2312" w:cs="Times New Roman"/>
                <w:color w:val="000000"/>
                <w:kern w:val="2"/>
                <w:sz w:val="21"/>
                <w:szCs w:val="21"/>
                <w:highlight w:val="none"/>
              </w:rPr>
            </w:pPr>
            <w:r>
              <w:rPr>
                <w:rFonts w:hint="eastAsia" w:ascii="Times New Roman" w:hAnsi="Times New Roman" w:eastAsia="仿宋_GB2312" w:cs="仿宋_GB2312"/>
                <w:color w:val="000000"/>
                <w:sz w:val="21"/>
                <w:szCs w:val="21"/>
                <w:highlight w:val="none"/>
              </w:rPr>
              <w:t>码头、矿山、填埋场和消纳场未采取有效措施防治扬尘污染的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1"/>
              <w:snapToGrid w:val="0"/>
              <w:spacing w:before="62" w:beforeLines="20" w:line="288" w:lineRule="auto"/>
              <w:ind w:firstLine="357"/>
              <w:jc w:val="both"/>
              <w:rPr>
                <w:rFonts w:ascii="Times New Roman" w:hAnsi="Times New Roman" w:eastAsia="仿宋_GB2312" w:cs="Times New Roman"/>
                <w:sz w:val="21"/>
                <w:szCs w:val="21"/>
                <w:highlight w:val="none"/>
              </w:rPr>
            </w:pPr>
            <w:r>
              <w:rPr>
                <w:rFonts w:ascii="Times New Roman" w:hAnsi="Times New Roman" w:eastAsia="仿宋_GB2312" w:cs="Times New Roman"/>
                <w:b/>
                <w:bCs/>
                <w:sz w:val="21"/>
                <w:szCs w:val="21"/>
                <w:highlight w:val="none"/>
              </w:rPr>
              <w:t>1.</w:t>
            </w:r>
            <w:r>
              <w:rPr>
                <w:rFonts w:hint="eastAsia" w:ascii="Times New Roman" w:hAnsi="Times New Roman" w:eastAsia="仿宋_GB2312" w:cs="仿宋_GB2312"/>
                <w:b/>
                <w:bCs/>
                <w:sz w:val="21"/>
                <w:szCs w:val="21"/>
                <w:highlight w:val="none"/>
              </w:rPr>
              <w:t>《中华人民共和国大气污染防治法》第七十二条第二款</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贮存煤炭、煤矸石、煤渣、煤灰、水泥、石灰、石膏、砂土等易产生扬尘的物料应当密闭；不能密闭的，应当设置不低于堆放物高度的严密围挡，并采取有效覆盖措施防治扬尘污染。</w:t>
            </w:r>
          </w:p>
          <w:p>
            <w:pPr>
              <w:pStyle w:val="11"/>
              <w:snapToGrid w:val="0"/>
              <w:spacing w:line="288" w:lineRule="auto"/>
              <w:ind w:firstLine="360"/>
              <w:jc w:val="both"/>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码头、矿山、填埋场和消纳场应当实施分区作业，并采取有效措施防治扬尘污染。</w:t>
            </w:r>
          </w:p>
          <w:p>
            <w:pPr>
              <w:pStyle w:val="11"/>
              <w:snapToGrid w:val="0"/>
              <w:spacing w:line="288" w:lineRule="auto"/>
              <w:ind w:firstLine="360"/>
              <w:jc w:val="both"/>
              <w:rPr>
                <w:rFonts w:ascii="Times New Roman" w:hAnsi="Times New Roman" w:eastAsia="仿宋_GB2312" w:cs="Times New Roman"/>
                <w:kern w:val="2"/>
                <w:sz w:val="21"/>
                <w:szCs w:val="21"/>
                <w:highlight w:val="none"/>
              </w:rPr>
            </w:pPr>
            <w:r>
              <w:rPr>
                <w:rFonts w:ascii="Times New Roman" w:hAnsi="Times New Roman" w:eastAsia="仿宋_GB2312" w:cs="Times New Roman"/>
                <w:b/>
                <w:bCs/>
                <w:kern w:val="2"/>
                <w:sz w:val="21"/>
                <w:szCs w:val="21"/>
                <w:highlight w:val="none"/>
              </w:rPr>
              <w:t>2.</w:t>
            </w:r>
            <w:r>
              <w:rPr>
                <w:rFonts w:hint="eastAsia" w:ascii="Times New Roman" w:hAnsi="Times New Roman" w:eastAsia="仿宋_GB2312" w:cs="仿宋_GB2312"/>
                <w:b/>
                <w:bCs/>
                <w:kern w:val="2"/>
                <w:sz w:val="21"/>
                <w:szCs w:val="21"/>
                <w:highlight w:val="none"/>
              </w:rPr>
              <w:t>《山东省大气污染防治条例》第五十三条</w:t>
            </w:r>
            <w:r>
              <w:rPr>
                <w:rFonts w:ascii="Times New Roman" w:hAnsi="Times New Roman" w:eastAsia="仿宋_GB2312" w:cs="Times New Roman"/>
                <w:b/>
                <w:bCs/>
                <w:kern w:val="2"/>
                <w:sz w:val="21"/>
                <w:szCs w:val="21"/>
                <w:highlight w:val="none"/>
              </w:rPr>
              <w:t xml:space="preserve"> </w:t>
            </w:r>
            <w:r>
              <w:rPr>
                <w:rFonts w:hint="eastAsia" w:ascii="Times New Roman" w:hAnsi="Times New Roman" w:eastAsia="仿宋_GB2312" w:cs="仿宋_GB2312"/>
                <w:kern w:val="2"/>
                <w:sz w:val="21"/>
                <w:szCs w:val="21"/>
                <w:highlight w:val="none"/>
              </w:rPr>
              <w:t>钢铁、火电、建材、焦化等企业和港口、码头、车站的物料堆放场所，应当按照要求进行地面和道路硬化，采取密闭、围挡、遮盖、喷淋、绿化、设置防风抑尘网等措施，并设置车辆清洗设施。</w:t>
            </w:r>
          </w:p>
          <w:p>
            <w:pPr>
              <w:pStyle w:val="11"/>
              <w:snapToGrid w:val="0"/>
              <w:spacing w:line="288" w:lineRule="auto"/>
              <w:ind w:firstLine="360"/>
              <w:jc w:val="both"/>
              <w:rPr>
                <w:rFonts w:ascii="Times New Roman" w:hAnsi="Times New Roman" w:eastAsia="仿宋_GB2312" w:cs="Times New Roman"/>
                <w:kern w:val="2"/>
                <w:sz w:val="21"/>
                <w:szCs w:val="21"/>
                <w:highlight w:val="none"/>
              </w:rPr>
            </w:pPr>
            <w:r>
              <w:rPr>
                <w:rFonts w:ascii="Times New Roman" w:hAnsi="Times New Roman" w:eastAsia="仿宋_GB2312" w:cs="Times New Roman"/>
                <w:b/>
                <w:bCs/>
                <w:kern w:val="2"/>
                <w:sz w:val="21"/>
                <w:szCs w:val="21"/>
                <w:highlight w:val="none"/>
              </w:rPr>
              <w:t>3.</w:t>
            </w:r>
            <w:r>
              <w:rPr>
                <w:rFonts w:hint="eastAsia" w:ascii="Times New Roman" w:hAnsi="Times New Roman" w:eastAsia="仿宋_GB2312" w:cs="仿宋_GB2312"/>
                <w:b/>
                <w:bCs/>
                <w:kern w:val="2"/>
                <w:sz w:val="21"/>
                <w:szCs w:val="21"/>
                <w:highlight w:val="none"/>
              </w:rPr>
              <w:t>《山东省大气污染防治条例》第五十四条</w:t>
            </w:r>
            <w:r>
              <w:rPr>
                <w:rFonts w:ascii="Times New Roman" w:hAnsi="Times New Roman" w:eastAsia="仿宋_GB2312" w:cs="Times New Roman"/>
                <w:b/>
                <w:bCs/>
                <w:kern w:val="2"/>
                <w:sz w:val="21"/>
                <w:szCs w:val="21"/>
                <w:highlight w:val="none"/>
              </w:rPr>
              <w:t xml:space="preserve"> </w:t>
            </w:r>
            <w:r>
              <w:rPr>
                <w:rFonts w:hint="eastAsia" w:ascii="Times New Roman" w:hAnsi="Times New Roman" w:eastAsia="仿宋_GB2312" w:cs="仿宋_GB2312"/>
                <w:kern w:val="2"/>
                <w:sz w:val="21"/>
                <w:szCs w:val="21"/>
                <w:highlight w:val="none"/>
              </w:rPr>
              <w:t>垃圾填埋场和建筑垃圾消纳场应当实施分区作业，采取围挡、覆盖、喷淋、道路硬化或者其他抑尘措施，并设置车辆清洗设施。</w:t>
            </w:r>
          </w:p>
          <w:p>
            <w:pPr>
              <w:pStyle w:val="11"/>
              <w:snapToGrid w:val="0"/>
              <w:spacing w:line="288" w:lineRule="auto"/>
              <w:ind w:firstLine="360"/>
              <w:rPr>
                <w:rFonts w:ascii="Times New Roman" w:hAnsi="Times New Roman" w:eastAsia="仿宋_GB2312" w:cs="Times New Roman"/>
                <w:sz w:val="21"/>
                <w:szCs w:val="21"/>
                <w:highlight w:val="none"/>
              </w:rPr>
            </w:pPr>
            <w:r>
              <w:rPr>
                <w:rFonts w:ascii="Times New Roman" w:hAnsi="Times New Roman" w:eastAsia="仿宋_GB2312" w:cs="Times New Roman"/>
                <w:b/>
                <w:bCs/>
                <w:sz w:val="21"/>
                <w:szCs w:val="21"/>
                <w:highlight w:val="none"/>
              </w:rPr>
              <w:t>4.</w:t>
            </w:r>
            <w:r>
              <w:rPr>
                <w:rFonts w:hint="eastAsia" w:ascii="Times New Roman" w:hAnsi="Times New Roman" w:eastAsia="仿宋_GB2312" w:cs="仿宋_GB2312"/>
                <w:b/>
                <w:bCs/>
                <w:sz w:val="21"/>
                <w:szCs w:val="21"/>
                <w:highlight w:val="none"/>
              </w:rPr>
              <w:t>《山东省扬尘污染防治管理办法》第十四条</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码头、堆场、露天仓库的物料堆存应当遵守下列防尘规定：</w:t>
            </w:r>
          </w:p>
          <w:p>
            <w:pPr>
              <w:pStyle w:val="11"/>
              <w:snapToGrid w:val="0"/>
              <w:spacing w:line="288" w:lineRule="auto"/>
              <w:ind w:firstLine="36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（一）堆场的场坪、路面应当进行硬化处理，并保持路面整洁；</w:t>
            </w:r>
          </w:p>
          <w:p>
            <w:pPr>
              <w:pStyle w:val="11"/>
              <w:snapToGrid w:val="0"/>
              <w:spacing w:line="288" w:lineRule="auto"/>
              <w:ind w:firstLine="36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（二）堆场周边应当配备高于堆存物料的围挡、防风抑尘网等设施；大型堆场应当配置车辆清洗专用设施；</w:t>
            </w:r>
          </w:p>
          <w:p>
            <w:pPr>
              <w:pStyle w:val="11"/>
              <w:snapToGrid w:val="0"/>
              <w:spacing w:line="288" w:lineRule="auto"/>
              <w:ind w:firstLine="36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（三）对堆场物料应当根据物料类别采取相应的覆盖、喷淋和围挡等防风抑尘措施；</w:t>
            </w:r>
          </w:p>
          <w:p>
            <w:pPr>
              <w:pStyle w:val="11"/>
              <w:snapToGrid w:val="0"/>
              <w:spacing w:line="288" w:lineRule="auto"/>
              <w:ind w:firstLine="360"/>
              <w:jc w:val="both"/>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（四）露天装卸物料应当采取洒水、喷淋等抑尘措施；密闭输送物料应当在装料、卸料处配备吸尘、喷淋等防尘设施。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1"/>
              <w:snapToGrid w:val="0"/>
              <w:spacing w:before="62" w:beforeLines="20" w:line="288" w:lineRule="auto"/>
              <w:ind w:firstLine="357"/>
              <w:rPr>
                <w:rFonts w:ascii="Times New Roman" w:hAnsi="Times New Roman" w:eastAsia="仿宋_GB2312" w:cs="Times New Roman"/>
                <w:kern w:val="2"/>
                <w:sz w:val="21"/>
                <w:szCs w:val="21"/>
                <w:highlight w:val="none"/>
              </w:rPr>
            </w:pPr>
            <w:r>
              <w:rPr>
                <w:rFonts w:ascii="Times New Roman" w:hAnsi="Times New Roman" w:eastAsia="仿宋_GB2312" w:cs="Times New Roman"/>
                <w:b/>
                <w:bCs/>
                <w:kern w:val="2"/>
                <w:sz w:val="21"/>
                <w:szCs w:val="21"/>
                <w:highlight w:val="none"/>
              </w:rPr>
              <w:t>1.</w:t>
            </w:r>
            <w:r>
              <w:rPr>
                <w:rFonts w:hint="eastAsia" w:ascii="Times New Roman" w:hAnsi="Times New Roman" w:eastAsia="仿宋_GB2312" w:cs="仿宋_GB2312"/>
                <w:b/>
                <w:bCs/>
                <w:kern w:val="2"/>
                <w:sz w:val="21"/>
                <w:szCs w:val="21"/>
                <w:highlight w:val="none"/>
              </w:rPr>
              <w:t>《中华人民共和国大气污染防治法》第一百一十七条第（五）项</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违反本法规定，有下列行为之一的，由县级以上人民政府生态环境等主管部门按照职责责令改正，处一万元以上十万元以下的罚款；拒不改正的，责令停工整治或者停业整治：</w:t>
            </w:r>
          </w:p>
          <w:p>
            <w:pPr>
              <w:pStyle w:val="11"/>
              <w:snapToGrid w:val="0"/>
              <w:spacing w:line="288" w:lineRule="auto"/>
              <w:ind w:firstLine="36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（五）码头、矿山、填埋场和消纳场未采取有效措施防治扬尘污染的。</w:t>
            </w:r>
          </w:p>
          <w:p>
            <w:pPr>
              <w:pStyle w:val="11"/>
              <w:snapToGrid w:val="0"/>
              <w:spacing w:line="288" w:lineRule="auto"/>
              <w:ind w:firstLine="360"/>
              <w:rPr>
                <w:rFonts w:ascii="Times New Roman" w:hAnsi="Times New Roman" w:eastAsia="仿宋_GB2312" w:cs="Times New Roman"/>
                <w:sz w:val="21"/>
                <w:szCs w:val="21"/>
                <w:highlight w:val="none"/>
              </w:rPr>
            </w:pPr>
            <w:r>
              <w:rPr>
                <w:rFonts w:ascii="Times New Roman" w:hAnsi="Times New Roman" w:eastAsia="仿宋_GB2312" w:cs="Times New Roman"/>
                <w:b/>
                <w:bCs/>
                <w:kern w:val="2"/>
                <w:sz w:val="21"/>
                <w:szCs w:val="21"/>
                <w:highlight w:val="none"/>
              </w:rPr>
              <w:t>2.</w:t>
            </w:r>
            <w:r>
              <w:rPr>
                <w:rFonts w:hint="eastAsia" w:ascii="Times New Roman" w:hAnsi="Times New Roman" w:eastAsia="仿宋_GB2312" w:cs="仿宋_GB2312"/>
                <w:b/>
                <w:bCs/>
                <w:kern w:val="2"/>
                <w:sz w:val="21"/>
                <w:szCs w:val="21"/>
                <w:highlight w:val="none"/>
              </w:rPr>
              <w:t>《山东省大气污染防治条例》第七十七条第（一）（二）项</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违反本条例规定，有下列行为之一的，由县级以上人民政府生态环境主管部门或者其他负有监督管理职责的部门责令改正，处一万元以上十万元以下的罚款；拒不改正的，责令停工整治、停产整治或者停业整治，依法作出处罚决定的部门可以自责令改正之日的次日起，按照原处罚数额按日连续处罚：</w:t>
            </w:r>
          </w:p>
          <w:p>
            <w:pPr>
              <w:pStyle w:val="11"/>
              <w:snapToGrid w:val="0"/>
              <w:spacing w:line="288" w:lineRule="auto"/>
              <w:ind w:firstLine="36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（一）钢铁、火电、建材、焦化等企业和港口、码头、车展的物料堆放场所，未按照规定采取措施防治扬尘污染的；</w:t>
            </w:r>
          </w:p>
          <w:p>
            <w:pPr>
              <w:pStyle w:val="11"/>
              <w:snapToGrid w:val="0"/>
              <w:spacing w:line="288" w:lineRule="auto"/>
              <w:ind w:firstLine="36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（二）垃圾填埋场或者建筑垃圾消纳场未按照规定采取措施防治扬尘污染的。</w:t>
            </w:r>
          </w:p>
          <w:p>
            <w:pPr>
              <w:pStyle w:val="11"/>
              <w:snapToGrid w:val="0"/>
              <w:spacing w:line="288" w:lineRule="auto"/>
              <w:ind w:firstLine="360"/>
              <w:rPr>
                <w:rFonts w:ascii="Times New Roman" w:hAnsi="Times New Roman" w:eastAsia="仿宋_GB2312" w:cs="Times New Roman"/>
                <w:sz w:val="21"/>
                <w:szCs w:val="21"/>
                <w:highlight w:val="none"/>
              </w:rPr>
            </w:pPr>
            <w:r>
              <w:rPr>
                <w:rFonts w:ascii="Times New Roman" w:hAnsi="Times New Roman" w:eastAsia="仿宋_GB2312" w:cs="Times New Roman"/>
                <w:b/>
                <w:bCs/>
                <w:sz w:val="21"/>
                <w:szCs w:val="21"/>
                <w:highlight w:val="none"/>
              </w:rPr>
              <w:t>3.</w:t>
            </w:r>
            <w:r>
              <w:rPr>
                <w:rFonts w:hint="eastAsia" w:ascii="Times New Roman" w:hAnsi="Times New Roman" w:eastAsia="仿宋_GB2312" w:cs="仿宋_GB2312"/>
                <w:b/>
                <w:bCs/>
                <w:sz w:val="21"/>
                <w:szCs w:val="21"/>
                <w:highlight w:val="none"/>
              </w:rPr>
              <w:t>《山东省扬尘污染防治管理办法》第二十四条</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违反本办法规定，码头、堆场、露天仓库的物料堆存有下列情形之一的，由环境保护主管部门或者其他负有监督管理职责的部门责令改正，处</w:t>
            </w:r>
            <w:r>
              <w:rPr>
                <w:rFonts w:ascii="Times New Roman" w:hAnsi="Times New Roman" w:eastAsia="仿宋_GB2312" w:cs="Times New Roman"/>
                <w:sz w:val="21"/>
                <w:szCs w:val="21"/>
                <w:highlight w:val="none"/>
              </w:rPr>
              <w:t>1</w:t>
            </w:r>
            <w:r>
              <w:rPr>
                <w:rFonts w:hint="eastAsia" w:ascii="Times New Roman" w:hAnsi="Times New Roman" w:eastAsia="仿宋_GB2312" w:cs="仿宋_GB2312"/>
                <w:sz w:val="21"/>
                <w:szCs w:val="21"/>
                <w:highlight w:val="none"/>
              </w:rPr>
              <w:t>万元以上</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万元以下的罚款；拒不改正的，责令停工整治或者停业整治：</w:t>
            </w:r>
          </w:p>
          <w:p>
            <w:pPr>
              <w:pStyle w:val="11"/>
              <w:snapToGrid w:val="0"/>
              <w:spacing w:line="288" w:lineRule="auto"/>
              <w:ind w:firstLine="36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（一）堆场的场坪、路面未进行硬化处理，路面未保持整洁的；</w:t>
            </w:r>
          </w:p>
          <w:p>
            <w:pPr>
              <w:pStyle w:val="11"/>
              <w:snapToGrid w:val="0"/>
              <w:spacing w:line="288" w:lineRule="auto"/>
              <w:ind w:firstLine="36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（二）堆场周边未配备高于堆场物料的围挡、防风抑尘网等设施的；</w:t>
            </w:r>
          </w:p>
          <w:p>
            <w:pPr>
              <w:pStyle w:val="11"/>
              <w:snapToGrid w:val="0"/>
              <w:spacing w:line="288" w:lineRule="auto"/>
              <w:ind w:firstLine="36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（三）大型堆场未配置车辆清洗专用设施的；</w:t>
            </w:r>
          </w:p>
          <w:p>
            <w:pPr>
              <w:pStyle w:val="11"/>
              <w:snapToGrid w:val="0"/>
              <w:spacing w:line="288" w:lineRule="auto"/>
              <w:ind w:firstLine="36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（四）对堆场物料未根据物料类别采取相应的覆盖、喷淋、围挡等防风抑尘措施的；</w:t>
            </w:r>
          </w:p>
          <w:p>
            <w:pPr>
              <w:pStyle w:val="11"/>
              <w:snapToGrid w:val="0"/>
              <w:spacing w:line="288" w:lineRule="auto"/>
              <w:ind w:firstLine="36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（五）露天装卸物料未采取洒水、喷淋等抑尘措施的；</w:t>
            </w:r>
          </w:p>
          <w:p>
            <w:pPr>
              <w:pStyle w:val="11"/>
              <w:snapToGrid w:val="0"/>
              <w:spacing w:line="288" w:lineRule="auto"/>
              <w:ind w:firstLine="360"/>
              <w:rPr>
                <w:rFonts w:ascii="Times New Roman" w:hAnsi="Times New Roman" w:eastAsia="仿宋_GB2312" w:cs="Times New Roman"/>
                <w:b/>
                <w:bCs/>
                <w:kern w:val="2"/>
                <w:sz w:val="21"/>
                <w:szCs w:val="21"/>
                <w:highlight w:val="none"/>
              </w:rPr>
            </w:pPr>
            <w:r>
              <w:rPr>
                <w:rFonts w:hint="eastAsia" w:ascii="Times New Roman" w:hAnsi="Times New Roman" w:eastAsia="仿宋_GB2312" w:cs="仿宋_GB2312"/>
                <w:sz w:val="21"/>
                <w:szCs w:val="21"/>
                <w:highlight w:val="none"/>
              </w:rPr>
              <w:t>（六）密闭输送物料未在装料、卸料处配备吸尘、喷淋等防尘设施的。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已采取防治扬尘污染措施，</w:t>
            </w:r>
            <w:r>
              <w:rPr>
                <w:rFonts w:ascii="Times New Roman" w:hAnsi="Times New Roman" w:eastAsia="仿宋_GB2312" w:cs="仿宋_GB2312"/>
                <w:highlight w:val="none"/>
              </w:rPr>
              <w:t>但</w:t>
            </w:r>
            <w:r>
              <w:rPr>
                <w:rFonts w:hint="eastAsia" w:ascii="Times New Roman" w:hAnsi="Times New Roman" w:eastAsia="仿宋_GB2312" w:cs="仿宋_GB2312"/>
                <w:highlight w:val="none"/>
              </w:rPr>
              <w:t>不规范的</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采取</w:t>
            </w:r>
            <w:r>
              <w:rPr>
                <w:rFonts w:ascii="Times New Roman" w:hAnsi="Times New Roman" w:eastAsia="仿宋_GB2312" w:cs="Times New Roman"/>
                <w:color w:val="000000"/>
                <w:highlight w:val="none"/>
              </w:rPr>
              <w:t>部分</w:t>
            </w:r>
            <w:r>
              <w:rPr>
                <w:rFonts w:hint="eastAsia" w:ascii="Times New Roman" w:hAnsi="Times New Roman" w:eastAsia="仿宋_GB2312" w:cs="Times New Roman"/>
                <w:color w:val="000000"/>
                <w:highlight w:val="none"/>
              </w:rPr>
              <w:t>防治</w:t>
            </w:r>
            <w:r>
              <w:rPr>
                <w:rFonts w:ascii="Times New Roman" w:hAnsi="Times New Roman" w:eastAsia="仿宋_GB2312" w:cs="Times New Roman"/>
                <w:color w:val="000000"/>
                <w:highlight w:val="none"/>
              </w:rPr>
              <w:t>扬尘污染措施的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未采取防治扬尘污染措施的</w:t>
            </w:r>
          </w:p>
        </w:tc>
        <w:tc>
          <w:tcPr>
            <w:tcW w:w="2693" w:type="dxa"/>
            <w:vAlign w:val="center"/>
          </w:tcPr>
          <w:p>
            <w:pPr>
              <w:snapToGrid w:val="0"/>
              <w:jc w:val="center"/>
              <w:rPr>
                <w:rFonts w:ascii="Times New Roman" w:hAnsi="Times New Roman" w:cs="Times New Roman"/>
                <w:highlight w:val="none"/>
              </w:rPr>
            </w:pPr>
            <w:r>
              <w:rPr>
                <w:rFonts w:hint="eastAsia"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项目建设</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地点</w:t>
            </w: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highlight w:val="none"/>
              </w:rPr>
              <w:t>二类功能区（工业区和农村地区）</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二类功能区（居民区、商业交通居民混合区、文化区）</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一类功能区</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物料</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占地面积</w:t>
            </w: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占地面积</w:t>
            </w:r>
            <w:bookmarkStart w:id="42" w:name="OLE_LINK26"/>
            <w:bookmarkStart w:id="43" w:name="OLE_LINK27"/>
            <w:r>
              <w:rPr>
                <w:rFonts w:ascii="Times New Roman" w:hAnsi="Times New Roman" w:eastAsia="仿宋_GB2312" w:cs="Times New Roman"/>
                <w:highlight w:val="none"/>
              </w:rPr>
              <w:t>100m</w:t>
            </w:r>
            <w:bookmarkEnd w:id="42"/>
            <w:bookmarkEnd w:id="43"/>
            <w:r>
              <w:rPr>
                <w:rFonts w:ascii="Times New Roman" w:hAnsi="Times New Roman" w:eastAsia="仿宋_GB2312" w:cs="Times New Roman"/>
                <w:highlight w:val="none"/>
                <w:vertAlign w:val="superscript"/>
              </w:rPr>
              <w:t>2</w:t>
            </w:r>
            <w:r>
              <w:rPr>
                <w:rFonts w:hint="eastAsia" w:ascii="Times New Roman" w:hAnsi="Times New Roman" w:eastAsia="仿宋_GB2312" w:cs="仿宋_GB2312"/>
                <w:highlight w:val="none"/>
              </w:rPr>
              <w:t>以内的</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占地面积</w:t>
            </w:r>
            <w:r>
              <w:rPr>
                <w:rFonts w:ascii="Times New Roman" w:hAnsi="Times New Roman" w:eastAsia="仿宋_GB2312" w:cs="Times New Roman"/>
                <w:highlight w:val="none"/>
              </w:rPr>
              <w:t>100m</w:t>
            </w:r>
            <w:r>
              <w:rPr>
                <w:rFonts w:ascii="Times New Roman" w:hAnsi="Times New Roman" w:eastAsia="仿宋_GB2312" w:cs="Times New Roman"/>
                <w:highlight w:val="none"/>
                <w:vertAlign w:val="superscript"/>
              </w:rPr>
              <w:t>2</w:t>
            </w:r>
            <w:r>
              <w:rPr>
                <w:rFonts w:hint="eastAsia" w:ascii="Times New Roman" w:hAnsi="Times New Roman" w:eastAsia="仿宋_GB2312" w:cs="仿宋_GB2312"/>
                <w:highlight w:val="none"/>
              </w:rPr>
              <w:t>以上</w:t>
            </w:r>
            <w:r>
              <w:rPr>
                <w:rFonts w:ascii="Times New Roman" w:hAnsi="Times New Roman" w:eastAsia="仿宋_GB2312" w:cs="Times New Roman"/>
                <w:highlight w:val="none"/>
              </w:rPr>
              <w:t>500m</w:t>
            </w:r>
            <w:r>
              <w:rPr>
                <w:rFonts w:ascii="Times New Roman" w:hAnsi="Times New Roman" w:eastAsia="仿宋_GB2312" w:cs="Times New Roman"/>
                <w:highlight w:val="none"/>
                <w:vertAlign w:val="superscript"/>
              </w:rPr>
              <w:t>2</w:t>
            </w:r>
            <w:r>
              <w:rPr>
                <w:rFonts w:hint="eastAsia" w:ascii="Times New Roman" w:hAnsi="Times New Roman" w:eastAsia="仿宋_GB2312" w:cs="仿宋_GB2312"/>
                <w:highlight w:val="none"/>
              </w:rPr>
              <w:t>以内的</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占地面积</w:t>
            </w:r>
            <w:r>
              <w:rPr>
                <w:rFonts w:ascii="Times New Roman" w:hAnsi="Times New Roman" w:eastAsia="仿宋_GB2312" w:cs="Times New Roman"/>
                <w:highlight w:val="none"/>
              </w:rPr>
              <w:t>500m</w:t>
            </w:r>
            <w:r>
              <w:rPr>
                <w:rFonts w:ascii="Times New Roman" w:hAnsi="Times New Roman" w:eastAsia="仿宋_GB2312" w:cs="Times New Roman"/>
                <w:highlight w:val="none"/>
                <w:vertAlign w:val="superscript"/>
              </w:rPr>
              <w:t>2</w:t>
            </w:r>
            <w:r>
              <w:rPr>
                <w:rFonts w:hint="eastAsia" w:ascii="Times New Roman" w:hAnsi="Times New Roman" w:eastAsia="仿宋_GB2312" w:cs="仿宋_GB2312"/>
                <w:highlight w:val="none"/>
              </w:rPr>
              <w:t>以上的</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cs="Times New Roman"/>
                <w:highlight w:val="none"/>
              </w:rPr>
            </w:pPr>
          </w:p>
        </w:tc>
      </w:tr>
    </w:tbl>
    <w:p>
      <w:pPr>
        <w:widowControl/>
        <w:snapToGrid w:val="0"/>
        <w:jc w:val="left"/>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209" w:type="dxa"/>
            <w:gridSpan w:val="3"/>
          </w:tcPr>
          <w:p>
            <w:pPr>
              <w:snapToGrid w:val="0"/>
              <w:jc w:val="center"/>
              <w:rPr>
                <w:rFonts w:ascii="Times New Roman" w:hAnsi="Times New Roman" w:cs="Times New Roman"/>
                <w:color w:val="000000"/>
                <w:highlight w:val="none"/>
              </w:rPr>
            </w:pPr>
            <w:r>
              <w:rPr>
                <w:rFonts w:hint="eastAsia" w:ascii="Times New Roman" w:hAnsi="Times New Roman" w:eastAsia="仿宋_GB2312" w:cs="仿宋_GB2312"/>
                <w:b/>
                <w:bCs/>
                <w:color w:val="000000"/>
                <w:sz w:val="32"/>
                <w:szCs w:val="32"/>
                <w:highlight w:val="none"/>
              </w:rPr>
              <w:t>（二）大气污染防治类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Align w:val="center"/>
          </w:tcPr>
          <w:p>
            <w:pPr>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938" w:type="dxa"/>
            <w:gridSpan w:val="2"/>
            <w:vAlign w:val="center"/>
          </w:tcPr>
          <w:p>
            <w:pPr>
              <w:jc w:val="center"/>
              <w:rPr>
                <w:rFonts w:ascii="Times New Roman" w:hAnsi="Times New Roman" w:cs="Times New Roman"/>
                <w:color w:val="000000"/>
                <w:highlight w:val="none"/>
              </w:rPr>
            </w:pPr>
            <w:r>
              <w:rPr>
                <w:rFonts w:ascii="Times New Roman" w:hAnsi="Times New Roman" w:cs="Times New Roman"/>
                <w:color w:val="000000"/>
                <w:highlight w:val="none"/>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38" w:type="dxa"/>
            <w:gridSpan w:val="2"/>
          </w:tcPr>
          <w:p>
            <w:pPr>
              <w:snapToGrid w:val="0"/>
              <w:spacing w:before="62" w:beforeLines="20"/>
              <w:ind w:firstLine="420"/>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排放有毒有害大气污染物名录中所列有毒有害大气污染物的企业事业单位，未按照规定建设环境风险预警体系或者对排放口和周边环境进行定期监测、排查环境安全隐患并采取有效措施防范环境风险的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违反条款</w:t>
            </w:r>
          </w:p>
        </w:tc>
        <w:tc>
          <w:tcPr>
            <w:tcW w:w="7938" w:type="dxa"/>
            <w:gridSpan w:val="2"/>
          </w:tcPr>
          <w:p>
            <w:pPr>
              <w:snapToGrid w:val="0"/>
              <w:spacing w:before="62" w:beforeLines="20"/>
              <w:ind w:firstLine="482"/>
              <w:rPr>
                <w:rFonts w:ascii="Times New Roman" w:hAnsi="Times New Roman" w:eastAsia="仿宋_GB2312" w:cs="Times New Roman"/>
                <w:highlight w:val="none"/>
              </w:rPr>
            </w:pPr>
            <w:r>
              <w:rPr>
                <w:rFonts w:hint="eastAsia" w:ascii="Times New Roman" w:hAnsi="Times New Roman" w:eastAsia="仿宋_GB2312" w:cs="仿宋_GB2312"/>
                <w:b/>
                <w:bCs/>
                <w:highlight w:val="none"/>
              </w:rPr>
              <w:t>《中华人民共和国大气污染防治法》第七十八条</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国务院生态环境主管部门应当会同国务院卫生行政部门，根据大气污染物对公众健康和生态环境的危害和影响程度，公布有毒有害大气污染物名录，实行风险管理。</w:t>
            </w:r>
          </w:p>
          <w:p>
            <w:pPr>
              <w:snapToGrid w:val="0"/>
              <w:ind w:firstLine="480"/>
              <w:rPr>
                <w:rFonts w:ascii="Times New Roman" w:hAnsi="Times New Roman" w:eastAsia="仿宋_GB2312" w:cs="Times New Roman"/>
                <w:highlight w:val="none"/>
              </w:rPr>
            </w:pPr>
            <w:r>
              <w:rPr>
                <w:rFonts w:hint="eastAsia" w:ascii="Times New Roman" w:hAnsi="Times New Roman" w:eastAsia="仿宋_GB2312" w:cs="仿宋_GB2312"/>
                <w:highlight w:val="none"/>
              </w:rPr>
              <w:t>排放前款规定名录中所列有毒有害大气污染物的企业事业单位，应当按照国家有关规定建设环境风险预警体系，对排放口和周边环境进行定期监测，评估环境风险，排查环境安全隐患，并采取有效措施防范环境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处罚依据</w:t>
            </w:r>
          </w:p>
        </w:tc>
        <w:tc>
          <w:tcPr>
            <w:tcW w:w="7938" w:type="dxa"/>
            <w:gridSpan w:val="2"/>
          </w:tcPr>
          <w:p>
            <w:pPr>
              <w:snapToGrid w:val="0"/>
              <w:spacing w:before="62" w:beforeLines="20"/>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《中华人民共和国大气污染防治法》第一百一十七条第（六）项</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违反本法规定，有下列行为之一的，由县级以上人民政府生态环境等主管部门按照职责责令改正，处一万元以上十万元以下的罚款；拒不改正的，责令停工整治或者停业整治：</w:t>
            </w:r>
          </w:p>
          <w:p>
            <w:pPr>
              <w:snapToGrid w:val="0"/>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（六）排放有毒有害大气污染物名录中所列有毒有害大气污染物的企业事业单位，未按照规定建设环境风险预警体系或者对排放口和周边环境进行定期监测、排查环境安全隐患并采取有效措施防范环境风险的。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245" w:type="dxa"/>
            <w:vAlign w:val="center"/>
          </w:tcPr>
          <w:p>
            <w:pPr>
              <w:snapToGrid w:val="0"/>
              <w:jc w:val="center"/>
              <w:rPr>
                <w:rFonts w:ascii="Times New Roman" w:hAnsi="Times New Roman" w:cs="Times New Roman"/>
                <w:color w:val="000000"/>
                <w:highlight w:val="none"/>
              </w:rPr>
            </w:pPr>
            <w:r>
              <w:rPr>
                <w:rFonts w:hint="eastAsia" w:ascii="Times New Roman" w:hAnsi="Times New Roman" w:cs="宋体"/>
                <w:b/>
                <w:bCs/>
                <w:color w:val="000000"/>
                <w:highlight w:val="none"/>
              </w:rPr>
              <w:t>判定标准</w:t>
            </w:r>
          </w:p>
        </w:tc>
        <w:tc>
          <w:tcPr>
            <w:tcW w:w="2693" w:type="dxa"/>
            <w:vAlign w:val="center"/>
          </w:tcPr>
          <w:p>
            <w:pPr>
              <w:snapToGrid w:val="0"/>
              <w:jc w:val="center"/>
              <w:rPr>
                <w:rFonts w:ascii="Times New Roman" w:hAnsi="Times New Roman" w:cs="Times New Roman"/>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未按照规定建设环境风险预警体系或者对排放口和周边环境进行定期监测、排查环境安全隐患并采取有效措施防范环境风险，其中</w:t>
            </w:r>
            <w:r>
              <w:rPr>
                <w:rFonts w:ascii="Times New Roman" w:hAnsi="Times New Roman" w:eastAsia="仿宋_GB2312" w:cs="Times New Roman"/>
                <w:highlight w:val="none"/>
              </w:rPr>
              <w:t>1</w:t>
            </w:r>
            <w:r>
              <w:rPr>
                <w:rFonts w:hint="eastAsia" w:ascii="Times New Roman" w:hAnsi="Times New Roman" w:eastAsia="仿宋_GB2312" w:cs="仿宋_GB2312"/>
                <w:highlight w:val="none"/>
              </w:rPr>
              <w:t>项的</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highlight w:val="none"/>
              </w:rPr>
              <w:t>未按照规定建设环境风险预警体系或者对排放口和周边环境进行定期监测、排查环境安全隐患并采取有效措施防范环境风险，其中</w:t>
            </w:r>
            <w:r>
              <w:rPr>
                <w:rFonts w:ascii="Times New Roman" w:hAnsi="Times New Roman" w:eastAsia="仿宋_GB2312" w:cs="Times New Roman"/>
                <w:highlight w:val="none"/>
              </w:rPr>
              <w:t>2</w:t>
            </w:r>
            <w:r>
              <w:rPr>
                <w:rFonts w:hint="eastAsia" w:ascii="Times New Roman" w:hAnsi="Times New Roman" w:eastAsia="仿宋_GB2312" w:cs="仿宋_GB2312"/>
                <w:highlight w:val="none"/>
              </w:rPr>
              <w:t>项的</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highlight w:val="none"/>
              </w:rPr>
              <w:t>未按照规定建设环境风险预警体系或者对排放口和周边环境进行定期监测、排查环境安全隐患并采取有效措施防范环境风险，其中</w:t>
            </w:r>
            <w:r>
              <w:rPr>
                <w:rFonts w:ascii="Times New Roman" w:hAnsi="Times New Roman" w:eastAsia="仿宋_GB2312" w:cs="Times New Roman"/>
                <w:highlight w:val="none"/>
              </w:rPr>
              <w:t>3</w:t>
            </w:r>
            <w:r>
              <w:rPr>
                <w:rFonts w:hint="eastAsia" w:ascii="Times New Roman" w:hAnsi="Times New Roman" w:eastAsia="仿宋_GB2312" w:cs="仿宋_GB2312"/>
                <w:highlight w:val="none"/>
              </w:rPr>
              <w:t>项的</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有毒有害</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大气污染物种类</w:t>
            </w:r>
          </w:p>
        </w:tc>
        <w:tc>
          <w:tcPr>
            <w:tcW w:w="524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r>
              <w:rPr>
                <w:rFonts w:hint="eastAsia" w:ascii="Times New Roman" w:hAnsi="Times New Roman" w:eastAsia="仿宋_GB2312" w:cs="仿宋_GB2312"/>
                <w:highlight w:val="none"/>
              </w:rPr>
              <w:t>种</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r>
              <w:rPr>
                <w:rFonts w:hint="eastAsia" w:ascii="Times New Roman" w:hAnsi="Times New Roman" w:eastAsia="仿宋_GB2312" w:cs="仿宋_GB2312"/>
                <w:highlight w:val="none"/>
              </w:rPr>
              <w:t>种</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r>
              <w:rPr>
                <w:rFonts w:hint="eastAsia" w:ascii="Times New Roman" w:hAnsi="Times New Roman" w:eastAsia="仿宋_GB2312" w:cs="仿宋_GB2312"/>
                <w:highlight w:val="none"/>
              </w:rPr>
              <w:t>种及以上的</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Merge w:val="restart"/>
            <w:vAlign w:val="center"/>
          </w:tcPr>
          <w:p>
            <w:pPr>
              <w:snapToGrid w:val="0"/>
              <w:jc w:val="center"/>
              <w:rPr>
                <w:rFonts w:ascii="Times New Roman" w:hAnsi="Times New Roman" w:cs="宋体"/>
                <w:b/>
                <w:bCs/>
                <w:color w:val="000000"/>
                <w:highlight w:val="none"/>
              </w:rPr>
            </w:pPr>
            <w:r>
              <w:rPr>
                <w:rFonts w:hint="eastAsia" w:ascii="Times New Roman" w:hAnsi="Times New Roman" w:cs="宋体"/>
                <w:b/>
                <w:bCs/>
                <w:color w:val="000000"/>
                <w:highlight w:val="none"/>
              </w:rPr>
              <w:t>排放地点</w:t>
            </w:r>
          </w:p>
        </w:tc>
        <w:tc>
          <w:tcPr>
            <w:tcW w:w="524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二类功能区（工业区和农村地区）</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Merge w:val="continue"/>
            <w:vAlign w:val="center"/>
          </w:tcPr>
          <w:p>
            <w:pPr>
              <w:snapToGrid w:val="0"/>
              <w:jc w:val="center"/>
              <w:rPr>
                <w:rFonts w:ascii="Times New Roman" w:hAnsi="Times New Roman" w:cs="宋体"/>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二类功能区（居民区、商业交通居民混合区、文化区）</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Merge w:val="continue"/>
            <w:vAlign w:val="center"/>
          </w:tcPr>
          <w:p>
            <w:pPr>
              <w:snapToGrid w:val="0"/>
              <w:jc w:val="center"/>
              <w:rPr>
                <w:rFonts w:ascii="Times New Roman" w:hAnsi="Times New Roman" w:cs="宋体"/>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一类功能区</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Merge w:val="restart"/>
            <w:vAlign w:val="center"/>
          </w:tcPr>
          <w:p>
            <w:pPr>
              <w:snapToGrid w:val="0"/>
              <w:jc w:val="center"/>
              <w:rPr>
                <w:rFonts w:ascii="Times New Roman" w:hAnsi="Times New Roman" w:cs="宋体"/>
                <w:b/>
                <w:bCs/>
                <w:color w:val="000000"/>
                <w:highlight w:val="none"/>
              </w:rPr>
            </w:pPr>
            <w:r>
              <w:rPr>
                <w:rFonts w:hint="eastAsia" w:ascii="Times New Roman" w:hAnsi="Times New Roman" w:cs="宋体"/>
                <w:b/>
                <w:bCs/>
                <w:color w:val="000000"/>
                <w:highlight w:val="none"/>
              </w:rPr>
              <w:t>小时烟气流量</w:t>
            </w:r>
          </w:p>
        </w:tc>
        <w:tc>
          <w:tcPr>
            <w:tcW w:w="524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不足1000标立方米</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Merge w:val="continue"/>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1000标立方米以上不足1万标立方米</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Merge w:val="continue"/>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1万标立方米以上不足10万标立方米</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Merge w:val="continue"/>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10万标立方米以上不足20万标立方米</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Merge w:val="continue"/>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20万标立方米以上</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938" w:type="dxa"/>
            <w:gridSpan w:val="2"/>
            <w:vAlign w:val="center"/>
          </w:tcPr>
          <w:p>
            <w:pPr>
              <w:snapToGrid w:val="0"/>
              <w:ind w:firstLine="420"/>
              <w:jc w:val="center"/>
              <w:rPr>
                <w:rFonts w:ascii="Times New Roman" w:hAnsi="Times New Roman" w:cs="Times New Roman"/>
                <w:color w:val="000000"/>
                <w:highlight w:val="none"/>
              </w:rPr>
            </w:pPr>
          </w:p>
        </w:tc>
      </w:tr>
    </w:tbl>
    <w:p>
      <w:pPr>
        <w:snapToGrid w:val="0"/>
        <w:ind w:firstLine="420"/>
        <w:rPr>
          <w:rFonts w:ascii="Times New Roman" w:hAnsi="Times New Roman" w:cs="Times New Roman"/>
          <w:color w:val="000000"/>
          <w:sz w:val="10"/>
          <w:szCs w:val="10"/>
          <w:highlight w:val="none"/>
        </w:rPr>
      </w:pPr>
      <w:r>
        <w:rPr>
          <w:rFonts w:ascii="Times New Roman" w:hAnsi="Times New Roman" w:cs="Times New Roman"/>
          <w:color w:val="000000"/>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09" w:type="dxa"/>
            <w:gridSpan w:val="3"/>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仿宋_GB2312"/>
                <w:b/>
                <w:bCs/>
                <w:color w:val="000000"/>
                <w:sz w:val="32"/>
                <w:szCs w:val="32"/>
                <w:highlight w:val="none"/>
              </w:rPr>
              <w:t>（二）大气污染防治类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938" w:type="dxa"/>
            <w:gridSpan w:val="2"/>
            <w:vAlign w:val="center"/>
          </w:tcPr>
          <w:p>
            <w:pPr>
              <w:snapToGrid w:val="0"/>
              <w:jc w:val="center"/>
              <w:rPr>
                <w:rFonts w:hint="eastAsia" w:ascii="Times New Roman" w:hAnsi="Times New Roman" w:cs="Times New Roman"/>
                <w:color w:val="000000"/>
                <w:highlight w:val="none"/>
              </w:rPr>
            </w:pPr>
            <w:r>
              <w:rPr>
                <w:rFonts w:ascii="Times New Roman" w:hAnsi="Times New Roman" w:cs="Times New Roman"/>
                <w:color w:val="000000"/>
                <w:highlight w:val="none"/>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38" w:type="dxa"/>
            <w:gridSpan w:val="2"/>
          </w:tcPr>
          <w:p>
            <w:pPr>
              <w:snapToGrid w:val="0"/>
              <w:spacing w:before="62" w:beforeLines="20"/>
              <w:ind w:firstLine="420"/>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向大气排放有毒有害污染物或者持久性有机污染物的企业事业单位和其他生产经营者以及废弃物焚烧设施的运营单位，未按照国家有关规定采取有利于减少污染物排放的技术方法和工艺，配备净化装置并保持正常运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违反条款</w:t>
            </w:r>
          </w:p>
        </w:tc>
        <w:tc>
          <w:tcPr>
            <w:tcW w:w="7938" w:type="dxa"/>
            <w:gridSpan w:val="2"/>
          </w:tcPr>
          <w:p>
            <w:pPr>
              <w:snapToGrid w:val="0"/>
              <w:spacing w:before="62" w:beforeLines="20"/>
              <w:ind w:firstLine="420"/>
              <w:rPr>
                <w:rFonts w:ascii="Times New Roman" w:hAnsi="Times New Roman" w:eastAsia="仿宋_GB2312" w:cs="Times New Roman"/>
                <w:highlight w:val="none"/>
              </w:rPr>
            </w:pPr>
            <w:r>
              <w:rPr>
                <w:rFonts w:ascii="Times New Roman" w:hAnsi="Times New Roman" w:eastAsia="仿宋_GB2312" w:cs="Times New Roman"/>
                <w:b/>
                <w:bCs/>
                <w:highlight w:val="none"/>
              </w:rPr>
              <w:t>1.</w:t>
            </w:r>
            <w:r>
              <w:rPr>
                <w:rFonts w:hint="eastAsia" w:ascii="Times New Roman" w:hAnsi="Times New Roman" w:eastAsia="仿宋_GB2312" w:cs="仿宋_GB2312"/>
                <w:b/>
                <w:bCs/>
                <w:highlight w:val="none"/>
              </w:rPr>
              <w:t>《中华人民共和国大气污染防治法》第七十九条</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向大气排放持久性有机污染物的企业事业单位和其他生产经营者以及废弃物焚烧设施的运营单位，应当按照国家有关规定，采取有利于减少持久性有机污染物排放的技术方法和工艺，配备有效的净化装置，实现达标排放。</w:t>
            </w:r>
          </w:p>
          <w:p>
            <w:pPr>
              <w:snapToGrid w:val="0"/>
              <w:ind w:firstLine="420"/>
              <w:rPr>
                <w:rFonts w:ascii="Times New Roman" w:hAnsi="Times New Roman" w:eastAsia="仿宋_GB2312" w:cs="Times New Roman"/>
                <w:highlight w:val="none"/>
              </w:rPr>
            </w:pPr>
            <w:r>
              <w:rPr>
                <w:rFonts w:ascii="Times New Roman" w:hAnsi="Times New Roman" w:eastAsia="仿宋_GB2312" w:cs="Times New Roman"/>
                <w:b/>
                <w:bCs/>
                <w:highlight w:val="none"/>
              </w:rPr>
              <w:t>2.</w:t>
            </w:r>
            <w:r>
              <w:rPr>
                <w:rFonts w:hint="eastAsia" w:ascii="Times New Roman" w:hAnsi="Times New Roman" w:eastAsia="仿宋_GB2312" w:cs="仿宋_GB2312"/>
                <w:b/>
                <w:bCs/>
                <w:highlight w:val="none"/>
              </w:rPr>
              <w:t>《山东省大气污染防治条例》第三十九条</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向大气排放有毒有害污染物和持久性有机污染物的排污单位，应当按照国家规定采取有利于减少污染物排放的技术方法和工艺，配备有效的净化装置并保持正常运行，实现达标排放。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处罚依据</w:t>
            </w:r>
          </w:p>
        </w:tc>
        <w:tc>
          <w:tcPr>
            <w:tcW w:w="7938" w:type="dxa"/>
            <w:gridSpan w:val="2"/>
          </w:tcPr>
          <w:p>
            <w:pPr>
              <w:snapToGrid w:val="0"/>
              <w:spacing w:before="62" w:beforeLines="20"/>
              <w:ind w:firstLine="420"/>
              <w:rPr>
                <w:rFonts w:ascii="Times New Roman" w:hAnsi="Times New Roman" w:eastAsia="仿宋_GB2312" w:cs="Times New Roman"/>
                <w:highlight w:val="none"/>
              </w:rPr>
            </w:pPr>
            <w:r>
              <w:rPr>
                <w:rFonts w:ascii="Times New Roman" w:hAnsi="Times New Roman" w:eastAsia="仿宋_GB2312" w:cs="Times New Roman"/>
                <w:b/>
                <w:bCs/>
                <w:highlight w:val="none"/>
              </w:rPr>
              <w:t>1.</w:t>
            </w:r>
            <w:r>
              <w:rPr>
                <w:rFonts w:hint="eastAsia" w:ascii="Times New Roman" w:hAnsi="Times New Roman" w:eastAsia="仿宋_GB2312" w:cs="仿宋_GB2312"/>
                <w:b/>
                <w:bCs/>
                <w:highlight w:val="none"/>
              </w:rPr>
              <w:t>《中华人民共和国大气污染防治法》第一百一十七条第（七）项</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违反本法规定，有下列行为之一的，由县级以上人民政府生态环境等主管部门按照职责责令改正，处一万元以上十万元以下的罚款；拒不改正的，责令停工整治或者停业整治：</w:t>
            </w:r>
          </w:p>
          <w:p>
            <w:pPr>
              <w:snapToGrid w:val="0"/>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（七）向大气排放持久性有机污染物的企业事业单位和其他生产经营者以及废弃物焚烧设施的运营单位，未按照国家有关规定采取有利于减少持久性有机污染物排放的技术方法和工艺，配备净化装置的。</w:t>
            </w:r>
          </w:p>
          <w:p>
            <w:pPr>
              <w:snapToGrid w:val="0"/>
              <w:ind w:firstLine="420"/>
              <w:rPr>
                <w:rFonts w:ascii="Times New Roman" w:hAnsi="Times New Roman" w:eastAsia="仿宋_GB2312" w:cs="Times New Roman"/>
                <w:highlight w:val="none"/>
              </w:rPr>
            </w:pPr>
            <w:r>
              <w:rPr>
                <w:rFonts w:ascii="Times New Roman" w:hAnsi="Times New Roman" w:eastAsia="仿宋_GB2312" w:cs="Times New Roman"/>
                <w:b/>
                <w:bCs/>
                <w:highlight w:val="none"/>
              </w:rPr>
              <w:t>2.</w:t>
            </w:r>
            <w:r>
              <w:rPr>
                <w:rFonts w:hint="eastAsia" w:ascii="Times New Roman" w:hAnsi="Times New Roman" w:eastAsia="仿宋_GB2312" w:cs="仿宋_GB2312"/>
                <w:b/>
                <w:bCs/>
                <w:highlight w:val="none"/>
              </w:rPr>
              <w:t>《山东省大气污染防治条例》第七十三条第（三）项</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违反本条例规定，有下列行为之一的，由县级以上人民政府生态环境主管部门或者其他负有监督管理职责的部门责令改正，处一万元以上十万元以下的罚款；拒不改正的，责令停产整治或者停业整治：</w:t>
            </w:r>
          </w:p>
          <w:p>
            <w:pPr>
              <w:snapToGrid w:val="0"/>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（三）向大气排放有毒有害污染物或者持久性有机污染物的排污单位，未按照规定采取有利于减少污染物排放的技术方法和工艺，配备净化装置并保持正常运行的。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245" w:type="dxa"/>
            <w:vAlign w:val="center"/>
          </w:tcPr>
          <w:p>
            <w:pPr>
              <w:snapToGrid w:val="0"/>
              <w:jc w:val="center"/>
              <w:rPr>
                <w:rFonts w:ascii="Times New Roman" w:hAnsi="Times New Roman" w:cs="Times New Roman"/>
                <w:color w:val="000000"/>
                <w:highlight w:val="none"/>
              </w:rPr>
            </w:pPr>
            <w:r>
              <w:rPr>
                <w:rFonts w:hint="eastAsia" w:ascii="Times New Roman" w:hAnsi="Times New Roman" w:cs="宋体"/>
                <w:b/>
                <w:bCs/>
                <w:color w:val="000000"/>
                <w:highlight w:val="none"/>
              </w:rPr>
              <w:t>判定标准</w:t>
            </w:r>
          </w:p>
        </w:tc>
        <w:tc>
          <w:tcPr>
            <w:tcW w:w="2693" w:type="dxa"/>
            <w:vAlign w:val="center"/>
          </w:tcPr>
          <w:p>
            <w:pPr>
              <w:snapToGrid w:val="0"/>
              <w:jc w:val="center"/>
              <w:rPr>
                <w:rFonts w:ascii="Times New Roman" w:hAnsi="Times New Roman" w:cs="Times New Roman"/>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45" w:type="dxa"/>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配套的净化装置不符合国家规定，导致超标排放的</w:t>
            </w:r>
          </w:p>
        </w:tc>
        <w:tc>
          <w:tcPr>
            <w:tcW w:w="269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已按要求配套净化装置但未正常运行，导致超标排放的</w:t>
            </w:r>
          </w:p>
        </w:tc>
        <w:tc>
          <w:tcPr>
            <w:tcW w:w="269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已按要求配套净化装置但未投入使用，导致超标排放的</w:t>
            </w:r>
          </w:p>
        </w:tc>
        <w:tc>
          <w:tcPr>
            <w:tcW w:w="269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未配备任何净化装置，超标排放的</w:t>
            </w:r>
          </w:p>
        </w:tc>
        <w:tc>
          <w:tcPr>
            <w:tcW w:w="269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发生时期</w:t>
            </w:r>
          </w:p>
          <w:p>
            <w:pPr>
              <w:snapToGrid w:val="0"/>
              <w:jc w:val="center"/>
              <w:rPr>
                <w:rFonts w:ascii="Times New Roman" w:hAnsi="Times New Roman" w:cs="Times New Roman"/>
                <w:color w:val="000000"/>
                <w:highlight w:val="none"/>
              </w:rPr>
            </w:pPr>
            <w:r>
              <w:rPr>
                <w:rFonts w:hint="eastAsia" w:ascii="Times New Roman" w:hAnsi="Times New Roman" w:cs="宋体"/>
                <w:b/>
                <w:bCs/>
                <w:color w:val="000000"/>
                <w:highlight w:val="none"/>
              </w:rPr>
              <w:t>环境敏感度</w:t>
            </w: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一般期间</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特殊或重大活动期间</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重污染天气预警期间</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938" w:type="dxa"/>
            <w:gridSpan w:val="2"/>
            <w:vAlign w:val="center"/>
          </w:tcPr>
          <w:p>
            <w:pPr>
              <w:snapToGrid w:val="0"/>
              <w:ind w:firstLine="420"/>
              <w:jc w:val="center"/>
              <w:rPr>
                <w:rFonts w:ascii="Times New Roman" w:hAnsi="Times New Roman" w:cs="Times New Roman"/>
                <w:color w:val="000000"/>
                <w:highlight w:val="none"/>
              </w:rPr>
            </w:pPr>
          </w:p>
        </w:tc>
      </w:tr>
    </w:tbl>
    <w:p>
      <w:pPr>
        <w:widowControl/>
        <w:snapToGrid w:val="0"/>
        <w:jc w:val="left"/>
        <w:rPr>
          <w:rFonts w:ascii="Times New Roman" w:hAnsi="Times New Roman" w:cs="Times New Roman"/>
          <w:sz w:val="10"/>
          <w:szCs w:val="10"/>
          <w:highlight w:val="none"/>
        </w:rPr>
      </w:pPr>
      <w:r>
        <w:rPr>
          <w:rFonts w:ascii="Times New Roman" w:hAnsi="Times New Roman" w:cs="Times New Roman"/>
          <w:color w:val="000000"/>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（二）大气污染防治类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pStyle w:val="11"/>
              <w:snapToGrid w:val="0"/>
              <w:jc w:val="center"/>
              <w:rPr>
                <w:rFonts w:ascii="Times New Roman" w:hAnsi="Times New Roman" w:eastAsia="仿宋_GB2312" w:cs="Times New Roman"/>
                <w:color w:val="FF0000"/>
                <w:kern w:val="2"/>
                <w:sz w:val="21"/>
                <w:szCs w:val="21"/>
                <w:highlight w:val="none"/>
              </w:rPr>
            </w:pPr>
            <w:r>
              <w:rPr>
                <w:rFonts w:hint="eastAsia" w:ascii="Times New Roman" w:hAnsi="Times New Roman" w:eastAsia="仿宋_GB2312" w:cs="仿宋_GB2312"/>
                <w:color w:val="000000"/>
                <w:kern w:val="2"/>
                <w:sz w:val="21"/>
                <w:szCs w:val="21"/>
                <w:highlight w:val="none"/>
              </w:rPr>
              <w:t>未采取措施防止排放恶臭气体的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2"/>
              <w:snapToGrid w:val="0"/>
              <w:spacing w:before="62" w:beforeLines="20" w:beforeAutospacing="0" w:after="0" w:afterAutospacing="0"/>
              <w:ind w:firstLine="357"/>
              <w:rPr>
                <w:rFonts w:ascii="Times New Roman" w:hAnsi="Times New Roman" w:eastAsia="仿宋_GB2312" w:cs="Times New Roman"/>
                <w:kern w:val="2"/>
                <w:sz w:val="21"/>
                <w:szCs w:val="21"/>
                <w:highlight w:val="none"/>
              </w:rPr>
            </w:pPr>
            <w:r>
              <w:rPr>
                <w:rFonts w:ascii="Times New Roman" w:hAnsi="Times New Roman" w:eastAsia="仿宋_GB2312" w:cs="Times New Roman"/>
                <w:b/>
                <w:bCs/>
                <w:kern w:val="2"/>
                <w:sz w:val="21"/>
                <w:szCs w:val="21"/>
                <w:highlight w:val="none"/>
              </w:rPr>
              <w:t>1.</w:t>
            </w:r>
            <w:r>
              <w:rPr>
                <w:rFonts w:hint="eastAsia" w:ascii="Times New Roman" w:hAnsi="Times New Roman" w:eastAsia="仿宋_GB2312" w:cs="仿宋_GB2312"/>
                <w:b/>
                <w:bCs/>
                <w:kern w:val="2"/>
                <w:sz w:val="21"/>
                <w:szCs w:val="21"/>
                <w:highlight w:val="none"/>
              </w:rPr>
              <w:t>《中华人民共和国大气污染防治法》第八十条</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企业事业单位和其他生产经营者在生产经营活动中产生恶臭气体的，应当科学选址，设置合理的防护距离，并安装净化装置或者采取其他措施，防止排放恶臭气体。</w:t>
            </w:r>
          </w:p>
          <w:p>
            <w:pPr>
              <w:pStyle w:val="12"/>
              <w:snapToGrid w:val="0"/>
              <w:spacing w:before="0" w:beforeAutospacing="0" w:after="0" w:afterAutospacing="0"/>
              <w:ind w:firstLine="360"/>
              <w:rPr>
                <w:rFonts w:ascii="Times New Roman" w:hAnsi="Times New Roman" w:eastAsia="仿宋_GB2312" w:cs="Times New Roman"/>
                <w:kern w:val="2"/>
                <w:sz w:val="21"/>
                <w:szCs w:val="21"/>
                <w:highlight w:val="none"/>
              </w:rPr>
            </w:pPr>
            <w:r>
              <w:rPr>
                <w:rFonts w:ascii="Times New Roman" w:hAnsi="Times New Roman" w:eastAsia="仿宋_GB2312" w:cs="Times New Roman"/>
                <w:b/>
                <w:bCs/>
                <w:sz w:val="21"/>
                <w:szCs w:val="21"/>
                <w:highlight w:val="none"/>
              </w:rPr>
              <w:t>2.</w:t>
            </w:r>
            <w:r>
              <w:rPr>
                <w:rFonts w:hint="eastAsia" w:ascii="Times New Roman" w:hAnsi="Times New Roman" w:eastAsia="仿宋_GB2312" w:cs="仿宋_GB2312"/>
                <w:b/>
                <w:bCs/>
                <w:sz w:val="21"/>
                <w:szCs w:val="21"/>
                <w:highlight w:val="none"/>
              </w:rPr>
              <w:t>《山东省大气污染防治条例》第三十八条第一款</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向大气排放恶臭气体的排污单位以及垃圾处置场、污水处理厂，应当按照规定设置合理的防护距离，安装净化装置或者采取其他措施减少恶臭气体排放。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1"/>
              <w:snapToGrid w:val="0"/>
              <w:spacing w:before="62" w:beforeLines="20"/>
              <w:ind w:firstLine="357"/>
              <w:rPr>
                <w:rFonts w:ascii="Times New Roman" w:hAnsi="Times New Roman" w:eastAsia="仿宋_GB2312" w:cs="Times New Roman"/>
                <w:kern w:val="2"/>
                <w:sz w:val="21"/>
                <w:szCs w:val="21"/>
                <w:highlight w:val="none"/>
              </w:rPr>
            </w:pPr>
            <w:r>
              <w:rPr>
                <w:rFonts w:ascii="Times New Roman" w:hAnsi="Times New Roman" w:eastAsia="仿宋_GB2312" w:cs="Times New Roman"/>
                <w:b/>
                <w:bCs/>
                <w:kern w:val="2"/>
                <w:sz w:val="21"/>
                <w:szCs w:val="21"/>
                <w:highlight w:val="none"/>
              </w:rPr>
              <w:t>1.</w:t>
            </w:r>
            <w:r>
              <w:rPr>
                <w:rFonts w:hint="eastAsia" w:ascii="Times New Roman" w:hAnsi="Times New Roman" w:eastAsia="仿宋_GB2312" w:cs="仿宋_GB2312"/>
                <w:b/>
                <w:bCs/>
                <w:kern w:val="2"/>
                <w:sz w:val="21"/>
                <w:szCs w:val="21"/>
                <w:highlight w:val="none"/>
              </w:rPr>
              <w:t>《中华人民共和国大气污染防治法》第一百一十七条第（八）项</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违反本法规定，有下列行为之一的，由县级以上人民政府生态环境等主管部门按照职责责令改正，处一万元以上十万元以下的罚款；拒不改正的，责令停工整治或者停业整治：</w:t>
            </w:r>
          </w:p>
          <w:p>
            <w:pPr>
              <w:pStyle w:val="11"/>
              <w:snapToGrid w:val="0"/>
              <w:ind w:firstLine="36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（八）未采取措施防止排放恶臭气体的。</w:t>
            </w:r>
          </w:p>
          <w:p>
            <w:pPr>
              <w:pStyle w:val="11"/>
              <w:snapToGrid w:val="0"/>
              <w:ind w:firstLine="422" w:firstLineChars="200"/>
              <w:rPr>
                <w:rFonts w:ascii="Times New Roman" w:hAnsi="Times New Roman" w:eastAsia="仿宋_GB2312" w:cs="Times New Roman"/>
                <w:sz w:val="21"/>
                <w:szCs w:val="21"/>
                <w:highlight w:val="none"/>
              </w:rPr>
            </w:pPr>
            <w:r>
              <w:rPr>
                <w:rFonts w:ascii="Times New Roman" w:hAnsi="Times New Roman" w:eastAsia="仿宋_GB2312" w:cs="Times New Roman"/>
                <w:b/>
                <w:bCs/>
                <w:sz w:val="21"/>
                <w:szCs w:val="21"/>
                <w:highlight w:val="none"/>
              </w:rPr>
              <w:t>2.</w:t>
            </w:r>
            <w:r>
              <w:rPr>
                <w:rFonts w:hint="eastAsia" w:ascii="Times New Roman" w:hAnsi="Times New Roman" w:eastAsia="仿宋_GB2312" w:cs="仿宋_GB2312"/>
                <w:b/>
                <w:bCs/>
                <w:sz w:val="21"/>
                <w:szCs w:val="21"/>
                <w:highlight w:val="none"/>
              </w:rPr>
              <w:t>《山东省大气污染防治条例》第七十三条第（一）项</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违反本条例规定，有下列行为之一的，由县级以上人民政府生态环境主管部门或者其他负有监督管理职责的部门责令改正，处一万元以上十万元以下的罚款；拒不改正的，责令停产整治或者停业整治：</w:t>
            </w:r>
          </w:p>
          <w:p>
            <w:pPr>
              <w:pStyle w:val="11"/>
              <w:snapToGrid w:val="0"/>
              <w:ind w:firstLine="420"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sz w:val="21"/>
                <w:szCs w:val="21"/>
                <w:highlight w:val="none"/>
              </w:rPr>
              <w:t>（一）向大气排放恶臭气体的排污单位以及垃圾处置场、污水处理厂，未按照规定设置合理防护距离，安装净化装置或者采取其他措施减少恶臭气体排放的。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未采取臭气污染防治措施时间少于1天的</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highlight w:val="none"/>
              </w:rPr>
              <w:t>未采取臭气污染防治措施时间多于1天少于7天的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未采取臭气污染防治措施时间7天以上的</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项目建设</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地点</w:t>
            </w: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highlight w:val="none"/>
              </w:rPr>
              <w:t>二类功能区（工业区和农村地区）</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二类功能区（居民区、商业交通居民混合区、文化区）</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一类功能区</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cs="Times New Roman"/>
          <w:color w:val="000000"/>
          <w:sz w:val="10"/>
          <w:szCs w:val="10"/>
          <w:highlight w:val="none"/>
        </w:rPr>
      </w:pPr>
      <w:r>
        <w:rPr>
          <w:rFonts w:ascii="Times New Roman" w:hAnsi="Times New Roman" w:cs="Times New Roman"/>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tcPr>
          <w:p>
            <w:pPr>
              <w:snapToGrid w:val="0"/>
              <w:jc w:val="center"/>
              <w:rPr>
                <w:rFonts w:ascii="Times New Roman" w:hAnsi="Times New Roman" w:cs="Times New Roman"/>
                <w:color w:val="000000"/>
                <w:highlight w:val="none"/>
              </w:rPr>
            </w:pPr>
            <w:r>
              <w:rPr>
                <w:rFonts w:hint="eastAsia" w:ascii="Times New Roman" w:hAnsi="Times New Roman" w:eastAsia="仿宋_GB2312" w:cs="仿宋_GB2312"/>
                <w:b/>
                <w:bCs/>
                <w:color w:val="000000"/>
                <w:sz w:val="32"/>
                <w:szCs w:val="32"/>
                <w:highlight w:val="none"/>
              </w:rPr>
              <w:t>（二）大气污染防治类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938" w:type="dxa"/>
            <w:gridSpan w:val="2"/>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38" w:type="dxa"/>
            <w:gridSpan w:val="2"/>
          </w:tcPr>
          <w:p>
            <w:pPr>
              <w:snapToGrid w:val="0"/>
              <w:spacing w:before="62" w:beforeLines="20"/>
              <w:ind w:firstLine="420"/>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从事服装干洗和机动车维修等服务活动，未设置异味和废气处理装置等污染防治设施并保持正常使用，影响周边环境的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违反条款</w:t>
            </w:r>
          </w:p>
        </w:tc>
        <w:tc>
          <w:tcPr>
            <w:tcW w:w="7938" w:type="dxa"/>
            <w:gridSpan w:val="2"/>
          </w:tcPr>
          <w:p>
            <w:pPr>
              <w:snapToGrid w:val="0"/>
              <w:spacing w:before="62" w:beforeLines="20" w:line="288"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《中华人民共和国大气污染防治法》第八十四条</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从事服装干洗和机动车维修等服务活动的经营者，应当按照国家有关标准或者要求设置异味和废气处理装置等污染防治设施并保持正常使用，防止影响周边环境。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处罚依据</w:t>
            </w:r>
          </w:p>
        </w:tc>
        <w:tc>
          <w:tcPr>
            <w:tcW w:w="7938" w:type="dxa"/>
            <w:gridSpan w:val="2"/>
          </w:tcPr>
          <w:p>
            <w:pPr>
              <w:snapToGrid w:val="0"/>
              <w:spacing w:before="62" w:beforeLines="20" w:line="288"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《中华人民共和国大气污染防治法》第一百二十条</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违反本法规定，从事服装干洗和机动车维修等服务活动，未设置异味和废气处理装置等污染防治设施并保持正常使用，影响周边环境的，由县级以上地方人民政府生态环境主管部门责令改正，处二千元以上二万元以下的罚款；拒不改正的，责令停业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245" w:type="dxa"/>
            <w:vAlign w:val="center"/>
          </w:tcPr>
          <w:p>
            <w:pPr>
              <w:snapToGrid w:val="0"/>
              <w:jc w:val="center"/>
              <w:rPr>
                <w:rFonts w:ascii="Times New Roman" w:hAnsi="Times New Roman" w:cs="Times New Roman"/>
                <w:color w:val="000000"/>
                <w:highlight w:val="none"/>
              </w:rPr>
            </w:pPr>
            <w:r>
              <w:rPr>
                <w:rFonts w:hint="eastAsia" w:ascii="Times New Roman" w:hAnsi="Times New Roman" w:cs="宋体"/>
                <w:b/>
                <w:bCs/>
                <w:color w:val="000000"/>
                <w:highlight w:val="none"/>
              </w:rPr>
              <w:t>判定标准</w:t>
            </w:r>
          </w:p>
        </w:tc>
        <w:tc>
          <w:tcPr>
            <w:tcW w:w="2693" w:type="dxa"/>
            <w:vAlign w:val="center"/>
          </w:tcPr>
          <w:p>
            <w:pPr>
              <w:snapToGrid w:val="0"/>
              <w:jc w:val="center"/>
              <w:rPr>
                <w:rFonts w:ascii="Times New Roman" w:hAnsi="Times New Roman" w:cs="Times New Roman"/>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已设置异味和废气处理装置等污染防治设施，但未规范使用的</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设置部分异味和废气处理装置等污染防治设施的</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未设置异味和废气处理装置等污染防治设施的</w:t>
            </w:r>
          </w:p>
        </w:tc>
        <w:tc>
          <w:tcPr>
            <w:tcW w:w="269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建设地点</w:t>
            </w: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highlight w:val="none"/>
              </w:rPr>
              <w:t>二类功能区（工业区和农村地区）</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二类功能区（居民区、商业交通居民混合区、文化区）</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一类功能区</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938" w:type="dxa"/>
            <w:gridSpan w:val="2"/>
            <w:vAlign w:val="center"/>
          </w:tcPr>
          <w:p>
            <w:pPr>
              <w:snapToGrid w:val="0"/>
              <w:ind w:firstLine="420"/>
              <w:jc w:val="center"/>
              <w:rPr>
                <w:rFonts w:ascii="Times New Roman" w:hAnsi="Times New Roman" w:cs="Times New Roman"/>
                <w:color w:val="000000"/>
                <w:highlight w:val="none"/>
              </w:rPr>
            </w:pPr>
          </w:p>
        </w:tc>
      </w:tr>
    </w:tbl>
    <w:p>
      <w:pPr>
        <w:snapToGrid w:val="0"/>
        <w:rPr>
          <w:rFonts w:ascii="Times New Roman" w:hAnsi="Times New Roman" w:cs="Times New Roman"/>
          <w:color w:val="000000"/>
          <w:sz w:val="10"/>
          <w:szCs w:val="10"/>
          <w:highlight w:val="none"/>
        </w:rPr>
      </w:pPr>
      <w:r>
        <w:rPr>
          <w:rFonts w:ascii="Times New Roman" w:hAnsi="Times New Roman" w:cs="Times New Roman"/>
          <w:color w:val="000000"/>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4366"/>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09" w:type="dxa"/>
            <w:gridSpan w:val="3"/>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仿宋_GB2312"/>
                <w:b/>
                <w:bCs/>
                <w:color w:val="000000"/>
                <w:sz w:val="32"/>
                <w:szCs w:val="32"/>
                <w:highlight w:val="none"/>
              </w:rPr>
              <w:t>（二）大气污染防治类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938" w:type="dxa"/>
            <w:gridSpan w:val="2"/>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38" w:type="dxa"/>
            <w:gridSpan w:val="2"/>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造成大气污染事故的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处罚依据</w:t>
            </w:r>
          </w:p>
        </w:tc>
        <w:tc>
          <w:tcPr>
            <w:tcW w:w="7938" w:type="dxa"/>
            <w:gridSpan w:val="2"/>
          </w:tcPr>
          <w:p>
            <w:pPr>
              <w:snapToGrid w:val="0"/>
              <w:spacing w:before="62" w:beforeLines="20"/>
              <w:ind w:firstLine="422" w:firstLineChars="200"/>
              <w:rPr>
                <w:rFonts w:ascii="Times New Roman" w:hAnsi="Times New Roman" w:eastAsia="仿宋_GB2312" w:cs="Times New Roman"/>
                <w:highlight w:val="none"/>
              </w:rPr>
            </w:pPr>
            <w:r>
              <w:rPr>
                <w:rFonts w:ascii="Times New Roman" w:hAnsi="Times New Roman" w:eastAsia="仿宋_GB2312" w:cs="Times New Roman"/>
                <w:b/>
                <w:bCs/>
                <w:highlight w:val="none"/>
              </w:rPr>
              <w:t>1.</w:t>
            </w:r>
            <w:r>
              <w:rPr>
                <w:rFonts w:hint="eastAsia" w:ascii="Times New Roman" w:hAnsi="Times New Roman" w:eastAsia="仿宋_GB2312" w:cs="仿宋_GB2312"/>
                <w:b/>
                <w:bCs/>
                <w:highlight w:val="none"/>
              </w:rPr>
              <w:t>《中华人民共和国大气污染防治法》第一百二十二条</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违反本法规定，造成大气污染事故的，由县级以上人民政府生态环境主管部门依照本条第二款的规定处以罚款；对直接负责的主管人员和其他直接责任人员可以处上一年度从本企业事业单位取得收入百分之五十以下的罚款。</w:t>
            </w:r>
          </w:p>
          <w:p>
            <w:pPr>
              <w:snapToGrid w:val="0"/>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对造成一般或者较大大气污染事故的，按照污染事故造成直接损失的一倍以上三倍以下计算罚款；对造成重大或者特大大气污染事故的，按照污染事故造成的直接损失的三倍以上五倍以下计算罚款。</w:t>
            </w:r>
          </w:p>
          <w:p>
            <w:pPr>
              <w:snapToGrid w:val="0"/>
              <w:ind w:firstLine="420"/>
              <w:rPr>
                <w:rFonts w:ascii="Times New Roman" w:hAnsi="Times New Roman" w:eastAsia="仿宋_GB2312" w:cs="Times New Roman"/>
                <w:highlight w:val="none"/>
              </w:rPr>
            </w:pPr>
            <w:r>
              <w:rPr>
                <w:rFonts w:ascii="Times New Roman" w:hAnsi="Times New Roman" w:eastAsia="仿宋_GB2312" w:cs="Times New Roman"/>
                <w:b/>
                <w:bCs/>
                <w:highlight w:val="none"/>
              </w:rPr>
              <w:t>2.</w:t>
            </w:r>
            <w:r>
              <w:rPr>
                <w:rFonts w:hint="eastAsia" w:ascii="Times New Roman" w:hAnsi="Times New Roman" w:eastAsia="仿宋_GB2312" w:cs="仿宋_GB2312"/>
                <w:b/>
                <w:bCs/>
                <w:highlight w:val="none"/>
              </w:rPr>
              <w:t>《山东省大气污染防治条例》第八十二条</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违反本条例规定，造成大气污染事故的，由县级以上人民政府生态环境主管部门依照本条第二款的规定处以罚款；对直接负责的主管人员和其他直接责任人员可以处上一年度从本企业事业单位取得收入百分之五十以下的罚款。</w:t>
            </w:r>
          </w:p>
          <w:p>
            <w:pPr>
              <w:snapToGrid w:val="0"/>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对造成一般或者较大大气污染事故的，按照污染事故造成的直接损失的一倍以上三倍以下计算罚款；对造成重大或者特大大气污染事故的，按照污染事故造成的直接损失的三倍以上五倍以下计算罚款。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436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3572"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污染事故</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等级★</w:t>
            </w:r>
          </w:p>
        </w:tc>
        <w:tc>
          <w:tcPr>
            <w:tcW w:w="436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一般突发环境事件</w:t>
            </w:r>
            <w:r>
              <w:rPr>
                <w:rFonts w:ascii="Times New Roman" w:hAnsi="Times New Roman" w:eastAsia="仿宋_GB2312" w:cs="Times New Roman"/>
                <w:highlight w:val="none"/>
              </w:rPr>
              <w:t>(IV)</w:t>
            </w:r>
            <w:r>
              <w:rPr>
                <w:rFonts w:hint="eastAsia" w:ascii="Times New Roman" w:hAnsi="Times New Roman" w:eastAsia="仿宋_GB2312" w:cs="仿宋_GB2312"/>
                <w:highlight w:val="none"/>
              </w:rPr>
              <w:t>及以下事件</w:t>
            </w:r>
          </w:p>
        </w:tc>
        <w:tc>
          <w:tcPr>
            <w:tcW w:w="3572"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436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较大突发环境事件</w:t>
            </w:r>
            <w:r>
              <w:rPr>
                <w:rFonts w:ascii="Times New Roman" w:hAnsi="Times New Roman" w:eastAsia="仿宋_GB2312" w:cs="Times New Roman"/>
                <w:highlight w:val="none"/>
              </w:rPr>
              <w:t>(III)</w:t>
            </w:r>
          </w:p>
        </w:tc>
        <w:tc>
          <w:tcPr>
            <w:tcW w:w="3572"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436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重大突发环境事件</w:t>
            </w:r>
            <w:r>
              <w:rPr>
                <w:rFonts w:ascii="Times New Roman" w:hAnsi="Times New Roman" w:eastAsia="仿宋_GB2312" w:cs="Times New Roman"/>
                <w:highlight w:val="none"/>
              </w:rPr>
              <w:t>(II)</w:t>
            </w:r>
          </w:p>
        </w:tc>
        <w:tc>
          <w:tcPr>
            <w:tcW w:w="3572"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436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特别重大突发环境事件</w:t>
            </w:r>
            <w:r>
              <w:rPr>
                <w:rFonts w:ascii="Times New Roman" w:hAnsi="Times New Roman" w:eastAsia="仿宋_GB2312" w:cs="Times New Roman"/>
                <w:highlight w:val="none"/>
              </w:rPr>
              <w:t>(I)</w:t>
            </w:r>
          </w:p>
        </w:tc>
        <w:tc>
          <w:tcPr>
            <w:tcW w:w="3572"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对环境的</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影响程度</w:t>
            </w:r>
          </w:p>
        </w:tc>
        <w:tc>
          <w:tcPr>
            <w:tcW w:w="436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尚未造成环境污染</w:t>
            </w:r>
          </w:p>
        </w:tc>
        <w:tc>
          <w:tcPr>
            <w:tcW w:w="3572"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436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已造成环境污染，尚未扩散</w:t>
            </w:r>
          </w:p>
        </w:tc>
        <w:tc>
          <w:tcPr>
            <w:tcW w:w="3572"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436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已造成环境污染，并部分扩散</w:t>
            </w:r>
          </w:p>
        </w:tc>
        <w:tc>
          <w:tcPr>
            <w:tcW w:w="3572"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436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已造成环境污染，并大面积扩散</w:t>
            </w:r>
          </w:p>
        </w:tc>
        <w:tc>
          <w:tcPr>
            <w:tcW w:w="3572"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restart"/>
            <w:vAlign w:val="center"/>
          </w:tcPr>
          <w:p>
            <w:pPr>
              <w:snapToGrid w:val="0"/>
              <w:jc w:val="center"/>
              <w:rPr>
                <w:rFonts w:ascii="Times New Roman" w:hAnsi="Times New Roman" w:cs="Times New Roman"/>
                <w:color w:val="000000"/>
                <w:highlight w:val="none"/>
              </w:rPr>
            </w:pPr>
            <w:r>
              <w:rPr>
                <w:rFonts w:hint="eastAsia" w:ascii="Times New Roman" w:hAnsi="Times New Roman" w:cs="宋体"/>
                <w:b/>
                <w:bCs/>
                <w:color w:val="000000"/>
                <w:highlight w:val="none"/>
              </w:rPr>
              <w:t>区域影响</w:t>
            </w:r>
          </w:p>
        </w:tc>
        <w:tc>
          <w:tcPr>
            <w:tcW w:w="436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县级行政区域内</w:t>
            </w:r>
          </w:p>
        </w:tc>
        <w:tc>
          <w:tcPr>
            <w:tcW w:w="3572"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436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跨县级行政区域</w:t>
            </w:r>
          </w:p>
        </w:tc>
        <w:tc>
          <w:tcPr>
            <w:tcW w:w="3572"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436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跨市级行政区域</w:t>
            </w:r>
          </w:p>
        </w:tc>
        <w:tc>
          <w:tcPr>
            <w:tcW w:w="3572"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436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跨省级行政区域</w:t>
            </w:r>
          </w:p>
        </w:tc>
        <w:tc>
          <w:tcPr>
            <w:tcW w:w="3572"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938" w:type="dxa"/>
            <w:gridSpan w:val="2"/>
            <w:vAlign w:val="center"/>
          </w:tcPr>
          <w:p>
            <w:pPr>
              <w:snapToGrid w:val="0"/>
              <w:ind w:firstLine="420"/>
              <w:jc w:val="center"/>
              <w:rPr>
                <w:rFonts w:ascii="Times New Roman" w:hAnsi="Times New Roman" w:cs="Times New Roman"/>
                <w:color w:val="000000"/>
                <w:highlight w:val="none"/>
              </w:rPr>
            </w:pPr>
          </w:p>
        </w:tc>
      </w:tr>
    </w:tbl>
    <w:p>
      <w:pPr>
        <w:snapToGrid w:val="0"/>
        <w:rPr>
          <w:rFonts w:ascii="Times New Roman" w:hAnsi="Times New Roman" w:cs="Times New Roman"/>
          <w:color w:val="000000"/>
          <w:sz w:val="10"/>
          <w:szCs w:val="10"/>
          <w:highlight w:val="none"/>
        </w:rPr>
      </w:pPr>
      <w:r>
        <w:rPr>
          <w:rFonts w:ascii="Times New Roman" w:hAnsi="Times New Roman" w:cs="Times New Roman"/>
          <w:color w:val="000000"/>
          <w:highlight w:val="none"/>
        </w:rPr>
        <w:br w:type="page"/>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5156"/>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2"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（二）大气污染防治类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805"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kern w:val="0"/>
                <w:highlight w:val="none"/>
              </w:rPr>
            </w:pPr>
            <w:r>
              <w:rPr>
                <w:rFonts w:hint="eastAsia" w:ascii="Times New Roman" w:hAnsi="Times New Roman" w:cs="宋体"/>
                <w:b/>
                <w:bCs/>
                <w:kern w:val="0"/>
                <w:highlight w:val="none"/>
              </w:rPr>
              <w:t>违法行为</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20" w:firstLineChars="200"/>
              <w:rPr>
                <w:rFonts w:ascii="Times New Roman" w:hAnsi="Times New Roman" w:eastAsia="仿宋_GB2312" w:cs="Times New Roman"/>
                <w:color w:val="000000"/>
                <w:kern w:val="0"/>
                <w:highlight w:val="none"/>
              </w:rPr>
            </w:pPr>
            <w:r>
              <w:rPr>
                <w:rFonts w:hint="eastAsia" w:ascii="Times New Roman" w:hAnsi="Times New Roman" w:eastAsia="仿宋_GB2312" w:cs="仿宋_GB2312"/>
                <w:color w:val="000000"/>
                <w:kern w:val="0"/>
                <w:highlight w:val="none"/>
              </w:rPr>
              <w:t>排放工业废气或者有毒有害大气污染物的排污单位未按照规定和监测规范设置监测点位和采样监测平台的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2" w:beforeLines="20" w:line="288" w:lineRule="auto"/>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《山东省大气污染防治条例》第十五条第一款</w:t>
            </w:r>
            <w:r>
              <w:rPr>
                <w:rFonts w:ascii="Times New Roman" w:hAnsi="Times New Roman" w:eastAsia="仿宋_GB2312" w:cs="Times New Roman"/>
                <w:kern w:val="0"/>
                <w:highlight w:val="none"/>
              </w:rPr>
              <w:t xml:space="preserve"> </w:t>
            </w:r>
            <w:r>
              <w:rPr>
                <w:rFonts w:hint="eastAsia" w:ascii="Times New Roman" w:hAnsi="Times New Roman" w:eastAsia="仿宋_GB2312" w:cs="仿宋_GB2312"/>
                <w:kern w:val="0"/>
                <w:highlight w:val="none"/>
              </w:rPr>
              <w:t>排放工业废气或者有毒有害大气污染物的排污单位，应当按照规定和监测规范设置监测点位和采样监测平台，进行自行监测或者委托具有相应资质的单位进行监测。原始监测记录保存期限不得少于三年。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805" w:type="dxa"/>
            <w:gridSpan w:val="2"/>
            <w:vAlign w:val="center"/>
          </w:tcPr>
          <w:p>
            <w:pPr>
              <w:widowControl/>
              <w:snapToGrid w:val="0"/>
              <w:spacing w:before="62" w:beforeLines="20" w:line="288" w:lineRule="auto"/>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《山东省大气污染防治条例》第六十九条</w:t>
            </w:r>
            <w:r>
              <w:rPr>
                <w:rFonts w:ascii="Times New Roman" w:hAnsi="Times New Roman" w:eastAsia="仿宋_GB2312" w:cs="Times New Roman"/>
                <w:kern w:val="0"/>
                <w:highlight w:val="none"/>
              </w:rPr>
              <w:t xml:space="preserve"> </w:t>
            </w:r>
            <w:r>
              <w:rPr>
                <w:rFonts w:hint="eastAsia" w:ascii="Times New Roman" w:hAnsi="Times New Roman" w:eastAsia="仿宋_GB2312" w:cs="仿宋_GB2312"/>
                <w:kern w:val="0"/>
                <w:highlight w:val="none"/>
              </w:rPr>
              <w:t>违反本条例规定，排放工业废气或者有毒有害大气污染物的排污单位未按照规定和监测规范设置监测点位和采样监测平台的，由县级以上人民政府生态环境主管部门责令改正，处二万元以上二十万元以下的罚款；拒不改正的，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15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4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已规范设置监测点位，但采样监测平台不规范的</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监测点位不规范的</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无监测点位或者采样监测平台的</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Times New Roman"/>
                <w:b/>
                <w:bCs/>
                <w:highlight w:val="none"/>
              </w:rPr>
              <w:t>废气</w:t>
            </w:r>
            <w:r>
              <w:rPr>
                <w:rFonts w:ascii="Times New Roman" w:hAnsi="Times New Roman" w:cs="Times New Roman"/>
                <w:b/>
                <w:bCs/>
                <w:highlight w:val="none"/>
              </w:rPr>
              <w:t>类别</w:t>
            </w:r>
          </w:p>
        </w:tc>
        <w:tc>
          <w:tcPr>
            <w:tcW w:w="5156" w:type="dxa"/>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一般工业废气</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火电、钢铁、石化、水泥、炼焦、有色、化工废气、烟尘</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燃煤锅炉废气、烟尘</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含有毒有害物质的废气</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67" w:type="dxa"/>
            <w:vMerge w:val="restart"/>
            <w:vAlign w:val="center"/>
          </w:tcPr>
          <w:p>
            <w:pPr>
              <w:snapToGrid w:val="0"/>
              <w:jc w:val="center"/>
              <w:rPr>
                <w:rFonts w:hint="eastAsia" w:ascii="Times New Roman" w:hAnsi="Times New Roman" w:cs="Times New Roman"/>
                <w:b/>
                <w:bCs/>
                <w:color w:val="000000"/>
                <w:highlight w:val="none"/>
              </w:rPr>
            </w:pPr>
            <w:r>
              <w:rPr>
                <w:rFonts w:hint="eastAsia" w:ascii="Times New Roman" w:hAnsi="Times New Roman" w:cs="Times New Roman"/>
                <w:b/>
                <w:bCs/>
                <w:color w:val="000000"/>
                <w:highlight w:val="none"/>
              </w:rPr>
              <w:t>违法行为</w:t>
            </w:r>
            <w:r>
              <w:rPr>
                <w:rFonts w:ascii="Times New Roman" w:hAnsi="Times New Roman" w:cs="Times New Roman"/>
                <w:b/>
                <w:bCs/>
                <w:color w:val="000000"/>
                <w:highlight w:val="none"/>
              </w:rPr>
              <w:t>持续时间</w:t>
            </w:r>
          </w:p>
        </w:tc>
        <w:tc>
          <w:tcPr>
            <w:tcW w:w="5156" w:type="dxa"/>
            <w:vAlign w:val="center"/>
          </w:tcPr>
          <w:p>
            <w:pPr>
              <w:snapToGrid w:val="0"/>
              <w:jc w:val="center"/>
              <w:rPr>
                <w:rFonts w:hint="eastAsia"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3个月以内的</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hint="eastAsia"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超过3个月</w:t>
            </w:r>
            <w:r>
              <w:rPr>
                <w:rFonts w:ascii="Times New Roman" w:hAnsi="Times New Roman" w:eastAsia="仿宋_GB2312" w:cs="仿宋_GB2312"/>
                <w:color w:val="000000"/>
                <w:highlight w:val="none"/>
              </w:rPr>
              <w:t>并且在</w:t>
            </w:r>
            <w:r>
              <w:rPr>
                <w:rFonts w:hint="eastAsia" w:ascii="Times New Roman" w:hAnsi="Times New Roman" w:eastAsia="仿宋_GB2312" w:cs="仿宋_GB2312"/>
                <w:color w:val="000000"/>
                <w:highlight w:val="none"/>
              </w:rPr>
              <w:t>6个月</w:t>
            </w:r>
            <w:r>
              <w:rPr>
                <w:rFonts w:ascii="Times New Roman" w:hAnsi="Times New Roman" w:eastAsia="仿宋_GB2312" w:cs="仿宋_GB2312"/>
                <w:color w:val="000000"/>
                <w:highlight w:val="none"/>
              </w:rPr>
              <w:t>以内的</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hint="eastAsia"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6个月以上的</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805"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cs="Times New Roman"/>
          <w:color w:val="000000"/>
          <w:sz w:val="10"/>
          <w:szCs w:val="10"/>
          <w:highlight w:val="none"/>
        </w:rPr>
      </w:pPr>
      <w:r>
        <w:rPr>
          <w:rFonts w:ascii="Times New Roman" w:hAnsi="Times New Roman" w:cs="Times New Roman"/>
          <w:color w:val="000000"/>
          <w:highlight w:val="none"/>
        </w:rPr>
        <w:br w:type="page"/>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5156"/>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2"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（二）大气污染防治类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805"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kern w:val="0"/>
                <w:highlight w:val="none"/>
              </w:rPr>
            </w:pPr>
            <w:r>
              <w:rPr>
                <w:rFonts w:hint="eastAsia" w:ascii="Times New Roman" w:hAnsi="Times New Roman" w:cs="宋体"/>
                <w:b/>
                <w:bCs/>
                <w:kern w:val="0"/>
                <w:highlight w:val="none"/>
              </w:rPr>
              <w:t>违法行为</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20" w:firstLineChars="200"/>
              <w:rPr>
                <w:rFonts w:ascii="Times New Roman" w:hAnsi="Times New Roman" w:eastAsia="仿宋_GB2312" w:cs="Times New Roman"/>
                <w:color w:val="000000"/>
                <w:kern w:val="0"/>
                <w:highlight w:val="none"/>
              </w:rPr>
            </w:pPr>
            <w:r>
              <w:rPr>
                <w:rFonts w:hint="eastAsia" w:ascii="Times New Roman" w:hAnsi="Times New Roman" w:eastAsia="仿宋_GB2312" w:cs="仿宋_GB2312"/>
                <w:color w:val="000000"/>
                <w:kern w:val="0"/>
                <w:highlight w:val="none"/>
              </w:rPr>
              <w:t>企业事业单位未按照规定要求编制重污染天气应急响应操作方案，责令改正拒不改正的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2" w:beforeLines="20" w:line="288" w:lineRule="auto"/>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《山东省大气污染防治条例》第十七条第三款</w:t>
            </w:r>
            <w:r>
              <w:rPr>
                <w:rFonts w:ascii="Times New Roman" w:hAnsi="Times New Roman" w:eastAsia="仿宋_GB2312" w:cs="Times New Roman"/>
                <w:kern w:val="0"/>
                <w:highlight w:val="none"/>
              </w:rPr>
              <w:t xml:space="preserve"> </w:t>
            </w:r>
            <w:r>
              <w:rPr>
                <w:rFonts w:hint="eastAsia" w:ascii="Times New Roman" w:hAnsi="Times New Roman" w:eastAsia="仿宋_GB2312" w:cs="仿宋_GB2312"/>
                <w:kern w:val="0"/>
                <w:highlight w:val="none"/>
              </w:rPr>
              <w:t>企业事业单位应当根据重污染天气应急预案的要求编制重污染天气应急响应操作方案，并按照规定执行相应的应急措施。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805" w:type="dxa"/>
            <w:gridSpan w:val="2"/>
            <w:vAlign w:val="center"/>
          </w:tcPr>
          <w:p>
            <w:pPr>
              <w:widowControl/>
              <w:snapToGrid w:val="0"/>
              <w:spacing w:before="62" w:beforeLines="20" w:line="288" w:lineRule="auto"/>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《山东省大气污染防治条例》第七十条</w:t>
            </w:r>
            <w:r>
              <w:rPr>
                <w:rFonts w:ascii="Times New Roman" w:hAnsi="Times New Roman" w:eastAsia="仿宋_GB2312" w:cs="Times New Roman"/>
                <w:kern w:val="0"/>
                <w:highlight w:val="none"/>
              </w:rPr>
              <w:t xml:space="preserve"> </w:t>
            </w:r>
            <w:r>
              <w:rPr>
                <w:rFonts w:hint="eastAsia" w:ascii="Times New Roman" w:hAnsi="Times New Roman" w:eastAsia="仿宋_GB2312" w:cs="仿宋_GB2312"/>
                <w:kern w:val="0"/>
                <w:highlight w:val="none"/>
              </w:rPr>
              <w:t>违反本条例规定，企业事业单位未按照规定要求编制重污染天气应急响应操作方案的，由县级以上人民政府生态环境主管部门或者其他负有监督管理职责的部门责令改正；拒不改正的，处二千元以上一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15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4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kern w:val="0"/>
                <w:highlight w:val="none"/>
              </w:rPr>
              <w:t>编制重污染天气应急响应操作方案不规范的</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未编制最新的重污染天气应急响应操作方案，采取往年的重污染天气应急响应操作方案的</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未编制重污染天气应急响应操作方案的</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805"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cs="Times New Roman"/>
          <w:color w:val="000000"/>
          <w:sz w:val="10"/>
          <w:szCs w:val="10"/>
          <w:highlight w:val="none"/>
        </w:rPr>
      </w:pPr>
      <w:r>
        <w:rPr>
          <w:rFonts w:ascii="Times New Roman" w:hAnsi="Times New Roman" w:cs="Times New Roman"/>
          <w:color w:val="000000"/>
          <w:highlight w:val="none"/>
        </w:rPr>
        <w:br w:type="page"/>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0"/>
        <w:gridCol w:w="5033"/>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072"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（二）大气污染防治类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0"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68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0" w:type="dxa"/>
            <w:vAlign w:val="center"/>
          </w:tcPr>
          <w:p>
            <w:pPr>
              <w:snapToGrid w:val="0"/>
              <w:jc w:val="center"/>
              <w:rPr>
                <w:rFonts w:ascii="Times New Roman" w:hAnsi="Times New Roman" w:cs="Times New Roman"/>
                <w:b/>
                <w:bCs/>
                <w:kern w:val="0"/>
                <w:highlight w:val="none"/>
              </w:rPr>
            </w:pPr>
            <w:r>
              <w:rPr>
                <w:rFonts w:hint="eastAsia" w:ascii="Times New Roman" w:hAnsi="Times New Roman" w:cs="宋体"/>
                <w:b/>
                <w:bCs/>
                <w:kern w:val="0"/>
                <w:highlight w:val="none"/>
              </w:rPr>
              <w:t>违法行为</w:t>
            </w:r>
          </w:p>
        </w:tc>
        <w:tc>
          <w:tcPr>
            <w:tcW w:w="7682"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20" w:firstLineChars="200"/>
              <w:jc w:val="left"/>
              <w:rPr>
                <w:rFonts w:ascii="Times New Roman" w:hAnsi="Times New Roman" w:eastAsia="仿宋_GB2312" w:cs="Times New Roman"/>
                <w:kern w:val="0"/>
                <w:highlight w:val="none"/>
              </w:rPr>
            </w:pPr>
            <w:bookmarkStart w:id="44" w:name="OLE_LINK13"/>
            <w:bookmarkStart w:id="45" w:name="OLE_LINK14"/>
            <w:r>
              <w:rPr>
                <w:rFonts w:hint="eastAsia" w:ascii="Times New Roman" w:hAnsi="Times New Roman" w:eastAsia="仿宋_GB2312" w:cs="仿宋_GB2312"/>
                <w:kern w:val="0"/>
                <w:highlight w:val="none"/>
              </w:rPr>
              <w:t>在集中供热管网覆盖区域内，已建成的分散燃煤供热锅炉未在规定的期限内停止使用的</w:t>
            </w:r>
            <w:bookmarkEnd w:id="44"/>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0"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682"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2" w:beforeLines="20" w:line="288" w:lineRule="auto"/>
              <w:ind w:firstLine="422" w:firstLineChars="200"/>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《山东省大气污染防治条例》第二十九条第二款</w:t>
            </w:r>
            <w:r>
              <w:rPr>
                <w:rFonts w:ascii="Times New Roman" w:hAnsi="Times New Roman" w:eastAsia="仿宋_GB2312" w:cs="Times New Roman"/>
                <w:kern w:val="0"/>
                <w:highlight w:val="none"/>
              </w:rPr>
              <w:t xml:space="preserve"> </w:t>
            </w:r>
            <w:r>
              <w:rPr>
                <w:rFonts w:hint="eastAsia" w:ascii="Times New Roman" w:hAnsi="Times New Roman" w:eastAsia="仿宋_GB2312" w:cs="仿宋_GB2312"/>
                <w:kern w:val="0"/>
                <w:highlight w:val="none"/>
              </w:rPr>
              <w:t>在集中供热管网覆盖区域内，禁止新建、扩建分散燃煤供热锅炉；已建成的分散燃煤供热锅炉应当在县级以上人民政府生态环境主管部门规定的期限内停止使用。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0"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682" w:type="dxa"/>
            <w:gridSpan w:val="2"/>
            <w:vAlign w:val="center"/>
          </w:tcPr>
          <w:p>
            <w:pPr>
              <w:widowControl/>
              <w:snapToGrid w:val="0"/>
              <w:spacing w:before="62" w:beforeLines="20" w:line="288" w:lineRule="auto"/>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《山东省大气污染防治条例》第七十一条第（一）项</w:t>
            </w:r>
            <w:r>
              <w:rPr>
                <w:rFonts w:ascii="Times New Roman" w:hAnsi="Times New Roman" w:eastAsia="仿宋_GB2312" w:cs="Times New Roman"/>
                <w:kern w:val="0"/>
                <w:highlight w:val="none"/>
              </w:rPr>
              <w:t xml:space="preserve"> </w:t>
            </w:r>
            <w:r>
              <w:rPr>
                <w:rFonts w:hint="eastAsia" w:ascii="Times New Roman" w:hAnsi="Times New Roman" w:eastAsia="仿宋_GB2312" w:cs="仿宋_GB2312"/>
                <w:kern w:val="0"/>
                <w:highlight w:val="none"/>
              </w:rPr>
              <w:t>违反本条例规定，有下列行为之一的，由县级以上人民政府生态环境主管部门责令限期拆除锅炉，并处二万元以上二十万元以下的罚款：</w:t>
            </w:r>
          </w:p>
          <w:p>
            <w:pPr>
              <w:widowControl/>
              <w:snapToGrid w:val="0"/>
              <w:spacing w:line="288" w:lineRule="auto"/>
              <w:ind w:firstLine="420"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（一）在集中供热管网覆盖区域内，已建成的分散燃煤供热锅炉未在规定的期限内停止使用的。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0"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03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4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0"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03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锅炉配套安装了污染防治设施且规范使用的</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0" w:type="dxa"/>
            <w:vMerge w:val="continue"/>
            <w:vAlign w:val="center"/>
          </w:tcPr>
          <w:p>
            <w:pPr>
              <w:snapToGrid w:val="0"/>
              <w:jc w:val="center"/>
              <w:rPr>
                <w:rFonts w:ascii="Times New Roman" w:hAnsi="Times New Roman" w:cs="Times New Roman"/>
                <w:b/>
                <w:bCs/>
                <w:highlight w:val="none"/>
              </w:rPr>
            </w:pPr>
          </w:p>
        </w:tc>
        <w:tc>
          <w:tcPr>
            <w:tcW w:w="503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锅炉未规范配套安装或者使用污染防治设施的</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0" w:type="dxa"/>
            <w:vMerge w:val="continue"/>
            <w:vAlign w:val="center"/>
          </w:tcPr>
          <w:p>
            <w:pPr>
              <w:snapToGrid w:val="0"/>
              <w:jc w:val="center"/>
              <w:rPr>
                <w:rFonts w:ascii="Times New Roman" w:hAnsi="Times New Roman" w:cs="Times New Roman"/>
                <w:b/>
                <w:bCs/>
                <w:highlight w:val="none"/>
              </w:rPr>
            </w:pPr>
          </w:p>
        </w:tc>
        <w:tc>
          <w:tcPr>
            <w:tcW w:w="503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未安装或使用污染防治设施的</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0"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锅炉规模</w:t>
            </w:r>
          </w:p>
        </w:tc>
        <w:tc>
          <w:tcPr>
            <w:tcW w:w="503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r>
              <w:rPr>
                <w:rFonts w:hint="eastAsia" w:ascii="Times New Roman" w:hAnsi="Times New Roman" w:eastAsia="仿宋_GB2312" w:cs="仿宋_GB2312"/>
                <w:highlight w:val="none"/>
              </w:rPr>
              <w:t>蒸吨以下</w:t>
            </w:r>
          </w:p>
        </w:tc>
        <w:tc>
          <w:tcPr>
            <w:tcW w:w="264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0" w:type="dxa"/>
            <w:vMerge w:val="continue"/>
            <w:vAlign w:val="center"/>
          </w:tcPr>
          <w:p>
            <w:pPr>
              <w:snapToGrid w:val="0"/>
              <w:jc w:val="center"/>
              <w:rPr>
                <w:rFonts w:ascii="Times New Roman" w:hAnsi="Times New Roman" w:cs="Times New Roman"/>
                <w:b/>
                <w:bCs/>
                <w:highlight w:val="none"/>
              </w:rPr>
            </w:pPr>
          </w:p>
        </w:tc>
        <w:tc>
          <w:tcPr>
            <w:tcW w:w="503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r>
              <w:rPr>
                <w:rFonts w:hint="eastAsia" w:ascii="Times New Roman" w:hAnsi="Times New Roman" w:eastAsia="仿宋_GB2312" w:cs="仿宋_GB2312"/>
                <w:highlight w:val="none"/>
              </w:rPr>
              <w:t>蒸吨以上</w:t>
            </w:r>
            <w:r>
              <w:rPr>
                <w:rFonts w:ascii="Times New Roman" w:hAnsi="Times New Roman" w:eastAsia="仿宋_GB2312" w:cs="Times New Roman"/>
                <w:highlight w:val="none"/>
              </w:rPr>
              <w:t>5</w:t>
            </w:r>
            <w:r>
              <w:rPr>
                <w:rFonts w:hint="eastAsia" w:ascii="Times New Roman" w:hAnsi="Times New Roman" w:eastAsia="仿宋_GB2312" w:cs="仿宋_GB2312"/>
                <w:highlight w:val="none"/>
              </w:rPr>
              <w:t>蒸吨以下</w:t>
            </w:r>
          </w:p>
        </w:tc>
        <w:tc>
          <w:tcPr>
            <w:tcW w:w="2649"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0" w:type="dxa"/>
            <w:vMerge w:val="continue"/>
            <w:vAlign w:val="center"/>
          </w:tcPr>
          <w:p>
            <w:pPr>
              <w:snapToGrid w:val="0"/>
              <w:jc w:val="center"/>
              <w:rPr>
                <w:rFonts w:ascii="Times New Roman" w:hAnsi="Times New Roman" w:cs="Times New Roman"/>
                <w:b/>
                <w:bCs/>
                <w:highlight w:val="none"/>
              </w:rPr>
            </w:pPr>
          </w:p>
        </w:tc>
        <w:tc>
          <w:tcPr>
            <w:tcW w:w="503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r>
              <w:rPr>
                <w:rFonts w:hint="eastAsia" w:ascii="Times New Roman" w:hAnsi="Times New Roman" w:eastAsia="仿宋_GB2312" w:cs="仿宋_GB2312"/>
                <w:highlight w:val="none"/>
              </w:rPr>
              <w:t>蒸吨以上</w:t>
            </w:r>
            <w:r>
              <w:rPr>
                <w:rFonts w:ascii="Times New Roman" w:hAnsi="Times New Roman" w:eastAsia="仿宋_GB2312" w:cs="Times New Roman"/>
                <w:highlight w:val="none"/>
              </w:rPr>
              <w:t>8</w:t>
            </w:r>
            <w:r>
              <w:rPr>
                <w:rFonts w:hint="eastAsia" w:ascii="Times New Roman" w:hAnsi="Times New Roman" w:eastAsia="仿宋_GB2312" w:cs="仿宋_GB2312"/>
                <w:highlight w:val="none"/>
              </w:rPr>
              <w:t>蒸吨以下</w:t>
            </w:r>
          </w:p>
        </w:tc>
        <w:tc>
          <w:tcPr>
            <w:tcW w:w="2649"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0" w:type="dxa"/>
            <w:vMerge w:val="continue"/>
            <w:vAlign w:val="center"/>
          </w:tcPr>
          <w:p>
            <w:pPr>
              <w:snapToGrid w:val="0"/>
              <w:jc w:val="center"/>
              <w:rPr>
                <w:rFonts w:ascii="Times New Roman" w:hAnsi="Times New Roman" w:cs="Times New Roman"/>
                <w:b/>
                <w:bCs/>
                <w:highlight w:val="none"/>
              </w:rPr>
            </w:pPr>
          </w:p>
        </w:tc>
        <w:tc>
          <w:tcPr>
            <w:tcW w:w="503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8</w:t>
            </w:r>
            <w:r>
              <w:rPr>
                <w:rFonts w:hint="eastAsia" w:ascii="Times New Roman" w:hAnsi="Times New Roman" w:eastAsia="仿宋_GB2312" w:cs="仿宋_GB2312"/>
                <w:highlight w:val="none"/>
              </w:rPr>
              <w:t>蒸吨以上</w:t>
            </w:r>
            <w:r>
              <w:rPr>
                <w:rFonts w:ascii="Times New Roman" w:hAnsi="Times New Roman" w:eastAsia="仿宋_GB2312" w:cs="Times New Roman"/>
                <w:highlight w:val="none"/>
              </w:rPr>
              <w:t>10</w:t>
            </w:r>
            <w:r>
              <w:rPr>
                <w:rFonts w:hint="eastAsia" w:ascii="Times New Roman" w:hAnsi="Times New Roman" w:eastAsia="仿宋_GB2312" w:cs="仿宋_GB2312"/>
                <w:highlight w:val="none"/>
              </w:rPr>
              <w:t>蒸吨以下</w:t>
            </w:r>
          </w:p>
        </w:tc>
        <w:tc>
          <w:tcPr>
            <w:tcW w:w="2649"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0" w:type="dxa"/>
            <w:vMerge w:val="continue"/>
            <w:vAlign w:val="center"/>
          </w:tcPr>
          <w:p>
            <w:pPr>
              <w:snapToGrid w:val="0"/>
              <w:jc w:val="center"/>
              <w:rPr>
                <w:rFonts w:ascii="Times New Roman" w:hAnsi="Times New Roman" w:cs="Times New Roman"/>
                <w:b/>
                <w:bCs/>
                <w:highlight w:val="none"/>
              </w:rPr>
            </w:pPr>
          </w:p>
        </w:tc>
        <w:tc>
          <w:tcPr>
            <w:tcW w:w="503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10</w:t>
            </w:r>
            <w:r>
              <w:rPr>
                <w:rFonts w:hint="eastAsia" w:ascii="Times New Roman" w:hAnsi="Times New Roman" w:eastAsia="仿宋_GB2312" w:cs="仿宋_GB2312"/>
                <w:highlight w:val="none"/>
              </w:rPr>
              <w:t>蒸吨以上</w:t>
            </w:r>
          </w:p>
        </w:tc>
        <w:tc>
          <w:tcPr>
            <w:tcW w:w="2649"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0"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发生时期</w:t>
            </w:r>
          </w:p>
        </w:tc>
        <w:tc>
          <w:tcPr>
            <w:tcW w:w="503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一般期间</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0" w:type="dxa"/>
            <w:vMerge w:val="continue"/>
            <w:vAlign w:val="center"/>
          </w:tcPr>
          <w:p>
            <w:pPr>
              <w:snapToGrid w:val="0"/>
              <w:jc w:val="center"/>
              <w:rPr>
                <w:rFonts w:ascii="Times New Roman" w:hAnsi="Times New Roman" w:cs="Times New Roman"/>
                <w:b/>
                <w:bCs/>
                <w:highlight w:val="none"/>
              </w:rPr>
            </w:pPr>
          </w:p>
        </w:tc>
        <w:tc>
          <w:tcPr>
            <w:tcW w:w="5033" w:type="dxa"/>
            <w:vAlign w:val="center"/>
          </w:tcPr>
          <w:p>
            <w:pPr>
              <w:snapToGrid w:val="0"/>
              <w:jc w:val="center"/>
              <w:rPr>
                <w:rFonts w:ascii="Times New Roman" w:hAnsi="Times New Roman" w:eastAsia="仿宋_GB2312" w:cs="Times New Roman"/>
                <w:b/>
                <w:bCs/>
                <w:highlight w:val="none"/>
              </w:rPr>
            </w:pPr>
            <w:r>
              <w:rPr>
                <w:rFonts w:hint="eastAsia" w:ascii="Times New Roman" w:hAnsi="Times New Roman" w:eastAsia="仿宋_GB2312" w:cs="仿宋_GB2312"/>
                <w:highlight w:val="none"/>
              </w:rPr>
              <w:t>特殊或重大活动期间</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0" w:type="dxa"/>
            <w:vMerge w:val="continue"/>
            <w:vAlign w:val="center"/>
          </w:tcPr>
          <w:p>
            <w:pPr>
              <w:snapToGrid w:val="0"/>
              <w:jc w:val="center"/>
              <w:rPr>
                <w:rFonts w:ascii="Times New Roman" w:hAnsi="Times New Roman" w:cs="Times New Roman"/>
                <w:b/>
                <w:bCs/>
                <w:highlight w:val="none"/>
              </w:rPr>
            </w:pPr>
          </w:p>
        </w:tc>
        <w:tc>
          <w:tcPr>
            <w:tcW w:w="5033" w:type="dxa"/>
            <w:vAlign w:val="center"/>
          </w:tcPr>
          <w:p>
            <w:pPr>
              <w:snapToGrid w:val="0"/>
              <w:jc w:val="center"/>
              <w:rPr>
                <w:rFonts w:ascii="Times New Roman" w:hAnsi="Times New Roman" w:eastAsia="仿宋_GB2312" w:cs="Times New Roman"/>
                <w:b/>
                <w:bCs/>
                <w:highlight w:val="none"/>
              </w:rPr>
            </w:pPr>
            <w:r>
              <w:rPr>
                <w:rFonts w:hint="eastAsia" w:ascii="Times New Roman" w:hAnsi="Times New Roman" w:eastAsia="仿宋_GB2312" w:cs="仿宋_GB2312"/>
                <w:highlight w:val="none"/>
              </w:rPr>
              <w:t>重污染天气预警期间</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0"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682"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cs="Times New Roman"/>
          <w:color w:val="000000"/>
          <w:sz w:val="10"/>
          <w:szCs w:val="10"/>
          <w:highlight w:val="none"/>
        </w:rPr>
      </w:pPr>
      <w:r>
        <w:rPr>
          <w:rFonts w:ascii="Times New Roman" w:hAnsi="Times New Roman" w:cs="Times New Roman"/>
          <w:color w:val="000000"/>
          <w:highlight w:val="none"/>
        </w:rPr>
        <w:br w:type="page"/>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0"/>
        <w:gridCol w:w="5033"/>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2"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（二）大气污染防治类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0"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68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0" w:type="dxa"/>
            <w:vAlign w:val="center"/>
          </w:tcPr>
          <w:p>
            <w:pPr>
              <w:snapToGrid w:val="0"/>
              <w:spacing w:line="288" w:lineRule="auto"/>
              <w:jc w:val="center"/>
              <w:rPr>
                <w:rFonts w:ascii="Times New Roman" w:hAnsi="Times New Roman" w:cs="Times New Roman"/>
                <w:b/>
                <w:bCs/>
                <w:kern w:val="0"/>
                <w:highlight w:val="none"/>
              </w:rPr>
            </w:pPr>
            <w:r>
              <w:rPr>
                <w:rFonts w:hint="eastAsia" w:ascii="Times New Roman" w:hAnsi="Times New Roman" w:cs="宋体"/>
                <w:b/>
                <w:bCs/>
                <w:kern w:val="0"/>
                <w:highlight w:val="none"/>
              </w:rPr>
              <w:t>违法行为</w:t>
            </w:r>
          </w:p>
        </w:tc>
        <w:tc>
          <w:tcPr>
            <w:tcW w:w="7682"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2" w:beforeLines="20" w:line="288" w:lineRule="auto"/>
              <w:ind w:firstLine="420" w:firstLineChars="200"/>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除国家和省另有规定外，在城市建成区、开发区、工业园区内，新建额定蒸发量二十吨以下的直接燃煤、重油、渣油锅炉以及直接燃用生物质锅炉的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0"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682"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2" w:beforeLines="20" w:line="288" w:lineRule="auto"/>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《山东省大气污染防治条例》第二十八条第二款</w:t>
            </w:r>
            <w:r>
              <w:rPr>
                <w:rFonts w:ascii="Times New Roman" w:hAnsi="Times New Roman" w:eastAsia="仿宋_GB2312" w:cs="Times New Roman"/>
                <w:kern w:val="0"/>
                <w:highlight w:val="none"/>
              </w:rPr>
              <w:t xml:space="preserve"> </w:t>
            </w:r>
            <w:r>
              <w:rPr>
                <w:rFonts w:hint="eastAsia" w:ascii="Times New Roman" w:hAnsi="Times New Roman" w:eastAsia="仿宋_GB2312" w:cs="仿宋_GB2312"/>
                <w:kern w:val="0"/>
                <w:highlight w:val="none"/>
              </w:rPr>
              <w:t>除国家和省另有规定外，在城市建成区、开发区、工业园区内不得新建额定蒸发量二十吨以下的直接燃煤、重油、渣油锅炉以及直接燃用生物质的锅炉。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0"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682" w:type="dxa"/>
            <w:gridSpan w:val="2"/>
            <w:vAlign w:val="center"/>
          </w:tcPr>
          <w:p>
            <w:pPr>
              <w:widowControl/>
              <w:snapToGrid w:val="0"/>
              <w:spacing w:before="62" w:beforeLines="20" w:line="288" w:lineRule="auto"/>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《山东省大气污染防治条例》第七十一条第（二）项</w:t>
            </w:r>
            <w:r>
              <w:rPr>
                <w:rFonts w:ascii="Times New Roman" w:hAnsi="Times New Roman" w:eastAsia="仿宋_GB2312" w:cs="Times New Roman"/>
                <w:kern w:val="0"/>
                <w:highlight w:val="none"/>
              </w:rPr>
              <w:t xml:space="preserve"> </w:t>
            </w:r>
            <w:r>
              <w:rPr>
                <w:rFonts w:hint="eastAsia" w:ascii="Times New Roman" w:hAnsi="Times New Roman" w:eastAsia="仿宋_GB2312" w:cs="仿宋_GB2312"/>
                <w:kern w:val="0"/>
                <w:highlight w:val="none"/>
              </w:rPr>
              <w:t>违反本条例规定，有下列行为之一的，由县级以上人民政府生态环境主管部门责令限期拆除锅炉，并处二万元以上二十万元以下的罚款：</w:t>
            </w:r>
          </w:p>
          <w:p>
            <w:pPr>
              <w:widowControl/>
              <w:snapToGrid w:val="0"/>
              <w:spacing w:line="288" w:lineRule="auto"/>
              <w:ind w:firstLine="420"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（二）除国家和省另有规定外，在城市建成区、开发区、工业园区内，新建额定蒸发量二十吨以下的直接燃煤、重油、渣油锅炉以及直接燃用生物质锅炉的。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0"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03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4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0"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03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锅炉配套安装了污染防治设施且规范使用的</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0" w:type="dxa"/>
            <w:vMerge w:val="continue"/>
            <w:vAlign w:val="center"/>
          </w:tcPr>
          <w:p>
            <w:pPr>
              <w:snapToGrid w:val="0"/>
              <w:jc w:val="center"/>
              <w:rPr>
                <w:rFonts w:ascii="Times New Roman" w:hAnsi="Times New Roman" w:cs="Times New Roman"/>
                <w:b/>
                <w:bCs/>
                <w:highlight w:val="none"/>
              </w:rPr>
            </w:pPr>
          </w:p>
        </w:tc>
        <w:tc>
          <w:tcPr>
            <w:tcW w:w="503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锅炉未规范配套安装或者使用污染防治设施的</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0" w:type="dxa"/>
            <w:vMerge w:val="continue"/>
            <w:vAlign w:val="center"/>
          </w:tcPr>
          <w:p>
            <w:pPr>
              <w:snapToGrid w:val="0"/>
              <w:jc w:val="center"/>
              <w:rPr>
                <w:rFonts w:ascii="Times New Roman" w:hAnsi="Times New Roman" w:cs="Times New Roman"/>
                <w:b/>
                <w:bCs/>
                <w:highlight w:val="none"/>
              </w:rPr>
            </w:pPr>
          </w:p>
        </w:tc>
        <w:tc>
          <w:tcPr>
            <w:tcW w:w="503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未安装或使用污染防治设施的</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0"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锅炉规模</w:t>
            </w:r>
          </w:p>
        </w:tc>
        <w:tc>
          <w:tcPr>
            <w:tcW w:w="503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r>
              <w:rPr>
                <w:rFonts w:hint="eastAsia" w:ascii="Times New Roman" w:hAnsi="Times New Roman" w:eastAsia="仿宋_GB2312" w:cs="仿宋_GB2312"/>
                <w:highlight w:val="none"/>
              </w:rPr>
              <w:t>蒸吨以下</w:t>
            </w:r>
          </w:p>
        </w:tc>
        <w:tc>
          <w:tcPr>
            <w:tcW w:w="264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0" w:type="dxa"/>
            <w:vMerge w:val="continue"/>
            <w:vAlign w:val="center"/>
          </w:tcPr>
          <w:p>
            <w:pPr>
              <w:snapToGrid w:val="0"/>
              <w:jc w:val="center"/>
              <w:rPr>
                <w:rFonts w:ascii="Times New Roman" w:hAnsi="Times New Roman" w:cs="Times New Roman"/>
                <w:b/>
                <w:bCs/>
                <w:highlight w:val="none"/>
              </w:rPr>
            </w:pPr>
          </w:p>
        </w:tc>
        <w:tc>
          <w:tcPr>
            <w:tcW w:w="503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r>
              <w:rPr>
                <w:rFonts w:hint="eastAsia" w:ascii="Times New Roman" w:hAnsi="Times New Roman" w:eastAsia="仿宋_GB2312" w:cs="仿宋_GB2312"/>
                <w:highlight w:val="none"/>
              </w:rPr>
              <w:t>蒸吨以上</w:t>
            </w:r>
            <w:r>
              <w:rPr>
                <w:rFonts w:ascii="Times New Roman" w:hAnsi="Times New Roman" w:eastAsia="仿宋_GB2312" w:cs="Times New Roman"/>
                <w:highlight w:val="none"/>
              </w:rPr>
              <w:t>5</w:t>
            </w:r>
            <w:r>
              <w:rPr>
                <w:rFonts w:hint="eastAsia" w:ascii="Times New Roman" w:hAnsi="Times New Roman" w:eastAsia="仿宋_GB2312" w:cs="仿宋_GB2312"/>
                <w:highlight w:val="none"/>
              </w:rPr>
              <w:t>蒸吨以下</w:t>
            </w:r>
          </w:p>
        </w:tc>
        <w:tc>
          <w:tcPr>
            <w:tcW w:w="2649"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0" w:type="dxa"/>
            <w:vMerge w:val="continue"/>
            <w:vAlign w:val="center"/>
          </w:tcPr>
          <w:p>
            <w:pPr>
              <w:snapToGrid w:val="0"/>
              <w:jc w:val="center"/>
              <w:rPr>
                <w:rFonts w:ascii="Times New Roman" w:hAnsi="Times New Roman" w:cs="Times New Roman"/>
                <w:b/>
                <w:bCs/>
                <w:highlight w:val="none"/>
              </w:rPr>
            </w:pPr>
          </w:p>
        </w:tc>
        <w:tc>
          <w:tcPr>
            <w:tcW w:w="503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r>
              <w:rPr>
                <w:rFonts w:hint="eastAsia" w:ascii="Times New Roman" w:hAnsi="Times New Roman" w:eastAsia="仿宋_GB2312" w:cs="仿宋_GB2312"/>
                <w:highlight w:val="none"/>
              </w:rPr>
              <w:t>蒸吨以上</w:t>
            </w:r>
            <w:r>
              <w:rPr>
                <w:rFonts w:ascii="Times New Roman" w:hAnsi="Times New Roman" w:eastAsia="仿宋_GB2312" w:cs="Times New Roman"/>
                <w:highlight w:val="none"/>
              </w:rPr>
              <w:t>8</w:t>
            </w:r>
            <w:r>
              <w:rPr>
                <w:rFonts w:hint="eastAsia" w:ascii="Times New Roman" w:hAnsi="Times New Roman" w:eastAsia="仿宋_GB2312" w:cs="仿宋_GB2312"/>
                <w:highlight w:val="none"/>
              </w:rPr>
              <w:t>蒸吨以下</w:t>
            </w:r>
          </w:p>
        </w:tc>
        <w:tc>
          <w:tcPr>
            <w:tcW w:w="2649"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0" w:type="dxa"/>
            <w:vMerge w:val="continue"/>
            <w:vAlign w:val="center"/>
          </w:tcPr>
          <w:p>
            <w:pPr>
              <w:snapToGrid w:val="0"/>
              <w:jc w:val="center"/>
              <w:rPr>
                <w:rFonts w:ascii="Times New Roman" w:hAnsi="Times New Roman" w:cs="Times New Roman"/>
                <w:b/>
                <w:bCs/>
                <w:highlight w:val="none"/>
              </w:rPr>
            </w:pPr>
          </w:p>
        </w:tc>
        <w:tc>
          <w:tcPr>
            <w:tcW w:w="503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8</w:t>
            </w:r>
            <w:r>
              <w:rPr>
                <w:rFonts w:hint="eastAsia" w:ascii="Times New Roman" w:hAnsi="Times New Roman" w:eastAsia="仿宋_GB2312" w:cs="仿宋_GB2312"/>
                <w:highlight w:val="none"/>
              </w:rPr>
              <w:t>蒸吨以上</w:t>
            </w:r>
            <w:r>
              <w:rPr>
                <w:rFonts w:ascii="Times New Roman" w:hAnsi="Times New Roman" w:eastAsia="仿宋_GB2312" w:cs="Times New Roman"/>
                <w:highlight w:val="none"/>
              </w:rPr>
              <w:t>10</w:t>
            </w:r>
            <w:r>
              <w:rPr>
                <w:rFonts w:hint="eastAsia" w:ascii="Times New Roman" w:hAnsi="Times New Roman" w:eastAsia="仿宋_GB2312" w:cs="仿宋_GB2312"/>
                <w:highlight w:val="none"/>
              </w:rPr>
              <w:t>蒸吨以下</w:t>
            </w:r>
          </w:p>
        </w:tc>
        <w:tc>
          <w:tcPr>
            <w:tcW w:w="2649"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0" w:type="dxa"/>
            <w:vMerge w:val="continue"/>
            <w:vAlign w:val="center"/>
          </w:tcPr>
          <w:p>
            <w:pPr>
              <w:snapToGrid w:val="0"/>
              <w:jc w:val="center"/>
              <w:rPr>
                <w:rFonts w:ascii="Times New Roman" w:hAnsi="Times New Roman" w:cs="Times New Roman"/>
                <w:b/>
                <w:bCs/>
                <w:highlight w:val="none"/>
              </w:rPr>
            </w:pPr>
          </w:p>
        </w:tc>
        <w:tc>
          <w:tcPr>
            <w:tcW w:w="503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10</w:t>
            </w:r>
            <w:r>
              <w:rPr>
                <w:rFonts w:hint="eastAsia" w:ascii="Times New Roman" w:hAnsi="Times New Roman" w:eastAsia="仿宋_GB2312" w:cs="仿宋_GB2312"/>
                <w:highlight w:val="none"/>
              </w:rPr>
              <w:t>蒸吨以上</w:t>
            </w:r>
            <w:r>
              <w:rPr>
                <w:rFonts w:ascii="Times New Roman" w:hAnsi="Times New Roman" w:eastAsia="仿宋_GB2312" w:cs="Times New Roman"/>
                <w:highlight w:val="none"/>
              </w:rPr>
              <w:t>20</w:t>
            </w:r>
            <w:r>
              <w:rPr>
                <w:rFonts w:hint="eastAsia" w:ascii="Times New Roman" w:hAnsi="Times New Roman" w:eastAsia="仿宋_GB2312" w:cs="仿宋_GB2312"/>
                <w:highlight w:val="none"/>
              </w:rPr>
              <w:t>蒸吨以下</w:t>
            </w:r>
          </w:p>
        </w:tc>
        <w:tc>
          <w:tcPr>
            <w:tcW w:w="2649"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0"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发生时期</w:t>
            </w:r>
          </w:p>
        </w:tc>
        <w:tc>
          <w:tcPr>
            <w:tcW w:w="503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一般期间</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0" w:type="dxa"/>
            <w:vMerge w:val="continue"/>
            <w:vAlign w:val="center"/>
          </w:tcPr>
          <w:p>
            <w:pPr>
              <w:snapToGrid w:val="0"/>
              <w:jc w:val="center"/>
              <w:rPr>
                <w:rFonts w:ascii="Times New Roman" w:hAnsi="Times New Roman" w:cs="Times New Roman"/>
                <w:b/>
                <w:bCs/>
                <w:highlight w:val="none"/>
              </w:rPr>
            </w:pPr>
          </w:p>
        </w:tc>
        <w:tc>
          <w:tcPr>
            <w:tcW w:w="503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特殊或重大活动期间</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0" w:type="dxa"/>
            <w:vMerge w:val="continue"/>
            <w:vAlign w:val="center"/>
          </w:tcPr>
          <w:p>
            <w:pPr>
              <w:snapToGrid w:val="0"/>
              <w:jc w:val="center"/>
              <w:rPr>
                <w:rFonts w:ascii="Times New Roman" w:hAnsi="Times New Roman" w:cs="Times New Roman"/>
                <w:b/>
                <w:bCs/>
                <w:highlight w:val="none"/>
              </w:rPr>
            </w:pPr>
          </w:p>
        </w:tc>
        <w:tc>
          <w:tcPr>
            <w:tcW w:w="503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重污染天气预警期间</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0"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682"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cs="Times New Roman"/>
          <w:color w:val="000000"/>
          <w:sz w:val="10"/>
          <w:szCs w:val="10"/>
          <w:highlight w:val="none"/>
        </w:rPr>
      </w:pPr>
      <w:r>
        <w:rPr>
          <w:rFonts w:ascii="Times New Roman" w:hAnsi="Times New Roman" w:cs="Times New Roman"/>
          <w:color w:val="000000"/>
          <w:highlight w:val="none"/>
        </w:rPr>
        <w:br w:type="page"/>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5156"/>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2"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（二）大气污染防治类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805"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kern w:val="0"/>
                <w:highlight w:val="none"/>
              </w:rPr>
            </w:pPr>
            <w:r>
              <w:rPr>
                <w:rFonts w:hint="eastAsia" w:ascii="Times New Roman" w:hAnsi="Times New Roman" w:cs="宋体"/>
                <w:b/>
                <w:bCs/>
                <w:kern w:val="0"/>
                <w:highlight w:val="none"/>
              </w:rPr>
              <w:t>违法行为</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2" w:beforeLines="20" w:line="288" w:lineRule="auto"/>
              <w:ind w:firstLine="420" w:firstLineChars="200"/>
              <w:rPr>
                <w:rFonts w:ascii="Times New Roman" w:hAnsi="Times New Roman" w:eastAsia="仿宋_GB2312" w:cs="Times New Roman"/>
                <w:color w:val="000000"/>
                <w:kern w:val="0"/>
                <w:highlight w:val="none"/>
              </w:rPr>
            </w:pPr>
            <w:r>
              <w:rPr>
                <w:rFonts w:hint="eastAsia" w:ascii="Times New Roman" w:hAnsi="Times New Roman" w:eastAsia="仿宋_GB2312" w:cs="仿宋_GB2312"/>
                <w:color w:val="000000"/>
                <w:kern w:val="0"/>
                <w:highlight w:val="none"/>
              </w:rPr>
              <w:t>排污单位未按照规定对不经过排气筒集中排放的大气污染物采取必要的污染防治措施的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2" w:beforeLines="20" w:line="288" w:lineRule="auto"/>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《山东省大气污染防治条例》第三十三条</w:t>
            </w:r>
            <w:r>
              <w:rPr>
                <w:rFonts w:ascii="Times New Roman" w:hAnsi="Times New Roman" w:eastAsia="仿宋_GB2312" w:cs="Times New Roman"/>
                <w:kern w:val="0"/>
                <w:highlight w:val="none"/>
              </w:rPr>
              <w:t xml:space="preserve"> </w:t>
            </w:r>
            <w:r>
              <w:rPr>
                <w:rFonts w:hint="eastAsia" w:ascii="Times New Roman" w:hAnsi="Times New Roman" w:eastAsia="仿宋_GB2312" w:cs="仿宋_GB2312"/>
                <w:kern w:val="0"/>
                <w:highlight w:val="none"/>
              </w:rPr>
              <w:t>对不经过排气筒集中排放的大气污染物，排污单位应当采取密闭、封闭、集中收集、吸附、分解等处理措施，严格控制生产过程以及内部物料堆存、传输、装卸等环节产生的粉尘和气态污染物的排放。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805" w:type="dxa"/>
            <w:gridSpan w:val="2"/>
            <w:vAlign w:val="center"/>
          </w:tcPr>
          <w:p>
            <w:pPr>
              <w:widowControl/>
              <w:snapToGrid w:val="0"/>
              <w:spacing w:before="62" w:beforeLines="20" w:line="288" w:lineRule="auto"/>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《山东省大气污染防治条例》第七十二条第（一）项</w:t>
            </w:r>
            <w:r>
              <w:rPr>
                <w:rFonts w:ascii="Times New Roman" w:hAnsi="Times New Roman" w:eastAsia="仿宋_GB2312" w:cs="Times New Roman"/>
                <w:kern w:val="0"/>
                <w:highlight w:val="none"/>
              </w:rPr>
              <w:t xml:space="preserve"> </w:t>
            </w:r>
            <w:r>
              <w:rPr>
                <w:rFonts w:hint="eastAsia" w:ascii="Times New Roman" w:hAnsi="Times New Roman" w:eastAsia="仿宋_GB2312" w:cs="仿宋_GB2312"/>
                <w:kern w:val="0"/>
                <w:highlight w:val="none"/>
              </w:rPr>
              <w:t>违反本条例规定，有下列行为之一的，由县级以上人民政府生态环境主管部门责令改正，处二万元以上二十万元以下的罚款；拒不改正的，责令停产整治：</w:t>
            </w:r>
          </w:p>
          <w:p>
            <w:pPr>
              <w:widowControl/>
              <w:snapToGrid w:val="0"/>
              <w:spacing w:line="288" w:lineRule="auto"/>
              <w:ind w:firstLine="420"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（一）排污单位未按照规定对不经过排气筒集中排放的大气污染物采取必要的污染防治措施的。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15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4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未规范采取污染防治措施的</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未采取污染防治措施的</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废气类别</w:t>
            </w: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餐饮油烟（经营）</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农业生产、畜禽养殖</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工地扬尘</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机械、汽车修理</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一般工业废气</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含恶臭污染物的废气</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医疗</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实验室</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火电、钢铁、石化、水泥、炼焦、有色、化工废气、烟尘</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燃煤锅炉废气、烟尘</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含有毒有害物质的废气</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项目应编制的环评文件类别</w:t>
            </w: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登记表</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报告表</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报告书</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805"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cs="Times New Roman"/>
          <w:color w:val="000000"/>
          <w:sz w:val="10"/>
          <w:szCs w:val="10"/>
          <w:highlight w:val="none"/>
        </w:rPr>
      </w:pPr>
      <w:r>
        <w:rPr>
          <w:rFonts w:ascii="Times New Roman" w:hAnsi="Times New Roman" w:cs="Times New Roman"/>
          <w:color w:val="000000"/>
          <w:highlight w:val="none"/>
        </w:rPr>
        <w:br w:type="page"/>
      </w:r>
    </w:p>
    <w:tbl>
      <w:tblPr>
        <w:tblStyle w:val="14"/>
        <w:tblW w:w="907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5156"/>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72"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（二）大气污染防治类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805"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7" w:type="dxa"/>
            <w:vAlign w:val="center"/>
          </w:tcPr>
          <w:p>
            <w:pPr>
              <w:snapToGrid w:val="0"/>
              <w:spacing w:line="288" w:lineRule="auto"/>
              <w:jc w:val="center"/>
              <w:rPr>
                <w:rFonts w:ascii="Times New Roman" w:hAnsi="Times New Roman" w:cs="Times New Roman"/>
                <w:b/>
                <w:bCs/>
                <w:kern w:val="0"/>
                <w:highlight w:val="none"/>
              </w:rPr>
            </w:pPr>
            <w:r>
              <w:rPr>
                <w:rFonts w:hint="eastAsia" w:ascii="Times New Roman" w:hAnsi="Times New Roman" w:cs="宋体"/>
                <w:b/>
                <w:bCs/>
                <w:kern w:val="0"/>
                <w:highlight w:val="none"/>
              </w:rPr>
              <w:t>违法行为</w:t>
            </w:r>
          </w:p>
        </w:tc>
        <w:tc>
          <w:tcPr>
            <w:tcW w:w="7805" w:type="dxa"/>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2" w:beforeLines="20" w:line="288" w:lineRule="auto"/>
              <w:ind w:firstLine="420" w:firstLineChars="200"/>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在需要特殊保护的区域及其周边，新建、改建和扩建石化、焦化、制药、油漆、塑料、橡胶、造纸、饲料等生产项目的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805" w:type="dxa"/>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2" w:beforeLines="20" w:line="288" w:lineRule="auto"/>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《山东省大气污染防治条例》第三十八条第二款</w:t>
            </w:r>
            <w:r>
              <w:rPr>
                <w:rFonts w:ascii="Times New Roman" w:hAnsi="Times New Roman" w:eastAsia="仿宋_GB2312" w:cs="Times New Roman"/>
                <w:kern w:val="0"/>
                <w:highlight w:val="none"/>
              </w:rPr>
              <w:t xml:space="preserve"> </w:t>
            </w:r>
            <w:r>
              <w:rPr>
                <w:rFonts w:hint="eastAsia" w:ascii="Times New Roman" w:hAnsi="Times New Roman" w:eastAsia="仿宋_GB2312" w:cs="仿宋_GB2312"/>
                <w:kern w:val="0"/>
                <w:highlight w:val="none"/>
              </w:rPr>
              <w:t>在居民住宅区等人口密集区域和医院、学校、幼儿园、养老院等其他需要特殊保护的区域及其周边，不得新建、改建和扩建石化、焦化、制药、油漆、塑料、橡胶、造纸、饲料等产生恶臭气体的生产项目或者从事其他产生恶臭气体的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805" w:type="dxa"/>
            <w:gridSpan w:val="2"/>
          </w:tcPr>
          <w:p>
            <w:pPr>
              <w:widowControl/>
              <w:snapToGrid w:val="0"/>
              <w:spacing w:before="62" w:beforeLines="20" w:line="288" w:lineRule="auto"/>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《山东省大气污染防治条例》第七十二条第（四）项</w:t>
            </w:r>
            <w:r>
              <w:rPr>
                <w:rFonts w:ascii="Times New Roman" w:hAnsi="Times New Roman" w:eastAsia="仿宋_GB2312" w:cs="Times New Roman"/>
                <w:kern w:val="0"/>
                <w:highlight w:val="none"/>
              </w:rPr>
              <w:t xml:space="preserve"> </w:t>
            </w:r>
            <w:r>
              <w:rPr>
                <w:rFonts w:hint="eastAsia" w:ascii="Times New Roman" w:hAnsi="Times New Roman" w:eastAsia="仿宋_GB2312" w:cs="仿宋_GB2312"/>
                <w:kern w:val="0"/>
                <w:highlight w:val="none"/>
              </w:rPr>
              <w:t>违反本条例规定，有下列行为之一的，由县级以上人民政府生态环境主管部门责令改正，处二万元以上二十万元以下的罚款；拒不改正的，责令停产整治：</w:t>
            </w:r>
          </w:p>
          <w:p>
            <w:pPr>
              <w:widowControl/>
              <w:snapToGrid w:val="0"/>
              <w:spacing w:line="288" w:lineRule="auto"/>
              <w:ind w:firstLine="420"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（四）在需要特殊保护的区域及其周边，新建、改建和扩建石化、焦化、制药、油漆、塑料、橡胶、造纸、饲料等生产项目的。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15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4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新建、改建或扩建工程已经开工，尚未建成的</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新建、改建或扩建工程已经完成，并尚未投入生产的</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新建、改建或扩建工程已经完成，并已经投入生产的</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配套治污设施</w:t>
            </w: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配套安装了污染防治设施且规范使用的</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未规范配套安装或者使用污染防治设施的</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未安装或使用污染防治设施的</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67"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违法持续时间</w:t>
            </w:r>
          </w:p>
        </w:tc>
        <w:tc>
          <w:tcPr>
            <w:tcW w:w="5156"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个月以内的</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超过</w:t>
            </w: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个月并且在</w:t>
            </w: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个月以内的</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超过</w:t>
            </w: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个月并且在</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年以内的</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超过</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年并且在</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年以内的</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年以上的</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805"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cs="Times New Roman"/>
          <w:color w:val="000000"/>
          <w:sz w:val="10"/>
          <w:szCs w:val="10"/>
          <w:highlight w:val="none"/>
        </w:rPr>
      </w:pPr>
      <w:r>
        <w:rPr>
          <w:rFonts w:ascii="Times New Roman" w:hAnsi="Times New Roman" w:cs="Times New Roman"/>
          <w:color w:val="000000"/>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9209" w:type="dxa"/>
            <w:gridSpan w:val="3"/>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仿宋_GB2312"/>
                <w:b/>
                <w:bCs/>
                <w:color w:val="000000"/>
                <w:sz w:val="32"/>
                <w:szCs w:val="32"/>
                <w:highlight w:val="none"/>
              </w:rPr>
              <w:t>（二）大气污染防治类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938" w:type="dxa"/>
            <w:gridSpan w:val="2"/>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38" w:type="dxa"/>
            <w:gridSpan w:val="2"/>
            <w:vAlign w:val="center"/>
          </w:tcPr>
          <w:p>
            <w:pPr>
              <w:snapToGrid w:val="0"/>
              <w:ind w:firstLine="42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在需要特殊保护的区域及其周边从事产生恶臭气体的生产经营活动的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违反条款</w:t>
            </w:r>
          </w:p>
        </w:tc>
        <w:tc>
          <w:tcPr>
            <w:tcW w:w="7938" w:type="dxa"/>
            <w:gridSpan w:val="2"/>
          </w:tcPr>
          <w:p>
            <w:pPr>
              <w:snapToGrid w:val="0"/>
              <w:spacing w:before="62" w:beforeLines="20" w:line="288"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《山东省大气污染防治条例》第三十八条</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向大气排放恶臭气体的排污单位以及垃圾处置场、污水处理厂，应当按照规定设置合理的防护距离，安装净化装置或者采取其他措施减少恶臭气体排放。</w:t>
            </w:r>
          </w:p>
          <w:p>
            <w:pPr>
              <w:snapToGrid w:val="0"/>
              <w:spacing w:line="288" w:lineRule="auto"/>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在居民住宅区等人口密集区域和医院、学校、幼儿园、养老院等其他需要特殊保护的区域及其周边，不得新建、改建和扩建石化、焦化、制药、油漆、塑料、橡胶、造纸、饲料等产生恶臭气体的生产项目或者从事其他产生恶臭气体的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处罚依据</w:t>
            </w:r>
          </w:p>
        </w:tc>
        <w:tc>
          <w:tcPr>
            <w:tcW w:w="7938" w:type="dxa"/>
            <w:gridSpan w:val="2"/>
          </w:tcPr>
          <w:p>
            <w:pPr>
              <w:snapToGrid w:val="0"/>
              <w:spacing w:before="62" w:beforeLines="20" w:line="288"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《山东省大气污染防治条例》第七十三条第（二）项</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违反本条例规定，有下列行为之一的，由县级以上人民政府生态环境主管部门或者其他负有监督管理职责的部门责令改正，处一万元以上十万元以下的罚款；拒不改正的，责令停产整治或者停业整治：</w:t>
            </w:r>
          </w:p>
          <w:p>
            <w:pPr>
              <w:snapToGrid w:val="0"/>
              <w:spacing w:line="288" w:lineRule="auto"/>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（二）在需要特殊保护的区域及其周边从事产生恶臭气体的生产经营活动的。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245" w:type="dxa"/>
            <w:vAlign w:val="center"/>
          </w:tcPr>
          <w:p>
            <w:pPr>
              <w:snapToGrid w:val="0"/>
              <w:jc w:val="center"/>
              <w:rPr>
                <w:rFonts w:ascii="Times New Roman" w:hAnsi="Times New Roman" w:cs="Times New Roman"/>
                <w:color w:val="000000"/>
                <w:highlight w:val="none"/>
              </w:rPr>
            </w:pPr>
            <w:r>
              <w:rPr>
                <w:rFonts w:hint="eastAsia" w:ascii="Times New Roman" w:hAnsi="Times New Roman" w:cs="宋体"/>
                <w:b/>
                <w:bCs/>
                <w:color w:val="000000"/>
                <w:highlight w:val="none"/>
              </w:rPr>
              <w:t>判定标准</w:t>
            </w:r>
          </w:p>
        </w:tc>
        <w:tc>
          <w:tcPr>
            <w:tcW w:w="2693" w:type="dxa"/>
            <w:vAlign w:val="center"/>
          </w:tcPr>
          <w:p>
            <w:pPr>
              <w:snapToGrid w:val="0"/>
              <w:jc w:val="center"/>
              <w:rPr>
                <w:rFonts w:ascii="Times New Roman" w:hAnsi="Times New Roman" w:cs="Times New Roman"/>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45" w:type="dxa"/>
            <w:vAlign w:val="center"/>
          </w:tcPr>
          <w:p>
            <w:pPr>
              <w:snapToGrid w:val="0"/>
              <w:jc w:val="center"/>
              <w:rPr>
                <w:rFonts w:ascii="Times New Roman" w:hAnsi="Times New Roman" w:eastAsia="仿宋_GB2312" w:cs="Times New Roman"/>
                <w:b/>
                <w:bCs/>
                <w:color w:val="000000"/>
                <w:highlight w:val="none"/>
              </w:rPr>
            </w:pPr>
            <w:r>
              <w:rPr>
                <w:rFonts w:hint="eastAsia" w:ascii="Times New Roman" w:hAnsi="Times New Roman" w:eastAsia="仿宋_GB2312" w:cs="仿宋_GB2312"/>
                <w:color w:val="000000"/>
                <w:highlight w:val="none"/>
              </w:rPr>
              <w:t>采取污染防治措施，确保其正常运行</w:t>
            </w:r>
          </w:p>
        </w:tc>
        <w:tc>
          <w:tcPr>
            <w:tcW w:w="2693" w:type="dxa"/>
            <w:vAlign w:val="center"/>
          </w:tcPr>
          <w:p>
            <w:pPr>
              <w:snapToGrid w:val="0"/>
              <w:jc w:val="center"/>
              <w:rPr>
                <w:rFonts w:ascii="Times New Roman" w:hAnsi="Times New Roman" w:cs="Times New Roman"/>
                <w:b/>
                <w:bCs/>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未按要求规范采取污染防治措施</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未采取污染防治措施的</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发生时期</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环境敏感度</w:t>
            </w: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一般期间</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特殊或重大活动期间</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重污染天气预警期间</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938" w:type="dxa"/>
            <w:gridSpan w:val="2"/>
            <w:vAlign w:val="center"/>
          </w:tcPr>
          <w:p>
            <w:pPr>
              <w:snapToGrid w:val="0"/>
              <w:ind w:firstLine="420"/>
              <w:jc w:val="center"/>
              <w:rPr>
                <w:rFonts w:ascii="Times New Roman" w:hAnsi="Times New Roman" w:cs="Times New Roman"/>
                <w:color w:val="000000"/>
                <w:highlight w:val="none"/>
              </w:rPr>
            </w:pPr>
          </w:p>
        </w:tc>
      </w:tr>
    </w:tbl>
    <w:p>
      <w:pPr>
        <w:snapToGrid w:val="0"/>
        <w:rPr>
          <w:rFonts w:ascii="Times New Roman" w:hAnsi="Times New Roman" w:cs="Times New Roman"/>
          <w:color w:val="000000"/>
          <w:sz w:val="10"/>
          <w:szCs w:val="10"/>
          <w:highlight w:val="none"/>
        </w:rPr>
      </w:pPr>
      <w:r>
        <w:rPr>
          <w:rFonts w:ascii="Times New Roman" w:hAnsi="Times New Roman" w:cs="Times New Roman"/>
          <w:color w:val="000000"/>
          <w:highlight w:val="none"/>
        </w:rPr>
        <w:br w:type="page"/>
      </w:r>
    </w:p>
    <w:tbl>
      <w:tblPr>
        <w:tblStyle w:val="14"/>
        <w:tblW w:w="907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5156"/>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72" w:type="dxa"/>
            <w:gridSpan w:val="3"/>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（二）大气污染防治类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805"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highlight w:val="none"/>
              </w:rPr>
              <w:t>未按照规定建立科学有效的回收利用和安全处置制度，随意排放、抛洒或者丢弃消耗臭氧层物质的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805" w:type="dxa"/>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2" w:beforeLines="20" w:line="288" w:lineRule="auto"/>
              <w:ind w:firstLine="422" w:firstLineChars="200"/>
              <w:jc w:val="left"/>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《山东省大气污染防治条例》第四十条</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企业事业单位和其他生产经营者应当严格执行国家有关消耗臭氧层物质的生产、销售、使用和进出口管理规定，建立科学有效的回收利用和安全处置制度，不得随意排放、抛洒或者丢弃。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805" w:type="dxa"/>
            <w:gridSpan w:val="2"/>
          </w:tcPr>
          <w:p>
            <w:pPr>
              <w:widowControl/>
              <w:snapToGrid w:val="0"/>
              <w:spacing w:before="62" w:beforeLines="20" w:line="288" w:lineRule="auto"/>
              <w:ind w:firstLine="422" w:firstLineChars="200"/>
              <w:jc w:val="left"/>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《山东省大气污染防治条例》第七十三条第（四）项</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违反本条例规定，有下列行为之一的，由县级以上人民政府生态环境主管部门或者其他负有监督管理职责的部门责令改正，处一万元以上十万元以下的罚款；拒不改正的，责令停产整治或者停业整治：</w:t>
            </w:r>
          </w:p>
          <w:p>
            <w:pPr>
              <w:widowControl/>
              <w:snapToGrid w:val="0"/>
              <w:spacing w:line="288" w:lineRule="auto"/>
              <w:ind w:firstLine="420" w:firstLineChars="200"/>
              <w:jc w:val="left"/>
              <w:rPr>
                <w:rFonts w:ascii="Times New Roman" w:hAnsi="Times New Roman" w:eastAsia="仿宋_GB2312" w:cs="Times New Roman"/>
                <w:highlight w:val="none"/>
              </w:rPr>
            </w:pPr>
            <w:r>
              <w:rPr>
                <w:rFonts w:hint="eastAsia" w:ascii="Times New Roman" w:hAnsi="Times New Roman" w:eastAsia="仿宋_GB2312" w:cs="仿宋_GB2312"/>
                <w:highlight w:val="none"/>
              </w:rPr>
              <w:t>（四）未按照规定建立科学有效的回收利用和安全处置制度，随意排放、抛洒或者丢弃消耗臭氧层物质的。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15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4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未规范建立科学有效的回收利用和安全处置制度，未随意排放、抛洒或者丢弃消耗臭氧层物质的</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未规范建立科学有效的回收利用和安全处置制度，且随意排放、抛洒或者丢弃消耗臭氧层物质的</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未建立科学有效的回收利用和安全处置制度，且随意排放、抛洒或者丢弃消耗臭氧层物质的</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7"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涉及消耗</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臭氧层物质数量</w:t>
            </w:r>
          </w:p>
        </w:tc>
        <w:tc>
          <w:tcPr>
            <w:tcW w:w="5156"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不足</w:t>
            </w: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千克</w:t>
            </w:r>
          </w:p>
        </w:tc>
        <w:tc>
          <w:tcPr>
            <w:tcW w:w="2649"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千克以上不足</w:t>
            </w:r>
            <w:r>
              <w:rPr>
                <w:rFonts w:ascii="Times New Roman" w:hAnsi="Times New Roman" w:eastAsia="仿宋_GB2312" w:cs="Times New Roman"/>
                <w:color w:val="000000"/>
                <w:highlight w:val="none"/>
              </w:rPr>
              <w:t>100</w:t>
            </w:r>
            <w:r>
              <w:rPr>
                <w:rFonts w:hint="eastAsia" w:ascii="Times New Roman" w:hAnsi="Times New Roman" w:eastAsia="仿宋_GB2312" w:cs="仿宋_GB2312"/>
                <w:color w:val="000000"/>
                <w:highlight w:val="none"/>
              </w:rPr>
              <w:t>千克</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100</w:t>
            </w:r>
            <w:r>
              <w:rPr>
                <w:rFonts w:hint="eastAsia" w:ascii="Times New Roman" w:hAnsi="Times New Roman" w:eastAsia="仿宋_GB2312" w:cs="仿宋_GB2312"/>
                <w:color w:val="000000"/>
                <w:highlight w:val="none"/>
              </w:rPr>
              <w:t>千克以上不足</w:t>
            </w:r>
            <w:r>
              <w:rPr>
                <w:rFonts w:ascii="Times New Roman" w:hAnsi="Times New Roman" w:eastAsia="仿宋_GB2312" w:cs="Times New Roman"/>
                <w:color w:val="000000"/>
                <w:highlight w:val="none"/>
              </w:rPr>
              <w:t>500</w:t>
            </w:r>
            <w:r>
              <w:rPr>
                <w:rFonts w:hint="eastAsia" w:ascii="Times New Roman" w:hAnsi="Times New Roman" w:eastAsia="仿宋_GB2312" w:cs="仿宋_GB2312"/>
                <w:color w:val="000000"/>
                <w:highlight w:val="none"/>
              </w:rPr>
              <w:t>千克</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500</w:t>
            </w:r>
            <w:r>
              <w:rPr>
                <w:rFonts w:hint="eastAsia" w:ascii="Times New Roman" w:hAnsi="Times New Roman" w:eastAsia="仿宋_GB2312" w:cs="仿宋_GB2312"/>
                <w:color w:val="000000"/>
                <w:highlight w:val="none"/>
              </w:rPr>
              <w:t>千克以上不足</w:t>
            </w:r>
            <w:r>
              <w:rPr>
                <w:rFonts w:ascii="Times New Roman" w:hAnsi="Times New Roman" w:eastAsia="仿宋_GB2312" w:cs="Times New Roman"/>
                <w:color w:val="000000"/>
                <w:highlight w:val="none"/>
              </w:rPr>
              <w:t>1000</w:t>
            </w:r>
            <w:r>
              <w:rPr>
                <w:rFonts w:hint="eastAsia" w:ascii="Times New Roman" w:hAnsi="Times New Roman" w:eastAsia="仿宋_GB2312" w:cs="仿宋_GB2312"/>
                <w:color w:val="000000"/>
                <w:highlight w:val="none"/>
              </w:rPr>
              <w:t>千克</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1000</w:t>
            </w:r>
            <w:r>
              <w:rPr>
                <w:rFonts w:hint="eastAsia" w:ascii="Times New Roman" w:hAnsi="Times New Roman" w:eastAsia="仿宋_GB2312" w:cs="仿宋_GB2312"/>
                <w:color w:val="000000"/>
                <w:highlight w:val="none"/>
              </w:rPr>
              <w:t>千克以上</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7"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消耗臭氧层物质种类</w:t>
            </w: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允许使用类物质</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过渡性使用类物质</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禁止使用类物质</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805"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cs="Times New Roman"/>
          <w:color w:val="000000"/>
          <w:sz w:val="10"/>
          <w:szCs w:val="10"/>
          <w:highlight w:val="none"/>
        </w:rPr>
      </w:pPr>
      <w:r>
        <w:rPr>
          <w:rFonts w:ascii="Times New Roman" w:hAnsi="Times New Roman" w:cs="Times New Roman"/>
          <w:color w:val="000000"/>
          <w:highlight w:val="none"/>
        </w:rPr>
        <w:br w:type="page"/>
      </w:r>
    </w:p>
    <w:tbl>
      <w:tblPr>
        <w:tblStyle w:val="14"/>
        <w:tblW w:w="9311"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0"/>
        <w:gridCol w:w="5201"/>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11" w:type="dxa"/>
            <w:gridSpan w:val="3"/>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仿宋_GB2312"/>
                <w:b/>
                <w:bCs/>
                <w:color w:val="000000"/>
                <w:sz w:val="32"/>
                <w:szCs w:val="32"/>
                <w:highlight w:val="none"/>
              </w:rPr>
              <w:t>（二）大气污染防治类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8041" w:type="dxa"/>
            <w:gridSpan w:val="2"/>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8041" w:type="dxa"/>
            <w:gridSpan w:val="2"/>
            <w:vAlign w:val="center"/>
          </w:tcPr>
          <w:p>
            <w:pPr>
              <w:snapToGrid w:val="0"/>
              <w:ind w:firstLine="42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在禁止区域内从事砂、石、粘土开采和加工等易产生扬尘污染活动的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违反条款</w:t>
            </w:r>
          </w:p>
        </w:tc>
        <w:tc>
          <w:tcPr>
            <w:tcW w:w="8041" w:type="dxa"/>
            <w:gridSpan w:val="2"/>
          </w:tcPr>
          <w:p>
            <w:pPr>
              <w:snapToGrid w:val="0"/>
              <w:spacing w:line="264" w:lineRule="auto"/>
              <w:ind w:firstLine="420"/>
              <w:rPr>
                <w:rFonts w:ascii="Times New Roman" w:hAnsi="Times New Roman" w:eastAsia="仿宋_GB2312" w:cs="Times New Roman"/>
                <w:highlight w:val="none"/>
              </w:rPr>
            </w:pPr>
            <w:r>
              <w:rPr>
                <w:rFonts w:ascii="Times New Roman" w:hAnsi="Times New Roman" w:eastAsia="仿宋_GB2312" w:cs="Times New Roman"/>
                <w:b/>
                <w:bCs/>
                <w:highlight w:val="none"/>
              </w:rPr>
              <w:t>1.</w:t>
            </w:r>
            <w:r>
              <w:rPr>
                <w:rFonts w:hint="eastAsia" w:ascii="Times New Roman" w:hAnsi="Times New Roman" w:eastAsia="仿宋_GB2312" w:cs="仿宋_GB2312"/>
                <w:b/>
                <w:bCs/>
                <w:highlight w:val="none"/>
              </w:rPr>
              <w:t>《山东省大气污染防治条例》第五十六条</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县级以上人民政府应当根据防治扬尘污染的需要，划定禁止从事砂、石、粘土开采和加工等易产生扬尘污染活动的区域。</w:t>
            </w:r>
          </w:p>
          <w:p>
            <w:pPr>
              <w:snapToGrid w:val="0"/>
              <w:spacing w:line="264" w:lineRule="auto"/>
              <w:ind w:firstLine="420"/>
              <w:rPr>
                <w:rFonts w:ascii="Times New Roman" w:hAnsi="Times New Roman" w:eastAsia="仿宋_GB2312" w:cs="Times New Roman"/>
                <w:highlight w:val="none"/>
              </w:rPr>
            </w:pPr>
            <w:r>
              <w:rPr>
                <w:rFonts w:ascii="Times New Roman" w:hAnsi="Times New Roman" w:eastAsia="仿宋_GB2312" w:cs="Times New Roman"/>
                <w:b/>
                <w:bCs/>
                <w:highlight w:val="none"/>
              </w:rPr>
              <w:t>2.</w:t>
            </w:r>
            <w:r>
              <w:rPr>
                <w:rFonts w:hint="eastAsia" w:ascii="Times New Roman" w:hAnsi="Times New Roman" w:eastAsia="仿宋_GB2312" w:cs="仿宋_GB2312"/>
                <w:b/>
                <w:bCs/>
                <w:highlight w:val="none"/>
              </w:rPr>
              <w:t>《山东省扬尘污染防治管理办法》第十六条</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城市人民政府可以根据扬尘污染防治的需要，划定禁止从事砂石、石灰石开采和加工等易产生扬尘污染活动的区域。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处罚依据</w:t>
            </w:r>
          </w:p>
        </w:tc>
        <w:tc>
          <w:tcPr>
            <w:tcW w:w="8041" w:type="dxa"/>
            <w:gridSpan w:val="2"/>
          </w:tcPr>
          <w:p>
            <w:pPr>
              <w:snapToGrid w:val="0"/>
              <w:spacing w:line="264" w:lineRule="auto"/>
              <w:ind w:firstLine="420"/>
              <w:rPr>
                <w:rFonts w:ascii="Times New Roman" w:hAnsi="Times New Roman" w:eastAsia="仿宋_GB2312" w:cs="Times New Roman"/>
                <w:highlight w:val="none"/>
              </w:rPr>
            </w:pPr>
            <w:r>
              <w:rPr>
                <w:rFonts w:ascii="Times New Roman" w:hAnsi="Times New Roman" w:eastAsia="仿宋_GB2312" w:cs="Times New Roman"/>
                <w:b/>
                <w:bCs/>
                <w:highlight w:val="none"/>
              </w:rPr>
              <w:t>1.</w:t>
            </w:r>
            <w:r>
              <w:rPr>
                <w:rFonts w:hint="eastAsia" w:ascii="Times New Roman" w:hAnsi="Times New Roman" w:eastAsia="仿宋_GB2312" w:cs="仿宋_GB2312"/>
                <w:b/>
                <w:bCs/>
                <w:highlight w:val="none"/>
              </w:rPr>
              <w:t>《山东省大气污染防治条例》第七十七条</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违反本条例规定，有下列行为之一的，由县级以上人民政府生态环境主管部门或者其他负有监督管理职责的部门责令改正，处一万元以上十万元以下的罚款；拒不改正的，责令停工整治、停产整治或者停业整治，依法作出处罚决定的部门可以自责令改正之日的次日起，按照原处罚数额按日连续处罚：</w:t>
            </w:r>
          </w:p>
          <w:p>
            <w:pPr>
              <w:snapToGrid w:val="0"/>
              <w:spacing w:line="264" w:lineRule="auto"/>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（三）在禁止区域内从事砂、石、粘土开采和加工等易产生扬尘污染活动的。</w:t>
            </w:r>
          </w:p>
          <w:p>
            <w:pPr>
              <w:snapToGrid w:val="0"/>
              <w:spacing w:line="264" w:lineRule="auto"/>
              <w:ind w:firstLine="420"/>
              <w:rPr>
                <w:rFonts w:ascii="Times New Roman" w:hAnsi="Times New Roman" w:eastAsia="仿宋_GB2312" w:cs="Times New Roman"/>
                <w:highlight w:val="none"/>
              </w:rPr>
            </w:pPr>
            <w:r>
              <w:rPr>
                <w:rFonts w:ascii="Times New Roman" w:hAnsi="Times New Roman" w:eastAsia="仿宋_GB2312" w:cs="Times New Roman"/>
                <w:b/>
                <w:bCs/>
                <w:highlight w:val="none"/>
              </w:rPr>
              <w:t>2.</w:t>
            </w:r>
            <w:r>
              <w:rPr>
                <w:rFonts w:hint="eastAsia" w:ascii="Times New Roman" w:hAnsi="Times New Roman" w:eastAsia="仿宋_GB2312" w:cs="仿宋_GB2312"/>
                <w:b/>
                <w:bCs/>
                <w:highlight w:val="none"/>
              </w:rPr>
              <w:t>《山东省扬尘污染防治管理办法》第二十五条</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违反本办法规定，在禁止区域内从事砂石、石灰石开采和加工等易产生扬尘污染活动的，由环境保护主管部门或者其他负有监督管理职责的部门责令改正，处</w:t>
            </w:r>
            <w:r>
              <w:rPr>
                <w:rFonts w:ascii="Times New Roman" w:hAnsi="Times New Roman" w:eastAsia="仿宋_GB2312" w:cs="Times New Roman"/>
                <w:highlight w:val="none"/>
              </w:rPr>
              <w:t>1</w:t>
            </w:r>
            <w:r>
              <w:rPr>
                <w:rFonts w:hint="eastAsia" w:ascii="Times New Roman" w:hAnsi="Times New Roman" w:eastAsia="仿宋_GB2312" w:cs="仿宋_GB2312"/>
                <w:highlight w:val="none"/>
              </w:rPr>
              <w:t>万元以上</w:t>
            </w:r>
            <w:r>
              <w:rPr>
                <w:rFonts w:ascii="Times New Roman" w:hAnsi="Times New Roman" w:eastAsia="仿宋_GB2312" w:cs="Times New Roman"/>
                <w:highlight w:val="none"/>
              </w:rPr>
              <w:t>10</w:t>
            </w:r>
            <w:r>
              <w:rPr>
                <w:rFonts w:hint="eastAsia" w:ascii="Times New Roman" w:hAnsi="Times New Roman" w:eastAsia="仿宋_GB2312" w:cs="仿宋_GB2312"/>
                <w:highlight w:val="none"/>
              </w:rPr>
              <w:t>万元以下的罚款；拒不改正的，责令停工整治、停产整治或者停业整治，依法作出处罚决定的部门可以自责令改正之日的次日起，按照原处罚数额按日连续处罚。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0"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201" w:type="dxa"/>
            <w:vAlign w:val="center"/>
          </w:tcPr>
          <w:p>
            <w:pPr>
              <w:snapToGrid w:val="0"/>
              <w:jc w:val="center"/>
              <w:rPr>
                <w:rFonts w:ascii="Times New Roman" w:hAnsi="Times New Roman" w:cs="Times New Roman"/>
                <w:color w:val="000000"/>
                <w:highlight w:val="none"/>
              </w:rPr>
            </w:pPr>
            <w:r>
              <w:rPr>
                <w:rFonts w:hint="eastAsia" w:ascii="Times New Roman" w:hAnsi="Times New Roman" w:cs="宋体"/>
                <w:b/>
                <w:bCs/>
                <w:color w:val="000000"/>
                <w:highlight w:val="none"/>
              </w:rPr>
              <w:t>判定标准</w:t>
            </w:r>
          </w:p>
        </w:tc>
        <w:tc>
          <w:tcPr>
            <w:tcW w:w="2840" w:type="dxa"/>
            <w:vAlign w:val="center"/>
          </w:tcPr>
          <w:p>
            <w:pPr>
              <w:snapToGrid w:val="0"/>
              <w:jc w:val="center"/>
              <w:rPr>
                <w:rFonts w:ascii="Times New Roman" w:hAnsi="Times New Roman" w:cs="Times New Roman"/>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0"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01" w:type="dxa"/>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highlight w:val="none"/>
              </w:rPr>
              <w:t>在禁止区域内从事易产生扬尘污染活动的，规范采取扬尘污染防治设施的</w:t>
            </w:r>
          </w:p>
        </w:tc>
        <w:tc>
          <w:tcPr>
            <w:tcW w:w="2840"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0" w:type="dxa"/>
            <w:vMerge w:val="continue"/>
            <w:vAlign w:val="center"/>
          </w:tcPr>
          <w:p>
            <w:pPr>
              <w:snapToGrid w:val="0"/>
              <w:jc w:val="center"/>
              <w:rPr>
                <w:rFonts w:ascii="Times New Roman" w:hAnsi="Times New Roman" w:cs="Times New Roman"/>
                <w:b/>
                <w:bCs/>
                <w:highlight w:val="none"/>
              </w:rPr>
            </w:pPr>
          </w:p>
        </w:tc>
        <w:tc>
          <w:tcPr>
            <w:tcW w:w="5201" w:type="dxa"/>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highlight w:val="none"/>
              </w:rPr>
              <w:t>在禁止区域内从事易产生扬尘污染活动的，未规范采取扬尘污染防治设施的</w:t>
            </w:r>
          </w:p>
        </w:tc>
        <w:tc>
          <w:tcPr>
            <w:tcW w:w="2840"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0" w:type="dxa"/>
            <w:vMerge w:val="continue"/>
            <w:vAlign w:val="center"/>
          </w:tcPr>
          <w:p>
            <w:pPr>
              <w:snapToGrid w:val="0"/>
              <w:jc w:val="center"/>
              <w:rPr>
                <w:rFonts w:ascii="Times New Roman" w:hAnsi="Times New Roman" w:cs="Times New Roman"/>
                <w:b/>
                <w:bCs/>
                <w:highlight w:val="none"/>
              </w:rPr>
            </w:pPr>
          </w:p>
        </w:tc>
        <w:tc>
          <w:tcPr>
            <w:tcW w:w="520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在禁止区域内从事易产生扬尘污染活动的，未采取扬尘污染防治设施的</w:t>
            </w:r>
          </w:p>
        </w:tc>
        <w:tc>
          <w:tcPr>
            <w:tcW w:w="2840"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0"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占地面积</w:t>
            </w:r>
          </w:p>
        </w:tc>
        <w:tc>
          <w:tcPr>
            <w:tcW w:w="5201" w:type="dxa"/>
            <w:vAlign w:val="center"/>
          </w:tcPr>
          <w:p>
            <w:pPr>
              <w:pStyle w:val="11"/>
              <w:snapToGrid w:val="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100m</w:t>
            </w:r>
            <w:r>
              <w:rPr>
                <w:rFonts w:ascii="Times New Roman" w:hAnsi="Times New Roman" w:eastAsia="仿宋_GB2312" w:cs="Times New Roman"/>
                <w:sz w:val="21"/>
                <w:szCs w:val="21"/>
                <w:highlight w:val="none"/>
                <w:vertAlign w:val="superscript"/>
              </w:rPr>
              <w:t>2</w:t>
            </w:r>
            <w:r>
              <w:rPr>
                <w:rFonts w:hint="eastAsia" w:ascii="Times New Roman" w:hAnsi="Times New Roman" w:eastAsia="仿宋_GB2312" w:cs="仿宋_GB2312"/>
                <w:sz w:val="21"/>
                <w:szCs w:val="21"/>
                <w:highlight w:val="none"/>
              </w:rPr>
              <w:t>以下</w:t>
            </w:r>
          </w:p>
        </w:tc>
        <w:tc>
          <w:tcPr>
            <w:tcW w:w="2840"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0" w:type="dxa"/>
            <w:vMerge w:val="continue"/>
            <w:vAlign w:val="center"/>
          </w:tcPr>
          <w:p>
            <w:pPr>
              <w:snapToGrid w:val="0"/>
              <w:jc w:val="center"/>
              <w:rPr>
                <w:rFonts w:ascii="Times New Roman" w:hAnsi="Times New Roman" w:cs="Times New Roman"/>
                <w:b/>
                <w:bCs/>
                <w:highlight w:val="none"/>
              </w:rPr>
            </w:pPr>
          </w:p>
        </w:tc>
        <w:tc>
          <w:tcPr>
            <w:tcW w:w="5201" w:type="dxa"/>
            <w:vAlign w:val="center"/>
          </w:tcPr>
          <w:p>
            <w:pPr>
              <w:pStyle w:val="11"/>
              <w:snapToGrid w:val="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100m</w:t>
            </w:r>
            <w:r>
              <w:rPr>
                <w:rFonts w:ascii="Times New Roman" w:hAnsi="Times New Roman" w:eastAsia="仿宋_GB2312" w:cs="Times New Roman"/>
                <w:sz w:val="21"/>
                <w:szCs w:val="21"/>
                <w:highlight w:val="none"/>
                <w:vertAlign w:val="superscript"/>
              </w:rPr>
              <w:t>2</w:t>
            </w:r>
            <w:r>
              <w:rPr>
                <w:rFonts w:hint="eastAsia" w:ascii="Times New Roman" w:hAnsi="Times New Roman" w:eastAsia="仿宋_GB2312" w:cs="仿宋_GB2312"/>
                <w:sz w:val="21"/>
                <w:szCs w:val="21"/>
                <w:highlight w:val="none"/>
              </w:rPr>
              <w:t>以上</w:t>
            </w:r>
            <w:r>
              <w:rPr>
                <w:rFonts w:ascii="Times New Roman" w:hAnsi="Times New Roman" w:eastAsia="仿宋_GB2312" w:cs="Times New Roman"/>
                <w:sz w:val="21"/>
                <w:szCs w:val="21"/>
                <w:highlight w:val="none"/>
              </w:rPr>
              <w:t>200m</w:t>
            </w:r>
            <w:r>
              <w:rPr>
                <w:rFonts w:ascii="Times New Roman" w:hAnsi="Times New Roman" w:eastAsia="仿宋_GB2312" w:cs="Times New Roman"/>
                <w:sz w:val="21"/>
                <w:szCs w:val="21"/>
                <w:highlight w:val="none"/>
                <w:vertAlign w:val="superscript"/>
              </w:rPr>
              <w:t>2</w:t>
            </w:r>
            <w:r>
              <w:rPr>
                <w:rFonts w:hint="eastAsia" w:ascii="Times New Roman" w:hAnsi="Times New Roman" w:eastAsia="仿宋_GB2312" w:cs="仿宋_GB2312"/>
                <w:sz w:val="21"/>
                <w:szCs w:val="21"/>
                <w:highlight w:val="none"/>
              </w:rPr>
              <w:t>以下</w:t>
            </w:r>
          </w:p>
        </w:tc>
        <w:tc>
          <w:tcPr>
            <w:tcW w:w="2840"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0" w:type="dxa"/>
            <w:vMerge w:val="continue"/>
            <w:vAlign w:val="center"/>
          </w:tcPr>
          <w:p>
            <w:pPr>
              <w:snapToGrid w:val="0"/>
              <w:jc w:val="center"/>
              <w:rPr>
                <w:rFonts w:ascii="Times New Roman" w:hAnsi="Times New Roman" w:cs="Times New Roman"/>
                <w:b/>
                <w:bCs/>
                <w:highlight w:val="none"/>
              </w:rPr>
            </w:pPr>
          </w:p>
        </w:tc>
        <w:tc>
          <w:tcPr>
            <w:tcW w:w="5201"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200m</w:t>
            </w:r>
            <w:r>
              <w:rPr>
                <w:rFonts w:ascii="Times New Roman" w:hAnsi="Times New Roman" w:eastAsia="仿宋_GB2312" w:cs="Times New Roman"/>
                <w:highlight w:val="none"/>
                <w:vertAlign w:val="superscript"/>
              </w:rPr>
              <w:t>2</w:t>
            </w:r>
            <w:r>
              <w:rPr>
                <w:rFonts w:hint="eastAsia" w:ascii="Times New Roman" w:hAnsi="Times New Roman" w:eastAsia="仿宋_GB2312" w:cs="仿宋_GB2312"/>
                <w:highlight w:val="none"/>
              </w:rPr>
              <w:t>以上</w:t>
            </w:r>
            <w:r>
              <w:rPr>
                <w:rFonts w:ascii="Times New Roman" w:hAnsi="Times New Roman" w:eastAsia="仿宋_GB2312" w:cs="Times New Roman"/>
                <w:highlight w:val="none"/>
              </w:rPr>
              <w:t>300m</w:t>
            </w:r>
            <w:r>
              <w:rPr>
                <w:rFonts w:ascii="Times New Roman" w:hAnsi="Times New Roman" w:eastAsia="仿宋_GB2312" w:cs="Times New Roman"/>
                <w:highlight w:val="none"/>
                <w:vertAlign w:val="superscript"/>
              </w:rPr>
              <w:t>2</w:t>
            </w:r>
            <w:r>
              <w:rPr>
                <w:rFonts w:hint="eastAsia" w:ascii="Times New Roman" w:hAnsi="Times New Roman" w:eastAsia="仿宋_GB2312" w:cs="仿宋_GB2312"/>
                <w:highlight w:val="none"/>
              </w:rPr>
              <w:t>以下</w:t>
            </w:r>
          </w:p>
        </w:tc>
        <w:tc>
          <w:tcPr>
            <w:tcW w:w="2840"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0" w:type="dxa"/>
            <w:vMerge w:val="continue"/>
            <w:vAlign w:val="center"/>
          </w:tcPr>
          <w:p>
            <w:pPr>
              <w:snapToGrid w:val="0"/>
              <w:jc w:val="center"/>
              <w:rPr>
                <w:rFonts w:ascii="Times New Roman" w:hAnsi="Times New Roman" w:cs="Times New Roman"/>
                <w:b/>
                <w:bCs/>
                <w:highlight w:val="none"/>
              </w:rPr>
            </w:pPr>
          </w:p>
        </w:tc>
        <w:tc>
          <w:tcPr>
            <w:tcW w:w="5201" w:type="dxa"/>
            <w:vAlign w:val="center"/>
          </w:tcPr>
          <w:p>
            <w:pPr>
              <w:pStyle w:val="11"/>
              <w:snapToGrid w:val="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300m</w:t>
            </w:r>
            <w:r>
              <w:rPr>
                <w:rFonts w:ascii="Times New Roman" w:hAnsi="Times New Roman" w:eastAsia="仿宋_GB2312" w:cs="Times New Roman"/>
                <w:sz w:val="21"/>
                <w:szCs w:val="21"/>
                <w:highlight w:val="none"/>
                <w:vertAlign w:val="superscript"/>
              </w:rPr>
              <w:t>2</w:t>
            </w:r>
            <w:r>
              <w:rPr>
                <w:rFonts w:hint="eastAsia" w:ascii="Times New Roman" w:hAnsi="Times New Roman" w:eastAsia="仿宋_GB2312" w:cs="仿宋_GB2312"/>
                <w:sz w:val="21"/>
                <w:szCs w:val="21"/>
                <w:highlight w:val="none"/>
              </w:rPr>
              <w:t>以上</w:t>
            </w:r>
            <w:r>
              <w:rPr>
                <w:rFonts w:ascii="Times New Roman" w:hAnsi="Times New Roman" w:eastAsia="仿宋_GB2312" w:cs="Times New Roman"/>
                <w:sz w:val="21"/>
                <w:szCs w:val="21"/>
                <w:highlight w:val="none"/>
              </w:rPr>
              <w:t>400m</w:t>
            </w:r>
            <w:r>
              <w:rPr>
                <w:rFonts w:ascii="Times New Roman" w:hAnsi="Times New Roman" w:eastAsia="仿宋_GB2312" w:cs="Times New Roman"/>
                <w:sz w:val="21"/>
                <w:szCs w:val="21"/>
                <w:highlight w:val="none"/>
                <w:vertAlign w:val="superscript"/>
              </w:rPr>
              <w:t>2</w:t>
            </w:r>
            <w:r>
              <w:rPr>
                <w:rFonts w:hint="eastAsia" w:ascii="Times New Roman" w:hAnsi="Times New Roman" w:eastAsia="仿宋_GB2312" w:cs="仿宋_GB2312"/>
                <w:sz w:val="21"/>
                <w:szCs w:val="21"/>
                <w:highlight w:val="none"/>
              </w:rPr>
              <w:t>以下</w:t>
            </w:r>
          </w:p>
        </w:tc>
        <w:tc>
          <w:tcPr>
            <w:tcW w:w="2840"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0" w:type="dxa"/>
            <w:vMerge w:val="continue"/>
            <w:vAlign w:val="center"/>
          </w:tcPr>
          <w:p>
            <w:pPr>
              <w:snapToGrid w:val="0"/>
              <w:jc w:val="center"/>
              <w:rPr>
                <w:rFonts w:ascii="Times New Roman" w:hAnsi="Times New Roman" w:cs="Times New Roman"/>
                <w:b/>
                <w:bCs/>
                <w:highlight w:val="none"/>
              </w:rPr>
            </w:pPr>
          </w:p>
        </w:tc>
        <w:tc>
          <w:tcPr>
            <w:tcW w:w="5201" w:type="dxa"/>
            <w:vAlign w:val="center"/>
          </w:tcPr>
          <w:p>
            <w:pPr>
              <w:pStyle w:val="11"/>
              <w:snapToGrid w:val="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400m</w:t>
            </w:r>
            <w:r>
              <w:rPr>
                <w:rFonts w:ascii="Times New Roman" w:hAnsi="Times New Roman" w:eastAsia="仿宋_GB2312" w:cs="Times New Roman"/>
                <w:sz w:val="21"/>
                <w:szCs w:val="21"/>
                <w:highlight w:val="none"/>
                <w:vertAlign w:val="superscript"/>
              </w:rPr>
              <w:t>2</w:t>
            </w:r>
            <w:r>
              <w:rPr>
                <w:rFonts w:hint="eastAsia" w:ascii="Times New Roman" w:hAnsi="Times New Roman" w:eastAsia="仿宋_GB2312" w:cs="仿宋_GB2312"/>
                <w:sz w:val="21"/>
                <w:szCs w:val="21"/>
                <w:highlight w:val="none"/>
              </w:rPr>
              <w:t>以上</w:t>
            </w:r>
          </w:p>
        </w:tc>
        <w:tc>
          <w:tcPr>
            <w:tcW w:w="2840"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0"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项目建设地点</w:t>
            </w:r>
          </w:p>
        </w:tc>
        <w:tc>
          <w:tcPr>
            <w:tcW w:w="5201"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sz w:val="21"/>
                <w:szCs w:val="21"/>
                <w:highlight w:val="none"/>
              </w:rPr>
              <w:t>二类功能区（工业区和农村地区）</w:t>
            </w:r>
          </w:p>
        </w:tc>
        <w:tc>
          <w:tcPr>
            <w:tcW w:w="2840"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0" w:type="dxa"/>
            <w:vMerge w:val="continue"/>
            <w:vAlign w:val="center"/>
          </w:tcPr>
          <w:p>
            <w:pPr>
              <w:snapToGrid w:val="0"/>
              <w:jc w:val="center"/>
              <w:rPr>
                <w:rFonts w:ascii="Times New Roman" w:hAnsi="Times New Roman" w:cs="Times New Roman"/>
                <w:b/>
                <w:bCs/>
                <w:highlight w:val="none"/>
              </w:rPr>
            </w:pPr>
          </w:p>
        </w:tc>
        <w:tc>
          <w:tcPr>
            <w:tcW w:w="520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highlight w:val="none"/>
              </w:rPr>
              <w:t>二类功能区（居民区、商业交通居民混合区、文化区）</w:t>
            </w:r>
          </w:p>
        </w:tc>
        <w:tc>
          <w:tcPr>
            <w:tcW w:w="2840"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0" w:type="dxa"/>
            <w:vMerge w:val="continue"/>
            <w:vAlign w:val="center"/>
          </w:tcPr>
          <w:p>
            <w:pPr>
              <w:snapToGrid w:val="0"/>
              <w:jc w:val="center"/>
              <w:rPr>
                <w:rFonts w:ascii="Times New Roman" w:hAnsi="Times New Roman" w:cs="Times New Roman"/>
                <w:b/>
                <w:bCs/>
                <w:highlight w:val="none"/>
              </w:rPr>
            </w:pPr>
          </w:p>
        </w:tc>
        <w:tc>
          <w:tcPr>
            <w:tcW w:w="520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highlight w:val="none"/>
              </w:rPr>
              <w:t>一类功能区</w:t>
            </w:r>
          </w:p>
        </w:tc>
        <w:tc>
          <w:tcPr>
            <w:tcW w:w="2840"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0"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5201" w:type="dxa"/>
            <w:vAlign w:val="center"/>
          </w:tcPr>
          <w:p>
            <w:pPr>
              <w:snapToGrid w:val="0"/>
              <w:jc w:val="center"/>
              <w:rPr>
                <w:rFonts w:ascii="Times New Roman" w:hAnsi="Times New Roman" w:eastAsia="仿宋_GB2312" w:cs="Times New Roman"/>
                <w:color w:val="000000"/>
                <w:highlight w:val="none"/>
              </w:rPr>
            </w:pPr>
          </w:p>
        </w:tc>
        <w:tc>
          <w:tcPr>
            <w:tcW w:w="2840" w:type="dxa"/>
            <w:vAlign w:val="center"/>
          </w:tcPr>
          <w:p>
            <w:pPr>
              <w:snapToGrid w:val="0"/>
              <w:jc w:val="center"/>
              <w:rPr>
                <w:rFonts w:ascii="Times New Roman" w:hAnsi="Times New Roman" w:cs="Times New Roman"/>
                <w:color w:val="000000"/>
                <w:highlight w:val="none"/>
              </w:rPr>
            </w:pPr>
          </w:p>
        </w:tc>
      </w:tr>
    </w:tbl>
    <w:p>
      <w:pPr>
        <w:snapToGrid w:val="0"/>
        <w:rPr>
          <w:rFonts w:ascii="Times New Roman" w:hAnsi="Times New Roman" w:cs="Times New Roman"/>
          <w:color w:val="000000"/>
          <w:sz w:val="10"/>
          <w:szCs w:val="10"/>
          <w:highlight w:val="none"/>
        </w:rPr>
      </w:pPr>
      <w:r>
        <w:rPr>
          <w:rFonts w:ascii="Times New Roman" w:hAnsi="Times New Roman" w:cs="Times New Roman"/>
          <w:color w:val="000000"/>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仿宋_GB2312"/>
                <w:b/>
                <w:bCs/>
                <w:color w:val="000000"/>
                <w:sz w:val="32"/>
                <w:szCs w:val="32"/>
                <w:highlight w:val="none"/>
              </w:rPr>
              <w:t>（二）大气污染防治类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938" w:type="dxa"/>
            <w:gridSpan w:val="2"/>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38" w:type="dxa"/>
            <w:gridSpan w:val="2"/>
            <w:vAlign w:val="center"/>
          </w:tcPr>
          <w:p>
            <w:pPr>
              <w:snapToGrid w:val="0"/>
              <w:ind w:firstLine="42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道路运输经营单位拒绝申报登记机动车排气污染物排放状况的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违反条款</w:t>
            </w:r>
          </w:p>
        </w:tc>
        <w:tc>
          <w:tcPr>
            <w:tcW w:w="7938" w:type="dxa"/>
            <w:gridSpan w:val="2"/>
            <w:vAlign w:val="center"/>
          </w:tcPr>
          <w:p>
            <w:pPr>
              <w:snapToGrid w:val="0"/>
              <w:spacing w:before="62" w:beforeLines="20" w:line="288" w:lineRule="auto"/>
              <w:ind w:firstLine="482"/>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《山东省机动车排气污染防治条例》第十二条</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从事道路运输经营的单位，应当向县（市、区）环境保护行政主管部门申报登记机动车排气污染物排放状况。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处罚依据</w:t>
            </w:r>
          </w:p>
        </w:tc>
        <w:tc>
          <w:tcPr>
            <w:tcW w:w="7938" w:type="dxa"/>
            <w:gridSpan w:val="2"/>
            <w:vAlign w:val="center"/>
          </w:tcPr>
          <w:p>
            <w:pPr>
              <w:snapToGrid w:val="0"/>
              <w:spacing w:before="62" w:beforeLines="20" w:line="288"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《山东省机动车排气污染防治条例》第二十八条</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违反本条例规定，道路运输经营单位拒绝申报登记机动车排气污染物排放状况，由环境保护行政主管部门处三千元以上三万元以下罚款。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245"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9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拒绝申报登记机动车数量少于</w:t>
            </w:r>
            <w:r>
              <w:rPr>
                <w:rFonts w:ascii="Times New Roman" w:hAnsi="Times New Roman" w:eastAsia="仿宋_GB2312" w:cs="Times New Roman"/>
                <w:highlight w:val="none"/>
              </w:rPr>
              <w:t>50</w:t>
            </w:r>
            <w:r>
              <w:rPr>
                <w:rFonts w:hint="eastAsia" w:ascii="Times New Roman" w:hAnsi="Times New Roman" w:eastAsia="仿宋_GB2312" w:cs="仿宋_GB2312"/>
                <w:highlight w:val="none"/>
              </w:rPr>
              <w:t>辆的</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拒绝申报登记机动车数量</w:t>
            </w:r>
            <w:r>
              <w:rPr>
                <w:rFonts w:ascii="Times New Roman" w:hAnsi="Times New Roman" w:eastAsia="仿宋_GB2312" w:cs="Times New Roman"/>
                <w:highlight w:val="none"/>
              </w:rPr>
              <w:t>50</w:t>
            </w:r>
            <w:r>
              <w:rPr>
                <w:rFonts w:hint="eastAsia" w:ascii="Times New Roman" w:hAnsi="Times New Roman" w:eastAsia="仿宋_GB2312" w:cs="仿宋_GB2312"/>
                <w:highlight w:val="none"/>
              </w:rPr>
              <w:t>辆以上</w:t>
            </w:r>
            <w:r>
              <w:rPr>
                <w:rFonts w:ascii="Times New Roman" w:hAnsi="Times New Roman" w:eastAsia="仿宋_GB2312" w:cs="Times New Roman"/>
                <w:highlight w:val="none"/>
              </w:rPr>
              <w:t>200</w:t>
            </w:r>
            <w:r>
              <w:rPr>
                <w:rFonts w:hint="eastAsia" w:ascii="Times New Roman" w:hAnsi="Times New Roman" w:eastAsia="仿宋_GB2312" w:cs="仿宋_GB2312"/>
                <w:highlight w:val="none"/>
              </w:rPr>
              <w:t>辆以内的</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拒绝申报登记机动车数量</w:t>
            </w:r>
            <w:r>
              <w:rPr>
                <w:rFonts w:ascii="Times New Roman" w:hAnsi="Times New Roman" w:eastAsia="仿宋_GB2312" w:cs="Times New Roman"/>
                <w:highlight w:val="none"/>
              </w:rPr>
              <w:t>200</w:t>
            </w:r>
            <w:r>
              <w:rPr>
                <w:rFonts w:hint="eastAsia" w:ascii="Times New Roman" w:hAnsi="Times New Roman" w:eastAsia="仿宋_GB2312" w:cs="仿宋_GB2312"/>
                <w:highlight w:val="none"/>
              </w:rPr>
              <w:t>辆及以上的</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938" w:type="dxa"/>
            <w:gridSpan w:val="2"/>
            <w:vAlign w:val="center"/>
          </w:tcPr>
          <w:p>
            <w:pPr>
              <w:snapToGrid w:val="0"/>
              <w:ind w:firstLine="420"/>
              <w:jc w:val="center"/>
              <w:rPr>
                <w:rFonts w:ascii="Times New Roman" w:hAnsi="Times New Roman" w:cs="Times New Roman"/>
                <w:color w:val="000000"/>
                <w:highlight w:val="none"/>
              </w:rPr>
            </w:pPr>
          </w:p>
        </w:tc>
      </w:tr>
    </w:tbl>
    <w:p>
      <w:pPr>
        <w:widowControl/>
        <w:snapToGrid w:val="0"/>
        <w:jc w:val="center"/>
        <w:outlineLvl w:val="1"/>
        <w:rPr>
          <w:rFonts w:ascii="Times New Roman" w:hAnsi="Times New Roman" w:eastAsia="仿宋_GB2312" w:cs="Times New Roman"/>
          <w:b/>
          <w:bCs/>
          <w:sz w:val="10"/>
          <w:szCs w:val="10"/>
          <w:highlight w:val="none"/>
        </w:rPr>
      </w:pPr>
      <w:r>
        <w:rPr>
          <w:rFonts w:ascii="Times New Roman" w:hAnsi="Times New Roman" w:eastAsia="仿宋_GB2312" w:cs="Times New Roman"/>
          <w:b/>
          <w:bCs/>
          <w:sz w:val="32"/>
          <w:szCs w:val="32"/>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仿宋_GB2312"/>
                <w:b/>
                <w:bCs/>
                <w:color w:val="000000"/>
                <w:sz w:val="32"/>
                <w:szCs w:val="32"/>
                <w:highlight w:val="none"/>
              </w:rPr>
              <w:t>（二）大气污染防治类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938" w:type="dxa"/>
            <w:gridSpan w:val="2"/>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38" w:type="dxa"/>
            <w:gridSpan w:val="2"/>
            <w:vAlign w:val="center"/>
          </w:tcPr>
          <w:p>
            <w:pPr>
              <w:snapToGrid w:val="0"/>
              <w:ind w:firstLine="42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机动车环保检验机构从事机动车排气污染维修治理业务的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违反条款</w:t>
            </w:r>
          </w:p>
        </w:tc>
        <w:tc>
          <w:tcPr>
            <w:tcW w:w="7938" w:type="dxa"/>
            <w:gridSpan w:val="2"/>
          </w:tcPr>
          <w:p>
            <w:pPr>
              <w:snapToGrid w:val="0"/>
              <w:spacing w:before="93" w:beforeLines="30" w:line="288" w:lineRule="auto"/>
              <w:ind w:firstLine="48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《山东省机动车排气污染防治条例》第十七条第一款第（五）项</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机动车环保检验机构应当遵守下列规定：</w:t>
            </w:r>
          </w:p>
          <w:p>
            <w:pPr>
              <w:snapToGrid w:val="0"/>
              <w:ind w:firstLine="482"/>
              <w:rPr>
                <w:rFonts w:ascii="Times New Roman" w:hAnsi="Times New Roman" w:eastAsia="仿宋_GB2312" w:cs="Times New Roman"/>
                <w:highlight w:val="none"/>
              </w:rPr>
            </w:pPr>
            <w:r>
              <w:rPr>
                <w:rFonts w:hint="eastAsia" w:ascii="Times New Roman" w:hAnsi="Times New Roman" w:eastAsia="仿宋_GB2312" w:cs="仿宋_GB2312"/>
                <w:highlight w:val="none"/>
              </w:rPr>
              <w:t>（五）不得从事机动车排气污染维修治理业务。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处罚依据</w:t>
            </w:r>
          </w:p>
        </w:tc>
        <w:tc>
          <w:tcPr>
            <w:tcW w:w="7938" w:type="dxa"/>
            <w:gridSpan w:val="2"/>
          </w:tcPr>
          <w:p>
            <w:pPr>
              <w:snapToGrid w:val="0"/>
              <w:spacing w:before="93" w:beforeLines="30" w:line="288"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《山东省机动车排气污染防治条例》第三十一条第二款</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违反本条例规定，机动车环保检验机构从事机动车排气污染维修治理业务的，由县级以上人民政府环境保护行政主管部门没收违法所得，并处以五万元以上十万元以下的罚款。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245"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9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违法所得</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金额★</w:t>
            </w: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50</w:t>
            </w:r>
            <w:r>
              <w:rPr>
                <w:rFonts w:hint="eastAsia" w:ascii="Times New Roman" w:hAnsi="Times New Roman" w:eastAsia="仿宋_GB2312" w:cs="仿宋_GB2312"/>
                <w:color w:val="000000"/>
                <w:highlight w:val="none"/>
              </w:rPr>
              <w:t>万元</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50</w:t>
            </w:r>
            <w:r>
              <w:rPr>
                <w:rFonts w:hint="eastAsia" w:ascii="Times New Roman" w:hAnsi="Times New Roman" w:eastAsia="仿宋_GB2312" w:cs="仿宋_GB2312"/>
                <w:color w:val="000000"/>
                <w:highlight w:val="none"/>
              </w:rPr>
              <w:t>万元以上不足</w:t>
            </w:r>
            <w:r>
              <w:rPr>
                <w:rFonts w:ascii="Times New Roman" w:hAnsi="Times New Roman" w:eastAsia="仿宋_GB2312" w:cs="Times New Roman"/>
                <w:color w:val="000000"/>
                <w:highlight w:val="none"/>
              </w:rPr>
              <w:t>200</w:t>
            </w:r>
            <w:r>
              <w:rPr>
                <w:rFonts w:hint="eastAsia" w:ascii="Times New Roman" w:hAnsi="Times New Roman" w:eastAsia="仿宋_GB2312" w:cs="仿宋_GB2312"/>
                <w:color w:val="000000"/>
                <w:highlight w:val="none"/>
              </w:rPr>
              <w:t>万元</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200</w:t>
            </w:r>
            <w:r>
              <w:rPr>
                <w:rFonts w:hint="eastAsia" w:ascii="Times New Roman" w:hAnsi="Times New Roman" w:eastAsia="仿宋_GB2312" w:cs="仿宋_GB2312"/>
                <w:color w:val="000000"/>
                <w:highlight w:val="none"/>
              </w:rPr>
              <w:t>万元以上的</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违法持续</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时间</w:t>
            </w: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个月以内的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超过</w:t>
            </w: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个月并且在</w:t>
            </w: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个月以内的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超过</w:t>
            </w: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个月并且在</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年以内的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超过</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年并且在</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年以内的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年以上的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938" w:type="dxa"/>
            <w:gridSpan w:val="2"/>
            <w:vAlign w:val="center"/>
          </w:tcPr>
          <w:p>
            <w:pPr>
              <w:snapToGrid w:val="0"/>
              <w:ind w:firstLine="420"/>
              <w:jc w:val="center"/>
              <w:rPr>
                <w:rFonts w:ascii="Times New Roman" w:hAnsi="Times New Roman" w:cs="Times New Roman"/>
                <w:color w:val="000000"/>
                <w:highlight w:val="none"/>
              </w:rPr>
            </w:pPr>
          </w:p>
        </w:tc>
      </w:tr>
    </w:tbl>
    <w:p>
      <w:pPr>
        <w:widowControl/>
        <w:snapToGrid w:val="0"/>
        <w:spacing w:line="288" w:lineRule="auto"/>
        <w:outlineLvl w:val="1"/>
        <w:rPr>
          <w:rFonts w:ascii="Times New Roman" w:hAnsi="Times New Roman" w:eastAsia="仿宋_GB2312" w:cs="Times New Roman"/>
          <w:b/>
          <w:bCs/>
          <w:sz w:val="32"/>
          <w:szCs w:val="32"/>
          <w:highlight w:val="none"/>
        </w:rPr>
      </w:pPr>
      <w:bookmarkStart w:id="46" w:name="_Toc91081270"/>
      <w:bookmarkStart w:id="47" w:name="_Toc25240283"/>
      <w:r>
        <w:rPr>
          <w:rFonts w:ascii="Times New Roman" w:hAnsi="Times New Roman" w:eastAsia="仿宋_GB2312" w:cs="Times New Roman"/>
          <w:b/>
          <w:bCs/>
          <w:sz w:val="32"/>
          <w:szCs w:val="32"/>
          <w:highlight w:val="none"/>
        </w:rPr>
        <w:br w:type="page"/>
      </w:r>
    </w:p>
    <w:tbl>
      <w:tblPr>
        <w:tblStyle w:val="1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716"/>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09" w:type="dxa"/>
            <w:gridSpan w:val="3"/>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仿宋_GB2312"/>
                <w:b/>
                <w:bCs/>
                <w:color w:val="000000"/>
                <w:sz w:val="32"/>
                <w:szCs w:val="32"/>
                <w:highlight w:val="none"/>
              </w:rPr>
              <w:t>（二）大气污染防治类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938" w:type="dxa"/>
            <w:gridSpan w:val="2"/>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38" w:type="dxa"/>
            <w:gridSpan w:val="2"/>
            <w:vAlign w:val="center"/>
          </w:tcPr>
          <w:p>
            <w:pPr>
              <w:snapToGrid w:val="0"/>
              <w:ind w:firstLine="420"/>
              <w:jc w:val="left"/>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非道路移动机械所有人未按照规定提供登记信息或者及时进行变更、注销登记信息，或者提供虚假登记信息的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违反条款</w:t>
            </w:r>
          </w:p>
        </w:tc>
        <w:tc>
          <w:tcPr>
            <w:tcW w:w="7938" w:type="dxa"/>
            <w:gridSpan w:val="2"/>
          </w:tcPr>
          <w:p>
            <w:pPr>
              <w:snapToGrid w:val="0"/>
              <w:spacing w:before="93" w:beforeLines="30" w:line="288" w:lineRule="auto"/>
              <w:ind w:firstLine="480"/>
              <w:rPr>
                <w:rFonts w:ascii="Times New Roman" w:hAnsi="Times New Roman" w:eastAsia="仿宋_GB2312" w:cs="仿宋_GB2312"/>
                <w:bCs/>
                <w:highlight w:val="none"/>
              </w:rPr>
            </w:pPr>
            <w:r>
              <w:rPr>
                <w:rFonts w:hint="eastAsia" w:ascii="Times New Roman" w:hAnsi="Times New Roman" w:eastAsia="仿宋_GB2312" w:cs="仿宋_GB2312"/>
                <w:b/>
                <w:bCs/>
                <w:highlight w:val="none"/>
              </w:rPr>
              <w:t>《山东省非道路移动机械排气污染防治规定》第十条　</w:t>
            </w:r>
            <w:r>
              <w:rPr>
                <w:rFonts w:hint="eastAsia" w:ascii="Times New Roman" w:hAnsi="Times New Roman" w:eastAsia="仿宋_GB2312" w:cs="仿宋_GB2312"/>
                <w:bCs/>
                <w:highlight w:val="none"/>
              </w:rPr>
              <w:t>非道路移动机械实行信息登记管理制度。</w:t>
            </w:r>
          </w:p>
          <w:p>
            <w:pPr>
              <w:snapToGrid w:val="0"/>
              <w:ind w:firstLine="482"/>
              <w:rPr>
                <w:rFonts w:ascii="Times New Roman" w:hAnsi="Times New Roman" w:eastAsia="仿宋_GB2312" w:cs="仿宋_GB2312"/>
                <w:bCs/>
                <w:highlight w:val="none"/>
              </w:rPr>
            </w:pPr>
            <w:r>
              <w:rPr>
                <w:rFonts w:hint="eastAsia" w:ascii="Times New Roman" w:hAnsi="Times New Roman" w:eastAsia="仿宋_GB2312" w:cs="仿宋_GB2312"/>
                <w:bCs/>
                <w:highlight w:val="none"/>
              </w:rPr>
              <w:t>新增的非道路移动机械所有人应当自获得所有权之日起30日内，通过互联网或者现场等方式向就近的设区的市人民政府生态环境主管部门或者其派出机构提供登记信息。</w:t>
            </w:r>
          </w:p>
          <w:p>
            <w:pPr>
              <w:snapToGrid w:val="0"/>
              <w:ind w:firstLine="482"/>
              <w:rPr>
                <w:rFonts w:ascii="Times New Roman" w:hAnsi="Times New Roman" w:eastAsia="仿宋_GB2312" w:cs="仿宋_GB2312"/>
                <w:bCs/>
                <w:highlight w:val="none"/>
              </w:rPr>
            </w:pPr>
            <w:r>
              <w:rPr>
                <w:rFonts w:hint="eastAsia" w:ascii="Times New Roman" w:hAnsi="Times New Roman" w:eastAsia="仿宋_GB2312" w:cs="仿宋_GB2312"/>
                <w:bCs/>
                <w:highlight w:val="none"/>
              </w:rPr>
              <w:t>现有的非道路移动机械所有人应当自本规定实施之日起3个月内，按照前款规定提供登记信息。</w:t>
            </w:r>
          </w:p>
          <w:p>
            <w:pPr>
              <w:snapToGrid w:val="0"/>
              <w:ind w:firstLine="480"/>
              <w:rPr>
                <w:rFonts w:ascii="Times New Roman" w:hAnsi="Times New Roman" w:eastAsia="仿宋_GB2312" w:cs="仿宋_GB2312"/>
                <w:bCs/>
                <w:highlight w:val="none"/>
              </w:rPr>
            </w:pPr>
            <w:r>
              <w:rPr>
                <w:rFonts w:hint="eastAsia" w:ascii="Times New Roman" w:hAnsi="Times New Roman" w:eastAsia="仿宋_GB2312" w:cs="仿宋_GB2312"/>
                <w:b/>
                <w:bCs/>
                <w:highlight w:val="none"/>
              </w:rPr>
              <w:t>第十一条</w:t>
            </w:r>
            <w:r>
              <w:rPr>
                <w:rFonts w:hint="eastAsia" w:ascii="Times New Roman" w:hAnsi="Times New Roman" w:eastAsia="仿宋_GB2312" w:cs="仿宋_GB2312"/>
                <w:bCs/>
                <w:highlight w:val="none"/>
              </w:rPr>
              <w:t>　非道路移动机械所有人应当向生态环境主管部门提供下列信息：</w:t>
            </w:r>
          </w:p>
          <w:p>
            <w:pPr>
              <w:snapToGrid w:val="0"/>
              <w:ind w:firstLine="480"/>
              <w:rPr>
                <w:rFonts w:ascii="Times New Roman" w:hAnsi="Times New Roman" w:eastAsia="仿宋_GB2312" w:cs="仿宋_GB2312"/>
                <w:bCs/>
                <w:highlight w:val="none"/>
              </w:rPr>
            </w:pPr>
            <w:r>
              <w:rPr>
                <w:rFonts w:hint="eastAsia" w:ascii="Times New Roman" w:hAnsi="Times New Roman" w:eastAsia="仿宋_GB2312" w:cs="仿宋_GB2312"/>
                <w:bCs/>
                <w:highlight w:val="none"/>
              </w:rPr>
              <w:t>（一）生产厂家名称、出厂日期等基本信息；</w:t>
            </w:r>
          </w:p>
          <w:p>
            <w:pPr>
              <w:snapToGrid w:val="0"/>
              <w:ind w:firstLine="480"/>
              <w:rPr>
                <w:rFonts w:ascii="Times New Roman" w:hAnsi="Times New Roman" w:eastAsia="仿宋_GB2312" w:cs="仿宋_GB2312"/>
                <w:bCs/>
                <w:highlight w:val="none"/>
              </w:rPr>
            </w:pPr>
            <w:r>
              <w:rPr>
                <w:rFonts w:hint="eastAsia" w:ascii="Times New Roman" w:hAnsi="Times New Roman" w:eastAsia="仿宋_GB2312" w:cs="仿宋_GB2312"/>
                <w:bCs/>
                <w:highlight w:val="none"/>
              </w:rPr>
              <w:t>（二）所有人名称、联系方式等登记人信息；</w:t>
            </w:r>
          </w:p>
          <w:p>
            <w:pPr>
              <w:snapToGrid w:val="0"/>
              <w:ind w:firstLine="480"/>
              <w:rPr>
                <w:rFonts w:ascii="Times New Roman" w:hAnsi="Times New Roman" w:eastAsia="仿宋_GB2312" w:cs="仿宋_GB2312"/>
                <w:bCs/>
                <w:highlight w:val="none"/>
              </w:rPr>
            </w:pPr>
            <w:r>
              <w:rPr>
                <w:rFonts w:hint="eastAsia" w:ascii="Times New Roman" w:hAnsi="Times New Roman" w:eastAsia="仿宋_GB2312" w:cs="仿宋_GB2312"/>
                <w:bCs/>
                <w:highlight w:val="none"/>
              </w:rPr>
              <w:t>（三）排放阶段、机械类型、燃料类型、污染控制装置等技术信息；</w:t>
            </w:r>
          </w:p>
          <w:p>
            <w:pPr>
              <w:snapToGrid w:val="0"/>
              <w:ind w:firstLine="480"/>
              <w:rPr>
                <w:rFonts w:ascii="Times New Roman" w:hAnsi="Times New Roman" w:eastAsia="仿宋_GB2312" w:cs="仿宋_GB2312"/>
                <w:bCs/>
                <w:highlight w:val="none"/>
              </w:rPr>
            </w:pPr>
            <w:r>
              <w:rPr>
                <w:rFonts w:hint="eastAsia" w:ascii="Times New Roman" w:hAnsi="Times New Roman" w:eastAsia="仿宋_GB2312" w:cs="仿宋_GB2312"/>
                <w:bCs/>
                <w:highlight w:val="none"/>
              </w:rPr>
              <w:t>（四）机械铭牌、发动机铭牌、环保信息公开标签等其他信息。</w:t>
            </w:r>
          </w:p>
          <w:p>
            <w:pPr>
              <w:snapToGrid w:val="0"/>
              <w:ind w:firstLine="482"/>
              <w:rPr>
                <w:rFonts w:ascii="Times New Roman" w:hAnsi="Times New Roman" w:eastAsia="仿宋_GB2312" w:cs="仿宋_GB2312"/>
                <w:bCs/>
                <w:highlight w:val="none"/>
              </w:rPr>
            </w:pPr>
            <w:r>
              <w:rPr>
                <w:rFonts w:hint="eastAsia" w:ascii="Times New Roman" w:hAnsi="Times New Roman" w:eastAsia="仿宋_GB2312" w:cs="仿宋_GB2312"/>
                <w:bCs/>
                <w:highlight w:val="none"/>
              </w:rPr>
              <w:t>非道路移动机械所有人提供的信息应当真实、准确、完整。</w:t>
            </w:r>
          </w:p>
          <w:p>
            <w:pPr>
              <w:snapToGrid w:val="0"/>
              <w:ind w:firstLine="480"/>
              <w:rPr>
                <w:rFonts w:ascii="Times New Roman" w:hAnsi="Times New Roman" w:eastAsia="仿宋_GB2312" w:cs="仿宋_GB2312"/>
                <w:bCs/>
                <w:highlight w:val="none"/>
              </w:rPr>
            </w:pPr>
            <w:r>
              <w:rPr>
                <w:rFonts w:ascii="Times New Roman" w:hAnsi="Times New Roman" w:eastAsia="仿宋_GB2312" w:cs="仿宋_GB2312"/>
                <w:b/>
                <w:bCs/>
                <w:highlight w:val="none"/>
              </w:rPr>
              <w:t>第十三条</w:t>
            </w:r>
            <w:r>
              <w:rPr>
                <w:rFonts w:ascii="Times New Roman" w:hAnsi="Times New Roman" w:eastAsia="仿宋_GB2312" w:cs="仿宋_GB2312"/>
                <w:bCs/>
                <w:highlight w:val="none"/>
              </w:rPr>
              <w:t>　非道路移动机械登记信息发生变动的，其所有人应当在30日内对登记信息予以变更。</w:t>
            </w:r>
          </w:p>
          <w:p>
            <w:pPr>
              <w:snapToGrid w:val="0"/>
              <w:ind w:firstLine="480"/>
              <w:rPr>
                <w:rFonts w:ascii="Times New Roman" w:hAnsi="Times New Roman" w:eastAsia="仿宋_GB2312" w:cs="仿宋_GB2312"/>
                <w:bCs/>
                <w:highlight w:val="none"/>
              </w:rPr>
            </w:pPr>
            <w:r>
              <w:rPr>
                <w:rFonts w:ascii="Times New Roman" w:hAnsi="Times New Roman" w:eastAsia="仿宋_GB2312" w:cs="仿宋_GB2312"/>
                <w:bCs/>
                <w:highlight w:val="none"/>
              </w:rPr>
              <w:t>非道路移动机械报废的，其所有人应当在30日内对登记信息予以注销。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处罚依据</w:t>
            </w:r>
          </w:p>
        </w:tc>
        <w:tc>
          <w:tcPr>
            <w:tcW w:w="7938" w:type="dxa"/>
            <w:gridSpan w:val="2"/>
          </w:tcPr>
          <w:p>
            <w:pPr>
              <w:snapToGrid w:val="0"/>
              <w:spacing w:before="93" w:beforeLines="30" w:line="288"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 xml:space="preserve">《山东省非道路移动机械排气污染防治规定》第二十四条  </w:t>
            </w:r>
            <w:r>
              <w:rPr>
                <w:rFonts w:hint="eastAsia" w:ascii="Times New Roman" w:hAnsi="Times New Roman" w:eastAsia="仿宋_GB2312" w:cs="仿宋_GB2312"/>
                <w:highlight w:val="none"/>
              </w:rPr>
              <w:t>违反本规定，非道路移动机械所有人未按照规定提供登记信息或者及时进行变更、注销登记信息，或者提供虚假登记信息的，由所在地生态环境主管部门责令限期改正；拒不改正的，处500元以上3000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71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222"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未按照规定</w:t>
            </w:r>
            <w:r>
              <w:rPr>
                <w:rFonts w:ascii="Times New Roman" w:hAnsi="Times New Roman" w:cs="宋体"/>
                <w:b/>
                <w:bCs/>
                <w:color w:val="000000"/>
                <w:highlight w:val="none"/>
              </w:rPr>
              <w:t>提供登记信息的</w:t>
            </w:r>
            <w:r>
              <w:rPr>
                <w:rFonts w:hint="eastAsia" w:ascii="Times New Roman" w:hAnsi="Times New Roman" w:cs="宋体"/>
                <w:b/>
                <w:bCs/>
                <w:color w:val="000000"/>
                <w:highlight w:val="none"/>
              </w:rPr>
              <w:t>★</w:t>
            </w:r>
          </w:p>
        </w:tc>
        <w:tc>
          <w:tcPr>
            <w:tcW w:w="571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未按照规定提供登记</w:t>
            </w:r>
            <w:r>
              <w:rPr>
                <w:rFonts w:ascii="Times New Roman" w:hAnsi="Times New Roman" w:eastAsia="仿宋_GB2312" w:cs="仿宋_GB2312"/>
                <w:color w:val="000000"/>
                <w:highlight w:val="none"/>
              </w:rPr>
              <w:t>信息的数量少于</w:t>
            </w:r>
            <w:r>
              <w:rPr>
                <w:rFonts w:hint="eastAsia" w:ascii="Times New Roman" w:hAnsi="Times New Roman" w:eastAsia="仿宋_GB2312" w:cs="仿宋_GB2312"/>
                <w:color w:val="000000"/>
                <w:highlight w:val="none"/>
              </w:rPr>
              <w:t>3台</w:t>
            </w:r>
            <w:r>
              <w:rPr>
                <w:rFonts w:ascii="Times New Roman" w:hAnsi="Times New Roman" w:eastAsia="仿宋_GB2312" w:cs="仿宋_GB2312"/>
                <w:color w:val="000000"/>
                <w:highlight w:val="none"/>
              </w:rPr>
              <w:t>（</w:t>
            </w:r>
            <w:r>
              <w:rPr>
                <w:rFonts w:hint="eastAsia" w:ascii="Times New Roman" w:hAnsi="Times New Roman" w:eastAsia="仿宋_GB2312" w:cs="仿宋_GB2312"/>
                <w:color w:val="000000"/>
                <w:highlight w:val="none"/>
              </w:rPr>
              <w:t>辆</w:t>
            </w:r>
            <w:r>
              <w:rPr>
                <w:rFonts w:ascii="Times New Roman" w:hAnsi="Times New Roman" w:eastAsia="仿宋_GB2312" w:cs="仿宋_GB2312"/>
                <w:color w:val="000000"/>
                <w:highlight w:val="none"/>
              </w:rPr>
              <w:t>）的</w:t>
            </w:r>
          </w:p>
        </w:tc>
        <w:tc>
          <w:tcPr>
            <w:tcW w:w="2222"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71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未按照规定提供登记</w:t>
            </w:r>
            <w:r>
              <w:rPr>
                <w:rFonts w:ascii="Times New Roman" w:hAnsi="Times New Roman" w:eastAsia="仿宋_GB2312" w:cs="仿宋_GB2312"/>
                <w:color w:val="000000"/>
                <w:highlight w:val="none"/>
              </w:rPr>
              <w:t>信息的数量</w:t>
            </w:r>
            <w:r>
              <w:rPr>
                <w:rFonts w:hint="eastAsia" w:ascii="Times New Roman" w:hAnsi="Times New Roman" w:eastAsia="仿宋_GB2312" w:cs="仿宋_GB2312"/>
                <w:color w:val="000000"/>
                <w:highlight w:val="none"/>
              </w:rPr>
              <w:t>3台</w:t>
            </w:r>
            <w:r>
              <w:rPr>
                <w:rFonts w:ascii="Times New Roman" w:hAnsi="Times New Roman" w:eastAsia="仿宋_GB2312" w:cs="仿宋_GB2312"/>
                <w:color w:val="000000"/>
                <w:highlight w:val="none"/>
              </w:rPr>
              <w:t>（</w:t>
            </w:r>
            <w:r>
              <w:rPr>
                <w:rFonts w:hint="eastAsia" w:ascii="Times New Roman" w:hAnsi="Times New Roman" w:eastAsia="仿宋_GB2312" w:cs="仿宋_GB2312"/>
                <w:color w:val="000000"/>
                <w:highlight w:val="none"/>
              </w:rPr>
              <w:t>辆</w:t>
            </w:r>
            <w:r>
              <w:rPr>
                <w:rFonts w:ascii="Times New Roman" w:hAnsi="Times New Roman" w:eastAsia="仿宋_GB2312" w:cs="仿宋_GB2312"/>
                <w:color w:val="000000"/>
                <w:highlight w:val="none"/>
              </w:rPr>
              <w:t>）</w:t>
            </w:r>
            <w:r>
              <w:rPr>
                <w:rFonts w:hint="eastAsia" w:ascii="Times New Roman" w:hAnsi="Times New Roman" w:eastAsia="仿宋_GB2312" w:cs="仿宋_GB2312"/>
                <w:color w:val="000000"/>
                <w:highlight w:val="none"/>
              </w:rPr>
              <w:t>以上5台</w:t>
            </w:r>
            <w:r>
              <w:rPr>
                <w:rFonts w:ascii="Times New Roman" w:hAnsi="Times New Roman" w:eastAsia="仿宋_GB2312" w:cs="仿宋_GB2312"/>
                <w:color w:val="000000"/>
                <w:highlight w:val="none"/>
              </w:rPr>
              <w:t>（</w:t>
            </w:r>
            <w:r>
              <w:rPr>
                <w:rFonts w:hint="eastAsia" w:ascii="Times New Roman" w:hAnsi="Times New Roman" w:eastAsia="仿宋_GB2312" w:cs="仿宋_GB2312"/>
                <w:color w:val="000000"/>
                <w:highlight w:val="none"/>
              </w:rPr>
              <w:t>辆</w:t>
            </w:r>
            <w:r>
              <w:rPr>
                <w:rFonts w:ascii="Times New Roman" w:hAnsi="Times New Roman" w:eastAsia="仿宋_GB2312" w:cs="仿宋_GB2312"/>
                <w:color w:val="000000"/>
                <w:highlight w:val="none"/>
              </w:rPr>
              <w:t>）</w:t>
            </w:r>
            <w:r>
              <w:rPr>
                <w:rFonts w:hint="eastAsia" w:ascii="Times New Roman" w:hAnsi="Times New Roman" w:eastAsia="仿宋_GB2312" w:cs="仿宋_GB2312"/>
                <w:color w:val="000000"/>
                <w:highlight w:val="none"/>
              </w:rPr>
              <w:t>以下</w:t>
            </w:r>
            <w:r>
              <w:rPr>
                <w:rFonts w:ascii="Times New Roman" w:hAnsi="Times New Roman" w:eastAsia="仿宋_GB2312" w:cs="仿宋_GB2312"/>
                <w:color w:val="000000"/>
                <w:highlight w:val="none"/>
              </w:rPr>
              <w:t>的</w:t>
            </w:r>
          </w:p>
        </w:tc>
        <w:tc>
          <w:tcPr>
            <w:tcW w:w="2222"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71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未按照规定提供登记信息的数量5台（辆）及以上的</w:t>
            </w:r>
          </w:p>
        </w:tc>
        <w:tc>
          <w:tcPr>
            <w:tcW w:w="2222"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未及时进行</w:t>
            </w:r>
            <w:r>
              <w:rPr>
                <w:rFonts w:ascii="Times New Roman" w:hAnsi="Times New Roman" w:cs="宋体"/>
                <w:b/>
                <w:bCs/>
                <w:highlight w:val="none"/>
              </w:rPr>
              <w:t>变更、注销登记信息的</w:t>
            </w:r>
            <w:r>
              <w:rPr>
                <w:rFonts w:hint="eastAsia" w:ascii="Times New Roman" w:hAnsi="Times New Roman" w:cs="宋体"/>
                <w:b/>
                <w:bCs/>
                <w:color w:val="000000"/>
                <w:highlight w:val="none"/>
              </w:rPr>
              <w:t>★</w:t>
            </w:r>
          </w:p>
        </w:tc>
        <w:tc>
          <w:tcPr>
            <w:tcW w:w="571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未及时进行变更、注销登记信息</w:t>
            </w:r>
            <w:r>
              <w:rPr>
                <w:rFonts w:ascii="Times New Roman" w:hAnsi="Times New Roman" w:eastAsia="仿宋_GB2312" w:cs="仿宋_GB2312"/>
                <w:color w:val="000000"/>
                <w:highlight w:val="none"/>
              </w:rPr>
              <w:t>的数量少于</w:t>
            </w:r>
            <w:r>
              <w:rPr>
                <w:rFonts w:hint="eastAsia" w:ascii="Times New Roman" w:hAnsi="Times New Roman" w:eastAsia="仿宋_GB2312" w:cs="仿宋_GB2312"/>
                <w:color w:val="000000"/>
                <w:highlight w:val="none"/>
              </w:rPr>
              <w:t>3台</w:t>
            </w:r>
            <w:r>
              <w:rPr>
                <w:rFonts w:ascii="Times New Roman" w:hAnsi="Times New Roman" w:eastAsia="仿宋_GB2312" w:cs="仿宋_GB2312"/>
                <w:color w:val="000000"/>
                <w:highlight w:val="none"/>
              </w:rPr>
              <w:t>（</w:t>
            </w:r>
            <w:r>
              <w:rPr>
                <w:rFonts w:hint="eastAsia" w:ascii="Times New Roman" w:hAnsi="Times New Roman" w:eastAsia="仿宋_GB2312" w:cs="仿宋_GB2312"/>
                <w:color w:val="000000"/>
                <w:highlight w:val="none"/>
              </w:rPr>
              <w:t>辆</w:t>
            </w:r>
            <w:r>
              <w:rPr>
                <w:rFonts w:ascii="Times New Roman" w:hAnsi="Times New Roman" w:eastAsia="仿宋_GB2312" w:cs="仿宋_GB2312"/>
                <w:color w:val="000000"/>
                <w:highlight w:val="none"/>
              </w:rPr>
              <w:t>）的</w:t>
            </w:r>
          </w:p>
        </w:tc>
        <w:tc>
          <w:tcPr>
            <w:tcW w:w="2222"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71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未及时进行变更、注销登记信息的</w:t>
            </w:r>
            <w:r>
              <w:rPr>
                <w:rFonts w:ascii="Times New Roman" w:hAnsi="Times New Roman" w:eastAsia="仿宋_GB2312" w:cs="仿宋_GB2312"/>
                <w:color w:val="000000"/>
                <w:highlight w:val="none"/>
              </w:rPr>
              <w:t>数量</w:t>
            </w:r>
            <w:r>
              <w:rPr>
                <w:rFonts w:hint="eastAsia" w:ascii="Times New Roman" w:hAnsi="Times New Roman" w:eastAsia="仿宋_GB2312" w:cs="仿宋_GB2312"/>
                <w:color w:val="000000"/>
                <w:highlight w:val="none"/>
              </w:rPr>
              <w:t>3台</w:t>
            </w:r>
            <w:r>
              <w:rPr>
                <w:rFonts w:ascii="Times New Roman" w:hAnsi="Times New Roman" w:eastAsia="仿宋_GB2312" w:cs="仿宋_GB2312"/>
                <w:color w:val="000000"/>
                <w:highlight w:val="none"/>
              </w:rPr>
              <w:t>（</w:t>
            </w:r>
            <w:r>
              <w:rPr>
                <w:rFonts w:hint="eastAsia" w:ascii="Times New Roman" w:hAnsi="Times New Roman" w:eastAsia="仿宋_GB2312" w:cs="仿宋_GB2312"/>
                <w:color w:val="000000"/>
                <w:highlight w:val="none"/>
              </w:rPr>
              <w:t>辆</w:t>
            </w:r>
            <w:r>
              <w:rPr>
                <w:rFonts w:ascii="Times New Roman" w:hAnsi="Times New Roman" w:eastAsia="仿宋_GB2312" w:cs="仿宋_GB2312"/>
                <w:color w:val="000000"/>
                <w:highlight w:val="none"/>
              </w:rPr>
              <w:t>）</w:t>
            </w:r>
            <w:r>
              <w:rPr>
                <w:rFonts w:hint="eastAsia" w:ascii="Times New Roman" w:hAnsi="Times New Roman" w:eastAsia="仿宋_GB2312" w:cs="仿宋_GB2312"/>
                <w:color w:val="000000"/>
                <w:highlight w:val="none"/>
              </w:rPr>
              <w:t>以上5台</w:t>
            </w:r>
            <w:r>
              <w:rPr>
                <w:rFonts w:ascii="Times New Roman" w:hAnsi="Times New Roman" w:eastAsia="仿宋_GB2312" w:cs="仿宋_GB2312"/>
                <w:color w:val="000000"/>
                <w:highlight w:val="none"/>
              </w:rPr>
              <w:t>（</w:t>
            </w:r>
            <w:r>
              <w:rPr>
                <w:rFonts w:hint="eastAsia" w:ascii="Times New Roman" w:hAnsi="Times New Roman" w:eastAsia="仿宋_GB2312" w:cs="仿宋_GB2312"/>
                <w:color w:val="000000"/>
                <w:highlight w:val="none"/>
              </w:rPr>
              <w:t>辆</w:t>
            </w:r>
            <w:r>
              <w:rPr>
                <w:rFonts w:ascii="Times New Roman" w:hAnsi="Times New Roman" w:eastAsia="仿宋_GB2312" w:cs="仿宋_GB2312"/>
                <w:color w:val="000000"/>
                <w:highlight w:val="none"/>
              </w:rPr>
              <w:t>）</w:t>
            </w:r>
            <w:r>
              <w:rPr>
                <w:rFonts w:hint="eastAsia" w:ascii="Times New Roman" w:hAnsi="Times New Roman" w:eastAsia="仿宋_GB2312" w:cs="仿宋_GB2312"/>
                <w:color w:val="000000"/>
                <w:highlight w:val="none"/>
              </w:rPr>
              <w:t>以下</w:t>
            </w:r>
            <w:r>
              <w:rPr>
                <w:rFonts w:ascii="Times New Roman" w:hAnsi="Times New Roman" w:eastAsia="仿宋_GB2312" w:cs="仿宋_GB2312"/>
                <w:color w:val="000000"/>
                <w:highlight w:val="none"/>
              </w:rPr>
              <w:t>的</w:t>
            </w:r>
          </w:p>
        </w:tc>
        <w:tc>
          <w:tcPr>
            <w:tcW w:w="2222"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71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未及时进行变更、注销登记信息的数量5台（辆）及以上的</w:t>
            </w:r>
          </w:p>
        </w:tc>
        <w:tc>
          <w:tcPr>
            <w:tcW w:w="2222"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Times New Roman"/>
                <w:b/>
                <w:bCs/>
                <w:highlight w:val="none"/>
              </w:rPr>
              <w:t>提供</w:t>
            </w:r>
            <w:r>
              <w:rPr>
                <w:rFonts w:ascii="Times New Roman" w:hAnsi="Times New Roman" w:cs="Times New Roman"/>
                <w:b/>
                <w:bCs/>
                <w:highlight w:val="none"/>
              </w:rPr>
              <w:t>虚假登记信息的</w:t>
            </w:r>
            <w:r>
              <w:rPr>
                <w:rFonts w:hint="eastAsia" w:ascii="Times New Roman" w:hAnsi="Times New Roman" w:cs="宋体"/>
                <w:b/>
                <w:bCs/>
                <w:color w:val="000000"/>
                <w:highlight w:val="none"/>
              </w:rPr>
              <w:t>★</w:t>
            </w:r>
          </w:p>
        </w:tc>
        <w:tc>
          <w:tcPr>
            <w:tcW w:w="571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提供虚假登记信息的</w:t>
            </w:r>
            <w:r>
              <w:rPr>
                <w:rFonts w:ascii="Times New Roman" w:hAnsi="Times New Roman" w:eastAsia="仿宋_GB2312" w:cs="仿宋_GB2312"/>
                <w:color w:val="000000"/>
                <w:highlight w:val="none"/>
              </w:rPr>
              <w:t>数量少于</w:t>
            </w:r>
            <w:r>
              <w:rPr>
                <w:rFonts w:hint="eastAsia" w:ascii="Times New Roman" w:hAnsi="Times New Roman" w:eastAsia="仿宋_GB2312" w:cs="仿宋_GB2312"/>
                <w:color w:val="000000"/>
                <w:highlight w:val="none"/>
              </w:rPr>
              <w:t>3台</w:t>
            </w:r>
            <w:r>
              <w:rPr>
                <w:rFonts w:ascii="Times New Roman" w:hAnsi="Times New Roman" w:eastAsia="仿宋_GB2312" w:cs="仿宋_GB2312"/>
                <w:color w:val="000000"/>
                <w:highlight w:val="none"/>
              </w:rPr>
              <w:t>（</w:t>
            </w:r>
            <w:r>
              <w:rPr>
                <w:rFonts w:hint="eastAsia" w:ascii="Times New Roman" w:hAnsi="Times New Roman" w:eastAsia="仿宋_GB2312" w:cs="仿宋_GB2312"/>
                <w:color w:val="000000"/>
                <w:highlight w:val="none"/>
              </w:rPr>
              <w:t>辆</w:t>
            </w:r>
            <w:r>
              <w:rPr>
                <w:rFonts w:ascii="Times New Roman" w:hAnsi="Times New Roman" w:eastAsia="仿宋_GB2312" w:cs="仿宋_GB2312"/>
                <w:color w:val="000000"/>
                <w:highlight w:val="none"/>
              </w:rPr>
              <w:t>）的</w:t>
            </w:r>
          </w:p>
        </w:tc>
        <w:tc>
          <w:tcPr>
            <w:tcW w:w="2222"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71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提供虚假登记信息的</w:t>
            </w:r>
            <w:r>
              <w:rPr>
                <w:rFonts w:ascii="Times New Roman" w:hAnsi="Times New Roman" w:eastAsia="仿宋_GB2312" w:cs="仿宋_GB2312"/>
                <w:color w:val="000000"/>
                <w:highlight w:val="none"/>
              </w:rPr>
              <w:t>数量</w:t>
            </w:r>
            <w:r>
              <w:rPr>
                <w:rFonts w:hint="eastAsia" w:ascii="Times New Roman" w:hAnsi="Times New Roman" w:eastAsia="仿宋_GB2312" w:cs="仿宋_GB2312"/>
                <w:color w:val="000000"/>
                <w:highlight w:val="none"/>
              </w:rPr>
              <w:t>3台</w:t>
            </w:r>
            <w:r>
              <w:rPr>
                <w:rFonts w:ascii="Times New Roman" w:hAnsi="Times New Roman" w:eastAsia="仿宋_GB2312" w:cs="仿宋_GB2312"/>
                <w:color w:val="000000"/>
                <w:highlight w:val="none"/>
              </w:rPr>
              <w:t>（</w:t>
            </w:r>
            <w:r>
              <w:rPr>
                <w:rFonts w:hint="eastAsia" w:ascii="Times New Roman" w:hAnsi="Times New Roman" w:eastAsia="仿宋_GB2312" w:cs="仿宋_GB2312"/>
                <w:color w:val="000000"/>
                <w:highlight w:val="none"/>
              </w:rPr>
              <w:t>辆</w:t>
            </w:r>
            <w:r>
              <w:rPr>
                <w:rFonts w:ascii="Times New Roman" w:hAnsi="Times New Roman" w:eastAsia="仿宋_GB2312" w:cs="仿宋_GB2312"/>
                <w:color w:val="000000"/>
                <w:highlight w:val="none"/>
              </w:rPr>
              <w:t>）</w:t>
            </w:r>
            <w:r>
              <w:rPr>
                <w:rFonts w:hint="eastAsia" w:ascii="Times New Roman" w:hAnsi="Times New Roman" w:eastAsia="仿宋_GB2312" w:cs="仿宋_GB2312"/>
                <w:color w:val="000000"/>
                <w:highlight w:val="none"/>
              </w:rPr>
              <w:t>以上5台</w:t>
            </w:r>
            <w:r>
              <w:rPr>
                <w:rFonts w:ascii="Times New Roman" w:hAnsi="Times New Roman" w:eastAsia="仿宋_GB2312" w:cs="仿宋_GB2312"/>
                <w:color w:val="000000"/>
                <w:highlight w:val="none"/>
              </w:rPr>
              <w:t>（</w:t>
            </w:r>
            <w:r>
              <w:rPr>
                <w:rFonts w:hint="eastAsia" w:ascii="Times New Roman" w:hAnsi="Times New Roman" w:eastAsia="仿宋_GB2312" w:cs="仿宋_GB2312"/>
                <w:color w:val="000000"/>
                <w:highlight w:val="none"/>
              </w:rPr>
              <w:t>辆</w:t>
            </w:r>
            <w:r>
              <w:rPr>
                <w:rFonts w:ascii="Times New Roman" w:hAnsi="Times New Roman" w:eastAsia="仿宋_GB2312" w:cs="仿宋_GB2312"/>
                <w:color w:val="000000"/>
                <w:highlight w:val="none"/>
              </w:rPr>
              <w:t>）</w:t>
            </w:r>
            <w:r>
              <w:rPr>
                <w:rFonts w:hint="eastAsia" w:ascii="Times New Roman" w:hAnsi="Times New Roman" w:eastAsia="仿宋_GB2312" w:cs="仿宋_GB2312"/>
                <w:color w:val="000000"/>
                <w:highlight w:val="none"/>
              </w:rPr>
              <w:t>以下</w:t>
            </w:r>
            <w:r>
              <w:rPr>
                <w:rFonts w:ascii="Times New Roman" w:hAnsi="Times New Roman" w:eastAsia="仿宋_GB2312" w:cs="仿宋_GB2312"/>
                <w:color w:val="000000"/>
                <w:highlight w:val="none"/>
              </w:rPr>
              <w:t>的</w:t>
            </w:r>
          </w:p>
        </w:tc>
        <w:tc>
          <w:tcPr>
            <w:tcW w:w="2222"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71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提供虚假登记信息的数量5台（辆）及以上的</w:t>
            </w:r>
          </w:p>
        </w:tc>
        <w:tc>
          <w:tcPr>
            <w:tcW w:w="2222"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938" w:type="dxa"/>
            <w:gridSpan w:val="2"/>
            <w:vAlign w:val="center"/>
          </w:tcPr>
          <w:p>
            <w:pPr>
              <w:snapToGrid w:val="0"/>
              <w:ind w:firstLine="420"/>
              <w:jc w:val="center"/>
              <w:rPr>
                <w:rFonts w:ascii="Times New Roman" w:hAnsi="Times New Roman" w:cs="Times New Roman"/>
                <w:color w:val="000000"/>
                <w:highlight w:val="none"/>
              </w:rPr>
            </w:pPr>
          </w:p>
        </w:tc>
      </w:tr>
    </w:tbl>
    <w:p>
      <w:pPr>
        <w:widowControl/>
        <w:snapToGrid w:val="0"/>
        <w:spacing w:line="288" w:lineRule="auto"/>
        <w:outlineLvl w:val="1"/>
        <w:rPr>
          <w:rFonts w:ascii="Times New Roman" w:hAnsi="Times New Roman" w:eastAsia="仿宋_GB2312" w:cs="Times New Roman"/>
          <w:b/>
          <w:bCs/>
          <w:highlight w:val="none"/>
        </w:rPr>
      </w:pPr>
    </w:p>
    <w:tbl>
      <w:tblPr>
        <w:tblStyle w:val="1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716"/>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09" w:type="dxa"/>
            <w:gridSpan w:val="3"/>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仿宋_GB2312"/>
                <w:b/>
                <w:bCs/>
                <w:color w:val="000000"/>
                <w:sz w:val="32"/>
                <w:szCs w:val="32"/>
                <w:highlight w:val="none"/>
              </w:rPr>
              <w:t>（二）大气污染防治类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938" w:type="dxa"/>
            <w:gridSpan w:val="2"/>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38" w:type="dxa"/>
            <w:gridSpan w:val="2"/>
            <w:vAlign w:val="center"/>
          </w:tcPr>
          <w:p>
            <w:pPr>
              <w:snapToGrid w:val="0"/>
              <w:ind w:firstLine="420"/>
              <w:jc w:val="left"/>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非道路移动机械所有人或者使用人拒不接受监督抽测的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违反条款</w:t>
            </w:r>
          </w:p>
        </w:tc>
        <w:tc>
          <w:tcPr>
            <w:tcW w:w="7938" w:type="dxa"/>
            <w:gridSpan w:val="2"/>
          </w:tcPr>
          <w:p>
            <w:pPr>
              <w:snapToGrid w:val="0"/>
              <w:spacing w:before="93" w:beforeLines="30" w:line="288" w:lineRule="auto"/>
              <w:ind w:firstLine="480"/>
              <w:rPr>
                <w:rFonts w:ascii="Times New Roman" w:hAnsi="Times New Roman" w:eastAsia="仿宋_GB2312" w:cs="仿宋_GB2312"/>
                <w:bCs/>
                <w:highlight w:val="none"/>
              </w:rPr>
            </w:pPr>
            <w:r>
              <w:rPr>
                <w:rFonts w:hint="eastAsia" w:ascii="Times New Roman" w:hAnsi="Times New Roman" w:eastAsia="仿宋_GB2312" w:cs="仿宋_GB2312"/>
                <w:b/>
                <w:bCs/>
                <w:highlight w:val="none"/>
              </w:rPr>
              <w:t>《山东省非道路移动机械排气污染防治规定》第十七条　</w:t>
            </w:r>
            <w:r>
              <w:rPr>
                <w:rFonts w:hint="eastAsia" w:ascii="Times New Roman" w:hAnsi="Times New Roman" w:eastAsia="仿宋_GB2312" w:cs="仿宋_GB2312"/>
                <w:bCs/>
                <w:highlight w:val="none"/>
              </w:rPr>
              <w:t>生态环境主管部门应当会同自然资源、住房城乡建设、交通运输、水利等部门对非道路移动机械的污染物排放状况进行监督抽测，抽测不合格的，不得使用。监督抽测结果应当告知非道路移动机械所有人或者使用人并传至排气污染防治监督管理系统。</w:t>
            </w:r>
          </w:p>
          <w:p>
            <w:pPr>
              <w:snapToGrid w:val="0"/>
              <w:spacing w:line="288" w:lineRule="auto"/>
              <w:ind w:firstLine="482"/>
              <w:rPr>
                <w:rFonts w:ascii="Times New Roman" w:hAnsi="Times New Roman" w:eastAsia="仿宋_GB2312" w:cs="仿宋_GB2312"/>
                <w:bCs/>
                <w:highlight w:val="none"/>
              </w:rPr>
            </w:pPr>
            <w:r>
              <w:rPr>
                <w:rFonts w:hint="eastAsia" w:ascii="Times New Roman" w:hAnsi="Times New Roman" w:eastAsia="仿宋_GB2312" w:cs="仿宋_GB2312"/>
                <w:bCs/>
                <w:highlight w:val="none"/>
              </w:rPr>
              <w:t>被抽测的非道路移动机械所有人或者使用人应当予以配合。</w:t>
            </w:r>
          </w:p>
          <w:p>
            <w:pPr>
              <w:snapToGrid w:val="0"/>
              <w:ind w:firstLine="482"/>
              <w:rPr>
                <w:rFonts w:ascii="Times New Roman" w:hAnsi="Times New Roman" w:eastAsia="仿宋_GB2312" w:cs="仿宋_GB2312"/>
                <w:bCs/>
                <w:highlight w:val="none"/>
              </w:rPr>
            </w:pPr>
            <w:r>
              <w:rPr>
                <w:rFonts w:hint="eastAsia" w:ascii="Times New Roman" w:hAnsi="Times New Roman" w:eastAsia="仿宋_GB2312" w:cs="仿宋_GB2312"/>
                <w:bCs/>
                <w:highlight w:val="none"/>
              </w:rPr>
              <w:t>新能源非道路移动机械免于监督抽测。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处罚依据</w:t>
            </w:r>
          </w:p>
        </w:tc>
        <w:tc>
          <w:tcPr>
            <w:tcW w:w="7938" w:type="dxa"/>
            <w:gridSpan w:val="2"/>
          </w:tcPr>
          <w:p>
            <w:pPr>
              <w:snapToGrid w:val="0"/>
              <w:spacing w:before="93" w:beforeLines="30" w:line="288"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 xml:space="preserve">《山东省非道路移动机械排气污染防治规定》第二十六条  </w:t>
            </w:r>
            <w:r>
              <w:rPr>
                <w:rFonts w:hint="eastAsia" w:ascii="Times New Roman" w:hAnsi="Times New Roman" w:eastAsia="仿宋_GB2312" w:cs="仿宋_GB2312"/>
                <w:highlight w:val="none"/>
              </w:rPr>
              <w:t>违反本规定，非道路移动机械所有人或者使用人拒不接受监督抽测的，由省人民政府、设区的市人民政府生态环境主管部门或者其他负有非道路移动机械排气污染防治监督管理职责的部门责令改正；拒不改正的，处1000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71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222"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71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拒绝被</w:t>
            </w:r>
            <w:r>
              <w:rPr>
                <w:rFonts w:ascii="Times New Roman" w:hAnsi="Times New Roman" w:eastAsia="仿宋_GB2312" w:cs="仿宋_GB2312"/>
                <w:color w:val="000000"/>
                <w:highlight w:val="none"/>
              </w:rPr>
              <w:t>抽测的非道路移动机械数量少于</w:t>
            </w:r>
            <w:r>
              <w:rPr>
                <w:rFonts w:hint="eastAsia" w:ascii="Times New Roman" w:hAnsi="Times New Roman" w:eastAsia="仿宋_GB2312" w:cs="仿宋_GB2312"/>
                <w:color w:val="000000"/>
                <w:highlight w:val="none"/>
              </w:rPr>
              <w:t>3台</w:t>
            </w:r>
            <w:r>
              <w:rPr>
                <w:rFonts w:ascii="Times New Roman" w:hAnsi="Times New Roman" w:eastAsia="仿宋_GB2312" w:cs="仿宋_GB2312"/>
                <w:color w:val="000000"/>
                <w:highlight w:val="none"/>
              </w:rPr>
              <w:t>（</w:t>
            </w:r>
            <w:r>
              <w:rPr>
                <w:rFonts w:hint="eastAsia" w:ascii="Times New Roman" w:hAnsi="Times New Roman" w:eastAsia="仿宋_GB2312" w:cs="仿宋_GB2312"/>
                <w:color w:val="000000"/>
                <w:highlight w:val="none"/>
              </w:rPr>
              <w:t>辆</w:t>
            </w:r>
            <w:r>
              <w:rPr>
                <w:rFonts w:ascii="Times New Roman" w:hAnsi="Times New Roman" w:eastAsia="仿宋_GB2312" w:cs="仿宋_GB2312"/>
                <w:color w:val="000000"/>
                <w:highlight w:val="none"/>
              </w:rPr>
              <w:t>）的</w:t>
            </w:r>
          </w:p>
        </w:tc>
        <w:tc>
          <w:tcPr>
            <w:tcW w:w="2222"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71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拒绝被抽测的非道路移动机械</w:t>
            </w:r>
            <w:r>
              <w:rPr>
                <w:rFonts w:ascii="Times New Roman" w:hAnsi="Times New Roman" w:eastAsia="仿宋_GB2312" w:cs="仿宋_GB2312"/>
                <w:color w:val="000000"/>
                <w:highlight w:val="none"/>
              </w:rPr>
              <w:t>数量</w:t>
            </w:r>
            <w:r>
              <w:rPr>
                <w:rFonts w:hint="eastAsia" w:ascii="Times New Roman" w:hAnsi="Times New Roman" w:eastAsia="仿宋_GB2312" w:cs="仿宋_GB2312"/>
                <w:color w:val="000000"/>
                <w:highlight w:val="none"/>
              </w:rPr>
              <w:t>3台</w:t>
            </w:r>
            <w:r>
              <w:rPr>
                <w:rFonts w:ascii="Times New Roman" w:hAnsi="Times New Roman" w:eastAsia="仿宋_GB2312" w:cs="仿宋_GB2312"/>
                <w:color w:val="000000"/>
                <w:highlight w:val="none"/>
              </w:rPr>
              <w:t>（</w:t>
            </w:r>
            <w:r>
              <w:rPr>
                <w:rFonts w:hint="eastAsia" w:ascii="Times New Roman" w:hAnsi="Times New Roman" w:eastAsia="仿宋_GB2312" w:cs="仿宋_GB2312"/>
                <w:color w:val="000000"/>
                <w:highlight w:val="none"/>
              </w:rPr>
              <w:t>辆</w:t>
            </w:r>
            <w:r>
              <w:rPr>
                <w:rFonts w:ascii="Times New Roman" w:hAnsi="Times New Roman" w:eastAsia="仿宋_GB2312" w:cs="仿宋_GB2312"/>
                <w:color w:val="000000"/>
                <w:highlight w:val="none"/>
              </w:rPr>
              <w:t>）</w:t>
            </w:r>
            <w:r>
              <w:rPr>
                <w:rFonts w:hint="eastAsia" w:ascii="Times New Roman" w:hAnsi="Times New Roman" w:eastAsia="仿宋_GB2312" w:cs="仿宋_GB2312"/>
                <w:color w:val="000000"/>
                <w:highlight w:val="none"/>
              </w:rPr>
              <w:t>以上5台</w:t>
            </w:r>
            <w:r>
              <w:rPr>
                <w:rFonts w:ascii="Times New Roman" w:hAnsi="Times New Roman" w:eastAsia="仿宋_GB2312" w:cs="仿宋_GB2312"/>
                <w:color w:val="000000"/>
                <w:highlight w:val="none"/>
              </w:rPr>
              <w:t>（</w:t>
            </w:r>
            <w:r>
              <w:rPr>
                <w:rFonts w:hint="eastAsia" w:ascii="Times New Roman" w:hAnsi="Times New Roman" w:eastAsia="仿宋_GB2312" w:cs="仿宋_GB2312"/>
                <w:color w:val="000000"/>
                <w:highlight w:val="none"/>
              </w:rPr>
              <w:t>辆</w:t>
            </w:r>
            <w:r>
              <w:rPr>
                <w:rFonts w:ascii="Times New Roman" w:hAnsi="Times New Roman" w:eastAsia="仿宋_GB2312" w:cs="仿宋_GB2312"/>
                <w:color w:val="000000"/>
                <w:highlight w:val="none"/>
              </w:rPr>
              <w:t>）</w:t>
            </w:r>
            <w:r>
              <w:rPr>
                <w:rFonts w:hint="eastAsia" w:ascii="Times New Roman" w:hAnsi="Times New Roman" w:eastAsia="仿宋_GB2312" w:cs="仿宋_GB2312"/>
                <w:color w:val="000000"/>
                <w:highlight w:val="none"/>
              </w:rPr>
              <w:t>以下</w:t>
            </w:r>
            <w:r>
              <w:rPr>
                <w:rFonts w:ascii="Times New Roman" w:hAnsi="Times New Roman" w:eastAsia="仿宋_GB2312" w:cs="仿宋_GB2312"/>
                <w:color w:val="000000"/>
                <w:highlight w:val="none"/>
              </w:rPr>
              <w:t>的</w:t>
            </w:r>
          </w:p>
        </w:tc>
        <w:tc>
          <w:tcPr>
            <w:tcW w:w="2222"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71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拒绝被抽测的非道路移动机械数量5台（辆）及以上的</w:t>
            </w:r>
          </w:p>
        </w:tc>
        <w:tc>
          <w:tcPr>
            <w:tcW w:w="2222"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938" w:type="dxa"/>
            <w:gridSpan w:val="2"/>
            <w:vAlign w:val="center"/>
          </w:tcPr>
          <w:p>
            <w:pPr>
              <w:snapToGrid w:val="0"/>
              <w:ind w:firstLine="420"/>
              <w:jc w:val="center"/>
              <w:rPr>
                <w:rFonts w:ascii="Times New Roman" w:hAnsi="Times New Roman" w:cs="Times New Roman"/>
                <w:color w:val="000000"/>
                <w:highlight w:val="none"/>
              </w:rPr>
            </w:pPr>
          </w:p>
        </w:tc>
      </w:tr>
    </w:tbl>
    <w:p>
      <w:pPr>
        <w:widowControl/>
        <w:snapToGrid w:val="0"/>
        <w:spacing w:line="288" w:lineRule="auto"/>
        <w:outlineLvl w:val="1"/>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br w:type="page"/>
      </w:r>
    </w:p>
    <w:p>
      <w:pPr>
        <w:widowControl/>
        <w:snapToGrid w:val="0"/>
        <w:spacing w:line="288" w:lineRule="auto"/>
        <w:jc w:val="center"/>
        <w:outlineLvl w:val="1"/>
        <w:rPr>
          <w:rFonts w:ascii="Times New Roman" w:hAnsi="Times New Roman" w:eastAsia="仿宋_GB2312" w:cs="Times New Roman"/>
          <w:b/>
          <w:bCs/>
          <w:sz w:val="32"/>
          <w:szCs w:val="32"/>
          <w:highlight w:val="none"/>
        </w:rPr>
      </w:pPr>
      <w:r>
        <w:rPr>
          <w:rFonts w:hint="eastAsia" w:ascii="Times New Roman" w:hAnsi="Times New Roman" w:eastAsia="仿宋_GB2312" w:cs="仿宋_GB2312"/>
          <w:b/>
          <w:bCs/>
          <w:sz w:val="32"/>
          <w:szCs w:val="32"/>
          <w:highlight w:val="none"/>
        </w:rPr>
        <w:t>（三）水污染防治类</w:t>
      </w:r>
      <w:bookmarkEnd w:id="46"/>
      <w:bookmarkEnd w:id="47"/>
    </w:p>
    <w:p>
      <w:pPr>
        <w:widowControl/>
        <w:snapToGrid w:val="0"/>
        <w:spacing w:line="288" w:lineRule="auto"/>
        <w:jc w:val="center"/>
        <w:outlineLvl w:val="1"/>
        <w:rPr>
          <w:rFonts w:ascii="Times New Roman" w:hAnsi="Times New Roman" w:eastAsia="仿宋_GB2312" w:cs="Times New Roman"/>
          <w:b/>
          <w:bCs/>
          <w:sz w:val="32"/>
          <w:szCs w:val="32"/>
          <w:highlight w:val="none"/>
        </w:rPr>
      </w:pPr>
    </w:p>
    <w:p>
      <w:pPr>
        <w:snapToGrid w:val="0"/>
        <w:spacing w:line="560" w:lineRule="exact"/>
        <w:ind w:firstLine="640" w:firstLineChars="200"/>
        <w:rPr>
          <w:rFonts w:ascii="Times New Roman" w:hAnsi="Times New Roman" w:eastAsia="仿宋_GB2312" w:cs="Times New Roman"/>
          <w:color w:val="333333"/>
          <w:sz w:val="32"/>
          <w:szCs w:val="32"/>
          <w:highlight w:val="none"/>
          <w:shd w:val="clear" w:color="auto" w:fill="FFFFFF"/>
        </w:rPr>
      </w:pPr>
      <w:r>
        <w:rPr>
          <w:rFonts w:ascii="Times New Roman" w:hAnsi="Times New Roman" w:eastAsia="仿宋_GB2312" w:cs="Times New Roman"/>
          <w:color w:val="333333"/>
          <w:sz w:val="32"/>
          <w:szCs w:val="32"/>
          <w:highlight w:val="none"/>
          <w:shd w:val="clear" w:color="auto" w:fill="FFFFFF"/>
        </w:rPr>
        <w:t>1.</w:t>
      </w:r>
      <w:r>
        <w:rPr>
          <w:rFonts w:hint="eastAsia" w:ascii="Times New Roman" w:hAnsi="Times New Roman" w:eastAsia="仿宋_GB2312" w:cs="仿宋_GB2312"/>
          <w:color w:val="333333"/>
          <w:sz w:val="32"/>
          <w:szCs w:val="32"/>
          <w:highlight w:val="none"/>
          <w:shd w:val="clear" w:color="auto" w:fill="FFFFFF"/>
        </w:rPr>
        <w:t>以拖延、围堵、滞留执法人员等方式拒绝、阻挠监督检查，或者在接受监督检查时弄虚作假的</w:t>
      </w:r>
    </w:p>
    <w:p>
      <w:pPr>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w:t>
      </w:r>
      <w:r>
        <w:rPr>
          <w:rFonts w:hint="eastAsia" w:ascii="Times New Roman" w:hAnsi="Times New Roman" w:eastAsia="仿宋_GB2312" w:cs="仿宋_GB2312"/>
          <w:sz w:val="32"/>
          <w:szCs w:val="32"/>
          <w:highlight w:val="none"/>
        </w:rPr>
        <w:t>未按照规定对所排放的水污染物自行监测，或者未保存原始监测记录的</w:t>
      </w:r>
    </w:p>
    <w:p>
      <w:pPr>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color w:val="333333"/>
          <w:sz w:val="32"/>
          <w:szCs w:val="32"/>
          <w:highlight w:val="none"/>
          <w:shd w:val="clear" w:color="auto" w:fill="FFFFFF"/>
        </w:rPr>
        <w:t>3.</w:t>
      </w:r>
      <w:r>
        <w:rPr>
          <w:rFonts w:hint="eastAsia" w:ascii="Times New Roman" w:hAnsi="Times New Roman" w:eastAsia="仿宋_GB2312" w:cs="仿宋_GB2312"/>
          <w:sz w:val="32"/>
          <w:szCs w:val="32"/>
          <w:highlight w:val="none"/>
        </w:rPr>
        <w:t>未按照规定安装水污染物排放自动监测设备，未按照规定与环境保护主管部门的监控设备联网，或者未保证监测设备正常运行的</w:t>
      </w:r>
    </w:p>
    <w:p>
      <w:pPr>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color w:val="333333"/>
          <w:sz w:val="32"/>
          <w:szCs w:val="32"/>
          <w:highlight w:val="none"/>
          <w:shd w:val="clear" w:color="auto" w:fill="FFFFFF"/>
        </w:rPr>
        <w:t>4.</w:t>
      </w:r>
      <w:r>
        <w:rPr>
          <w:rFonts w:hint="eastAsia" w:ascii="Times New Roman" w:hAnsi="Times New Roman" w:eastAsia="仿宋_GB2312" w:cs="仿宋_GB2312"/>
          <w:sz w:val="32"/>
          <w:szCs w:val="32"/>
          <w:highlight w:val="none"/>
        </w:rPr>
        <w:t>未按照规定对有毒有害水污染物的排污口和周边环境进行监测，或者未公开有毒有害水污染物信息的</w:t>
      </w:r>
    </w:p>
    <w:p>
      <w:pPr>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5.</w:t>
      </w:r>
      <w:r>
        <w:rPr>
          <w:rFonts w:hint="eastAsia" w:ascii="Times New Roman" w:hAnsi="Times New Roman" w:eastAsia="仿宋_GB2312" w:cs="仿宋_GB2312"/>
          <w:sz w:val="32"/>
          <w:szCs w:val="32"/>
          <w:highlight w:val="none"/>
        </w:rPr>
        <w:t>未依法取得排污许可证或者违反排污许可证的规定排放水污染物的</w:t>
      </w:r>
    </w:p>
    <w:p>
      <w:pPr>
        <w:snapToGrid w:val="0"/>
        <w:spacing w:line="560" w:lineRule="exact"/>
        <w:ind w:firstLine="640" w:firstLineChars="200"/>
        <w:rPr>
          <w:rFonts w:ascii="Times New Roman" w:hAnsi="Times New Roman" w:eastAsia="仿宋_GB2312" w:cs="Times New Roman"/>
          <w:color w:val="000000"/>
          <w:sz w:val="32"/>
          <w:szCs w:val="32"/>
          <w:highlight w:val="none"/>
          <w:shd w:val="clear" w:color="auto" w:fill="FFFFFF"/>
        </w:rPr>
      </w:pPr>
      <w:r>
        <w:rPr>
          <w:rFonts w:ascii="Times New Roman" w:hAnsi="Times New Roman" w:eastAsia="仿宋_GB2312" w:cs="Times New Roman"/>
          <w:color w:val="000000"/>
          <w:sz w:val="32"/>
          <w:szCs w:val="32"/>
          <w:highlight w:val="none"/>
          <w:shd w:val="clear" w:color="auto" w:fill="FFFFFF"/>
        </w:rPr>
        <w:t>6.</w:t>
      </w:r>
      <w:r>
        <w:rPr>
          <w:rFonts w:hint="eastAsia" w:ascii="Times New Roman" w:hAnsi="Times New Roman" w:eastAsia="仿宋_GB2312" w:cs="仿宋_GB2312"/>
          <w:color w:val="000000"/>
          <w:sz w:val="32"/>
          <w:szCs w:val="32"/>
          <w:highlight w:val="none"/>
          <w:shd w:val="clear" w:color="auto" w:fill="FFFFFF"/>
        </w:rPr>
        <w:t>超过水污染物排放标准排放水污染物的</w:t>
      </w:r>
    </w:p>
    <w:p>
      <w:pPr>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7.</w:t>
      </w:r>
      <w:r>
        <w:rPr>
          <w:rFonts w:hint="eastAsia" w:ascii="Times New Roman" w:hAnsi="Times New Roman" w:eastAsia="仿宋_GB2312" w:cs="仿宋_GB2312"/>
          <w:sz w:val="32"/>
          <w:szCs w:val="32"/>
          <w:highlight w:val="none"/>
        </w:rPr>
        <w:t>超过重点水污染物排放总量控制指标排放水污染物的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8.</w:t>
      </w:r>
      <w:r>
        <w:rPr>
          <w:rFonts w:hint="eastAsia" w:ascii="Times New Roman" w:hAnsi="Times New Roman" w:eastAsia="仿宋_GB2312" w:cs="仿宋_GB2312"/>
          <w:kern w:val="0"/>
          <w:sz w:val="32"/>
          <w:szCs w:val="32"/>
          <w:highlight w:val="none"/>
        </w:rPr>
        <w:t>利用渗井、渗坑、裂隙、溶洞，私设暗管，篡改、伪造监测数据，或者不正常运行水污染防治设施等逃避监管的方式排放水污染物的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cs="Times New Roman"/>
          <w:kern w:val="0"/>
          <w:sz w:val="24"/>
          <w:szCs w:val="24"/>
          <w:highlight w:val="none"/>
        </w:rPr>
      </w:pPr>
      <w:r>
        <w:rPr>
          <w:rFonts w:ascii="Times New Roman" w:hAnsi="Times New Roman" w:eastAsia="仿宋_GB2312" w:cs="Times New Roman"/>
          <w:kern w:val="0"/>
          <w:sz w:val="32"/>
          <w:szCs w:val="32"/>
          <w:highlight w:val="none"/>
        </w:rPr>
        <w:t>9.</w:t>
      </w:r>
      <w:r>
        <w:rPr>
          <w:rFonts w:hint="eastAsia" w:ascii="Times New Roman" w:hAnsi="Times New Roman" w:eastAsia="仿宋_GB2312" w:cs="仿宋_GB2312"/>
          <w:kern w:val="0"/>
          <w:sz w:val="32"/>
          <w:szCs w:val="32"/>
          <w:highlight w:val="none"/>
        </w:rPr>
        <w:t>未按照规定进行预处理，向污水集中处理设施排放不符合处理工艺要求的工业废水的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10.</w:t>
      </w:r>
      <w:r>
        <w:rPr>
          <w:rFonts w:hint="eastAsia" w:ascii="Times New Roman" w:hAnsi="Times New Roman" w:eastAsia="仿宋_GB2312" w:cs="仿宋_GB2312"/>
          <w:color w:val="000000"/>
          <w:sz w:val="32"/>
          <w:szCs w:val="32"/>
          <w:highlight w:val="none"/>
        </w:rPr>
        <w:t>在非饮用水水源保护区，违反规定设置排污口的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color w:val="000000"/>
          <w:kern w:val="0"/>
          <w:sz w:val="24"/>
          <w:szCs w:val="24"/>
          <w:highlight w:val="none"/>
        </w:rPr>
      </w:pPr>
      <w:r>
        <w:rPr>
          <w:rFonts w:ascii="Times New Roman" w:hAnsi="Times New Roman" w:eastAsia="仿宋_GB2312" w:cs="Times New Roman"/>
          <w:color w:val="000000"/>
          <w:sz w:val="32"/>
          <w:szCs w:val="32"/>
          <w:highlight w:val="none"/>
        </w:rPr>
        <w:t>11.</w:t>
      </w:r>
      <w:r>
        <w:rPr>
          <w:rFonts w:hint="eastAsia" w:ascii="Times New Roman" w:hAnsi="Times New Roman" w:eastAsia="仿宋_GB2312" w:cs="仿宋_GB2312"/>
          <w:color w:val="000000"/>
          <w:sz w:val="32"/>
          <w:szCs w:val="32"/>
          <w:highlight w:val="none"/>
        </w:rPr>
        <w:t>向水体排放油类、酸液、碱液的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12.</w:t>
      </w:r>
      <w:r>
        <w:rPr>
          <w:rFonts w:hint="eastAsia" w:ascii="Times New Roman" w:hAnsi="Times New Roman" w:eastAsia="仿宋_GB2312" w:cs="仿宋_GB2312"/>
          <w:color w:val="000000"/>
          <w:sz w:val="32"/>
          <w:szCs w:val="32"/>
          <w:highlight w:val="none"/>
        </w:rPr>
        <w:t>向水体排放剧毒废液，或者将含有汞、镉、砷、铬、铅、氰化物、黄磷等的可溶性剧毒废渣向水体排放、倾倒或者直接埋入地下的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13.</w:t>
      </w:r>
      <w:r>
        <w:rPr>
          <w:rFonts w:hint="eastAsia" w:ascii="Times New Roman" w:hAnsi="Times New Roman" w:eastAsia="仿宋_GB2312" w:cs="仿宋_GB2312"/>
          <w:color w:val="000000"/>
          <w:sz w:val="32"/>
          <w:szCs w:val="32"/>
          <w:highlight w:val="none"/>
        </w:rPr>
        <w:t>在水体清洗装贮过油类、有毒污染物的车辆或者容器的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14.</w:t>
      </w:r>
      <w:r>
        <w:rPr>
          <w:rFonts w:hint="eastAsia" w:ascii="Times New Roman" w:hAnsi="Times New Roman" w:eastAsia="仿宋_GB2312" w:cs="仿宋_GB2312"/>
          <w:color w:val="000000"/>
          <w:sz w:val="32"/>
          <w:szCs w:val="32"/>
          <w:highlight w:val="none"/>
        </w:rPr>
        <w:t>向水体排放、倾倒工业废渣、城镇垃圾或者其他废弃物，或者在江河、湖泊、运河、渠道、水库最高水位线以下的滩地、岸坡堆放、存贮固体废弃物或者其他污染物的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15.</w:t>
      </w:r>
      <w:r>
        <w:rPr>
          <w:rFonts w:hint="eastAsia" w:ascii="Times New Roman" w:hAnsi="Times New Roman" w:eastAsia="仿宋_GB2312" w:cs="仿宋_GB2312"/>
          <w:color w:val="000000"/>
          <w:sz w:val="32"/>
          <w:szCs w:val="32"/>
          <w:highlight w:val="none"/>
        </w:rPr>
        <w:t>向水体排放、倾倒放射性固体废物或者含有高放射性、中放射性物质的废水的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16.</w:t>
      </w:r>
      <w:r>
        <w:rPr>
          <w:rFonts w:hint="eastAsia" w:ascii="Times New Roman" w:hAnsi="Times New Roman" w:eastAsia="仿宋_GB2312" w:cs="仿宋_GB2312"/>
          <w:color w:val="000000"/>
          <w:sz w:val="32"/>
          <w:szCs w:val="32"/>
          <w:highlight w:val="none"/>
        </w:rPr>
        <w:t>违反国家有关规定或者标准，向水体排放含低放射性物质的废水、热废水或者含病原体的污水的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17.</w:t>
      </w:r>
      <w:r>
        <w:rPr>
          <w:rFonts w:hint="eastAsia" w:ascii="Times New Roman" w:hAnsi="Times New Roman" w:eastAsia="仿宋_GB2312" w:cs="仿宋_GB2312"/>
          <w:color w:val="000000"/>
          <w:sz w:val="32"/>
          <w:szCs w:val="32"/>
          <w:highlight w:val="none"/>
        </w:rPr>
        <w:t>未采取防渗漏等措施，或者未建设地下水水质监测井进行监测的</w:t>
      </w:r>
    </w:p>
    <w:p>
      <w:pPr>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18.</w:t>
      </w:r>
      <w:r>
        <w:rPr>
          <w:rFonts w:hint="eastAsia" w:ascii="Times New Roman" w:hAnsi="Times New Roman" w:eastAsia="仿宋_GB2312" w:cs="仿宋_GB2312"/>
          <w:color w:val="000000"/>
          <w:sz w:val="32"/>
          <w:szCs w:val="32"/>
          <w:highlight w:val="none"/>
        </w:rPr>
        <w:t>加油站等的地下油罐未使用双层罐或者采取建设防渗池等其他有效措施，或者未进行防渗漏监测的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19.</w:t>
      </w:r>
      <w:r>
        <w:rPr>
          <w:rFonts w:hint="eastAsia" w:ascii="Times New Roman" w:hAnsi="Times New Roman" w:eastAsia="仿宋_GB2312" w:cs="仿宋_GB2312"/>
          <w:color w:val="000000"/>
          <w:sz w:val="32"/>
          <w:szCs w:val="32"/>
          <w:highlight w:val="none"/>
        </w:rPr>
        <w:t>未按照规定采取防护性措施，或者利用无防渗漏措施的沟渠、坑塘等输送或者存贮含有毒污染物的废水、含病原体的污水或者其他废弃物的</w:t>
      </w:r>
    </w:p>
    <w:p>
      <w:pPr>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w:t>
      </w:r>
      <w:r>
        <w:rPr>
          <w:rFonts w:hint="eastAsia" w:ascii="Times New Roman" w:hAnsi="Times New Roman" w:eastAsia="仿宋_GB2312" w:cs="仿宋_GB2312"/>
          <w:sz w:val="32"/>
          <w:szCs w:val="32"/>
          <w:highlight w:val="none"/>
        </w:rPr>
        <w:t>在饮用水水源一级保护区内新建、改建、扩建与供水设施和保护水源无关的建设项目的</w:t>
      </w:r>
    </w:p>
    <w:p>
      <w:pPr>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21.</w:t>
      </w:r>
      <w:r>
        <w:rPr>
          <w:rFonts w:hint="eastAsia" w:ascii="Times New Roman" w:hAnsi="Times New Roman" w:eastAsia="仿宋_GB2312" w:cs="仿宋_GB2312"/>
          <w:sz w:val="32"/>
          <w:szCs w:val="32"/>
          <w:highlight w:val="none"/>
        </w:rPr>
        <w:t>在饮用水水源二级保护区内新建、改建、扩建排放污染物的建设项目的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22.</w:t>
      </w:r>
      <w:r>
        <w:rPr>
          <w:rFonts w:hint="eastAsia" w:ascii="Times New Roman" w:hAnsi="Times New Roman" w:eastAsia="仿宋_GB2312" w:cs="仿宋_GB2312"/>
          <w:color w:val="000000"/>
          <w:sz w:val="32"/>
          <w:szCs w:val="32"/>
          <w:highlight w:val="none"/>
        </w:rPr>
        <w:t>在饮用水水源准保护区内新建、扩建对水体污染严重的建设项目，或者改建建设项目增加排污量的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23.</w:t>
      </w:r>
      <w:r>
        <w:rPr>
          <w:rFonts w:hint="eastAsia" w:ascii="Times New Roman" w:hAnsi="Times New Roman" w:eastAsia="仿宋_GB2312" w:cs="仿宋_GB2312"/>
          <w:color w:val="000000"/>
          <w:sz w:val="32"/>
          <w:szCs w:val="32"/>
          <w:highlight w:val="none"/>
        </w:rPr>
        <w:t>在饮用水水源一级保护区内从事网箱养殖或者组织进行旅游、垂钓或者其他可能污染饮用水水体的活动的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24.</w:t>
      </w:r>
      <w:r>
        <w:rPr>
          <w:rFonts w:hint="eastAsia" w:ascii="Times New Roman" w:hAnsi="Times New Roman" w:eastAsia="仿宋_GB2312" w:cs="仿宋_GB2312"/>
          <w:color w:val="000000"/>
          <w:sz w:val="32"/>
          <w:szCs w:val="32"/>
          <w:highlight w:val="none"/>
        </w:rPr>
        <w:t>不按照规定制定水污染事故的应急方案的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25.</w:t>
      </w:r>
      <w:r>
        <w:rPr>
          <w:rFonts w:hint="eastAsia" w:ascii="Times New Roman" w:hAnsi="Times New Roman" w:eastAsia="仿宋_GB2312" w:cs="仿宋_GB2312"/>
          <w:color w:val="000000"/>
          <w:sz w:val="32"/>
          <w:szCs w:val="32"/>
          <w:highlight w:val="none"/>
        </w:rPr>
        <w:t>水污染事故发生后，未及时启动水污染事故的应急方案，采取有关应急措施的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26.</w:t>
      </w:r>
      <w:r>
        <w:rPr>
          <w:rFonts w:hint="eastAsia" w:ascii="Times New Roman" w:hAnsi="Times New Roman" w:eastAsia="仿宋_GB2312" w:cs="仿宋_GB2312"/>
          <w:color w:val="000000"/>
          <w:sz w:val="32"/>
          <w:szCs w:val="32"/>
          <w:highlight w:val="none"/>
        </w:rPr>
        <w:t>对含有毒有害水污染物的工业废水稀释排放的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27.</w:t>
      </w:r>
      <w:r>
        <w:rPr>
          <w:rFonts w:hint="eastAsia" w:ascii="Times New Roman" w:hAnsi="Times New Roman" w:eastAsia="仿宋_GB2312" w:cs="仿宋_GB2312"/>
          <w:color w:val="333333"/>
          <w:sz w:val="32"/>
          <w:szCs w:val="32"/>
          <w:highlight w:val="none"/>
          <w:shd w:val="clear" w:color="auto" w:fill="FFFFFF"/>
        </w:rPr>
        <w:t>按</w:t>
      </w:r>
      <w:r>
        <w:rPr>
          <w:rFonts w:hint="eastAsia" w:ascii="Times New Roman" w:hAnsi="Times New Roman" w:eastAsia="仿宋_GB2312" w:cs="仿宋_GB2312"/>
          <w:sz w:val="32"/>
          <w:szCs w:val="32"/>
          <w:highlight w:val="none"/>
        </w:rPr>
        <w:t>照环境影响评价文件和审批意见的要求，需要进行初期雨水收集的化工、电镀等企业事业单位和其他生产经营者，未将初期雨水收集处理，直接向外环境排放的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28.</w:t>
      </w:r>
      <w:r>
        <w:rPr>
          <w:rFonts w:hint="eastAsia" w:ascii="Times New Roman" w:hAnsi="Times New Roman" w:eastAsia="仿宋_GB2312" w:cs="仿宋_GB2312"/>
          <w:color w:val="000000"/>
          <w:sz w:val="32"/>
          <w:szCs w:val="32"/>
          <w:highlight w:val="none"/>
        </w:rPr>
        <w:t>涉及重金属污染的企业事业单位和其他生产经营者未落实重金属安全防控措施，对废水进行分类处理并对含重金属污泥进行处置的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29.</w:t>
      </w:r>
      <w:r>
        <w:rPr>
          <w:rFonts w:hint="eastAsia" w:ascii="Times New Roman" w:hAnsi="Times New Roman" w:eastAsia="仿宋_GB2312" w:cs="仿宋_GB2312"/>
          <w:color w:val="000000"/>
          <w:sz w:val="32"/>
          <w:szCs w:val="32"/>
          <w:highlight w:val="none"/>
        </w:rPr>
        <w:t>医疗机构、学校、科研院所、企业等单位未按照规定单独收集实验室、检验室、化验室产生的有毒有害废液等危险废物进行安全处置，直接排入排水管网或者违法倾倒排放的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30.</w:t>
      </w:r>
      <w:r>
        <w:rPr>
          <w:rFonts w:hint="eastAsia" w:ascii="Times New Roman" w:hAnsi="Times New Roman" w:eastAsia="仿宋_GB2312" w:cs="仿宋_GB2312"/>
          <w:color w:val="000000"/>
          <w:sz w:val="32"/>
          <w:szCs w:val="32"/>
          <w:highlight w:val="none"/>
        </w:rPr>
        <w:t>向雨水收集口、雨水管道排放或者倾倒污水、污物和垃圾等废弃物的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31.</w:t>
      </w:r>
      <w:r>
        <w:rPr>
          <w:rFonts w:hint="eastAsia" w:ascii="Times New Roman" w:hAnsi="Times New Roman" w:eastAsia="仿宋_GB2312" w:cs="仿宋_GB2312"/>
          <w:color w:val="000000"/>
          <w:sz w:val="32"/>
          <w:szCs w:val="32"/>
          <w:highlight w:val="none"/>
        </w:rPr>
        <w:t>餐饮、洗浴、洗涤、洗车经营者直接向雨水排放系统、河道等外环境排放污水的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32.</w:t>
      </w:r>
      <w:r>
        <w:rPr>
          <w:rFonts w:hint="eastAsia" w:ascii="Times New Roman" w:hAnsi="Times New Roman" w:eastAsia="仿宋_GB2312" w:cs="仿宋_GB2312"/>
          <w:color w:val="000000"/>
          <w:sz w:val="32"/>
          <w:szCs w:val="32"/>
          <w:highlight w:val="none"/>
        </w:rPr>
        <w:t>餐饮业经营者未设置隔油设施或者其他油污废水处理设施的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33.</w:t>
      </w:r>
      <w:r>
        <w:rPr>
          <w:rFonts w:hint="eastAsia" w:ascii="Times New Roman" w:hAnsi="Times New Roman" w:eastAsia="仿宋_GB2312" w:cs="仿宋_GB2312"/>
          <w:color w:val="000000"/>
          <w:sz w:val="32"/>
          <w:szCs w:val="32"/>
          <w:highlight w:val="none"/>
        </w:rPr>
        <w:t>城镇污水集中处理设施的运营单位发生突发情况时未立即采取应急处理措施的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34.</w:t>
      </w:r>
      <w:r>
        <w:rPr>
          <w:rFonts w:hint="eastAsia" w:ascii="Times New Roman" w:hAnsi="Times New Roman" w:eastAsia="仿宋_GB2312" w:cs="仿宋_GB2312"/>
          <w:color w:val="000000"/>
          <w:sz w:val="32"/>
          <w:szCs w:val="32"/>
          <w:highlight w:val="none"/>
        </w:rPr>
        <w:t>在重点保护水域内采取人工投饵性鱼类网箱、网围等方式从事渔业养殖的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35.</w:t>
      </w:r>
      <w:r>
        <w:rPr>
          <w:rFonts w:hint="eastAsia" w:ascii="Times New Roman" w:hAnsi="Times New Roman" w:eastAsia="仿宋_GB2312" w:cs="仿宋_GB2312"/>
          <w:color w:val="000000"/>
          <w:sz w:val="32"/>
          <w:szCs w:val="32"/>
          <w:highlight w:val="none"/>
        </w:rPr>
        <w:t>从事危险化学品生产、运输、贮存、处置的单位和个人，未按照规定配备水污染事故应急设施的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36.</w:t>
      </w:r>
      <w:r>
        <w:rPr>
          <w:rFonts w:hint="eastAsia" w:ascii="Times New Roman" w:hAnsi="Times New Roman" w:eastAsia="仿宋_GB2312" w:cs="仿宋_GB2312"/>
          <w:color w:val="000000"/>
          <w:sz w:val="32"/>
          <w:szCs w:val="32"/>
          <w:highlight w:val="none"/>
        </w:rPr>
        <w:t>损毁、擅自移动饮用水水源保护区地理界标、警示标志和隔离防护设施的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37.</w:t>
      </w:r>
      <w:r>
        <w:rPr>
          <w:rFonts w:hint="eastAsia" w:ascii="Times New Roman" w:hAnsi="Times New Roman" w:eastAsia="仿宋_GB2312" w:cs="仿宋_GB2312"/>
          <w:color w:val="000000"/>
          <w:sz w:val="32"/>
          <w:szCs w:val="32"/>
          <w:highlight w:val="none"/>
        </w:rPr>
        <w:t>在饮用水水源保护区内建设工业固体废物集中贮存、处置设施、场所或者生活垃圾填埋场的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38.</w:t>
      </w:r>
      <w:r>
        <w:rPr>
          <w:rFonts w:hint="eastAsia" w:ascii="Times New Roman" w:hAnsi="Times New Roman" w:eastAsia="仿宋_GB2312" w:cs="仿宋_GB2312"/>
          <w:color w:val="000000"/>
          <w:sz w:val="32"/>
          <w:szCs w:val="32"/>
          <w:highlight w:val="none"/>
        </w:rPr>
        <w:t>在饮用水水源保护区设置装卸垃圾、粪便、油类及有毒有害物品的码头的</w:t>
      </w:r>
    </w:p>
    <w:p>
      <w:pPr>
        <w:widowControl/>
        <w:snapToGrid w:val="0"/>
        <w:spacing w:line="56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39.</w:t>
      </w:r>
      <w:r>
        <w:rPr>
          <w:rFonts w:hint="eastAsia" w:ascii="Times New Roman" w:hAnsi="Times New Roman" w:eastAsia="仿宋_GB2312" w:cs="仿宋_GB2312"/>
          <w:color w:val="000000"/>
          <w:sz w:val="32"/>
          <w:szCs w:val="32"/>
          <w:highlight w:val="none"/>
        </w:rPr>
        <w:t>在饮用水水源一级保护区内从事除有污染物排放的畜禽养殖场、养殖小区的以外的畜禽养殖活动的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40.</w:t>
      </w:r>
      <w:r>
        <w:rPr>
          <w:rFonts w:hint="eastAsia" w:ascii="Times New Roman" w:hAnsi="Times New Roman" w:eastAsia="仿宋_GB2312" w:cs="仿宋_GB2312"/>
          <w:color w:val="000000"/>
          <w:sz w:val="32"/>
          <w:szCs w:val="32"/>
          <w:highlight w:val="none"/>
        </w:rPr>
        <w:t>重点排污单位和进入输水干线的机动船舶未按照规定制定突发环境事件预警和应急预案的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41.</w:t>
      </w:r>
      <w:r>
        <w:rPr>
          <w:rFonts w:hint="eastAsia" w:ascii="Times New Roman" w:hAnsi="Times New Roman" w:eastAsia="仿宋_GB2312" w:cs="仿宋_GB2312"/>
          <w:color w:val="000000"/>
          <w:sz w:val="32"/>
          <w:szCs w:val="32"/>
          <w:highlight w:val="none"/>
        </w:rPr>
        <w:t>污水处理厂不运行或者不正常运行污水处理设施，导致超标排放污水的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42.</w:t>
      </w:r>
      <w:r>
        <w:rPr>
          <w:rFonts w:hint="eastAsia" w:ascii="Times New Roman" w:hAnsi="Times New Roman" w:eastAsia="仿宋_GB2312" w:cs="仿宋_GB2312"/>
          <w:color w:val="000000"/>
          <w:sz w:val="32"/>
          <w:szCs w:val="32"/>
          <w:highlight w:val="none"/>
        </w:rPr>
        <w:t>在核心保护区内从事规模化畜禽养殖的，责令改正逾期不改正的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43.</w:t>
      </w:r>
      <w:r>
        <w:rPr>
          <w:rFonts w:hint="eastAsia" w:ascii="Times New Roman" w:hAnsi="Times New Roman" w:eastAsia="仿宋_GB2312" w:cs="仿宋_GB2312"/>
          <w:color w:val="000000"/>
          <w:sz w:val="32"/>
          <w:szCs w:val="32"/>
          <w:highlight w:val="none"/>
        </w:rPr>
        <w:t>在核心保护区或者河流两岸堆放、存贮固体废弃物和其他污染物的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44.</w:t>
      </w:r>
      <w:r>
        <w:rPr>
          <w:rFonts w:hint="eastAsia" w:ascii="Times New Roman" w:hAnsi="Times New Roman" w:eastAsia="仿宋_GB2312" w:cs="仿宋_GB2312"/>
          <w:color w:val="000000"/>
          <w:sz w:val="32"/>
          <w:szCs w:val="32"/>
          <w:highlight w:val="none"/>
        </w:rPr>
        <w:t>在核心保护区或者河流两岸露天堆放、储存煤炭、石灰等易污染水体的物质，未按规定采取必要的防止污染水体的措施的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45.</w:t>
      </w:r>
      <w:r>
        <w:rPr>
          <w:rFonts w:hint="eastAsia" w:ascii="Times New Roman" w:hAnsi="Times New Roman" w:eastAsia="仿宋_GB2312" w:cs="仿宋_GB2312"/>
          <w:color w:val="000000"/>
          <w:sz w:val="32"/>
          <w:szCs w:val="32"/>
          <w:highlight w:val="none"/>
        </w:rPr>
        <w:t>在人工养殖区内使用违禁药物的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46.</w:t>
      </w:r>
      <w:r>
        <w:rPr>
          <w:rFonts w:hint="eastAsia" w:ascii="Times New Roman" w:hAnsi="Times New Roman" w:eastAsia="仿宋_GB2312" w:cs="仿宋_GB2312"/>
          <w:color w:val="000000"/>
          <w:sz w:val="32"/>
          <w:szCs w:val="32"/>
          <w:highlight w:val="none"/>
        </w:rPr>
        <w:t>进入输水干线的机动船舶，未配备、设置污染物接收与处理设施、设备的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47.</w:t>
      </w:r>
      <w:r>
        <w:rPr>
          <w:rFonts w:hint="eastAsia" w:ascii="Times New Roman" w:hAnsi="Times New Roman" w:eastAsia="仿宋_GB2312" w:cs="仿宋_GB2312"/>
          <w:color w:val="000000"/>
          <w:sz w:val="32"/>
          <w:szCs w:val="32"/>
          <w:highlight w:val="none"/>
        </w:rPr>
        <w:t>港口、码头、船闸等船舶集中停泊区域，未配备、设置污染物接收与处理设施、设备，责令限期改正逾期不改正的</w:t>
      </w:r>
    </w:p>
    <w:p>
      <w:pPr>
        <w:snapToGrid w:val="0"/>
        <w:spacing w:line="560" w:lineRule="exact"/>
        <w:ind w:firstLine="640" w:firstLineChars="200"/>
        <w:rPr>
          <w:rFonts w:ascii="Times New Roman" w:hAnsi="Times New Roman" w:cs="Times New Roman"/>
          <w:highlight w:val="none"/>
        </w:rPr>
      </w:pPr>
      <w:r>
        <w:rPr>
          <w:rFonts w:ascii="Times New Roman" w:hAnsi="Times New Roman" w:eastAsia="仿宋_GB2312" w:cs="Times New Roman"/>
          <w:color w:val="000000"/>
          <w:sz w:val="32"/>
          <w:szCs w:val="32"/>
          <w:highlight w:val="none"/>
        </w:rPr>
        <w:t>48.</w:t>
      </w:r>
      <w:r>
        <w:rPr>
          <w:rFonts w:hint="eastAsia" w:ascii="Times New Roman" w:hAnsi="Times New Roman" w:eastAsia="仿宋_GB2312" w:cs="仿宋_GB2312"/>
          <w:color w:val="000000"/>
          <w:sz w:val="32"/>
          <w:szCs w:val="32"/>
          <w:highlight w:val="none"/>
        </w:rPr>
        <w:t>在湿地或者核心保护区内从事造田、圩田、筑田、挖池养鱼等破坏湿地行为的</w:t>
      </w:r>
    </w:p>
    <w:p>
      <w:pPr>
        <w:widowControl/>
        <w:snapToGrid w:val="0"/>
        <w:ind w:firstLine="640" w:firstLineChars="200"/>
        <w:jc w:val="left"/>
        <w:rPr>
          <w:rFonts w:ascii="Times New Roman" w:hAnsi="Times New Roman" w:eastAsia="仿宋_GB2312" w:cs="Times New Roman"/>
          <w:color w:val="000000"/>
          <w:sz w:val="10"/>
          <w:szCs w:val="10"/>
          <w:highlight w:val="none"/>
        </w:rPr>
      </w:pPr>
      <w:r>
        <w:rPr>
          <w:rFonts w:ascii="Times New Roman" w:hAnsi="Times New Roman" w:eastAsia="仿宋_GB2312" w:cs="Times New Roman"/>
          <w:color w:val="000000"/>
          <w:sz w:val="32"/>
          <w:szCs w:val="32"/>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（三）水污染防治类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tcPr>
          <w:p>
            <w:pPr>
              <w:pStyle w:val="11"/>
              <w:snapToGrid w:val="0"/>
              <w:spacing w:before="93" w:beforeLines="30" w:line="312" w:lineRule="auto"/>
              <w:ind w:firstLine="420" w:firstLineChars="200"/>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以拖延、围堵、滞留执法人员等方式拒绝、阻挠监督检查，或者在接受监督检查时弄虚作假的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2"/>
              <w:snapToGrid w:val="0"/>
              <w:spacing w:before="62" w:beforeLines="20" w:beforeAutospacing="0" w:after="0" w:afterAutospacing="0" w:line="288" w:lineRule="auto"/>
              <w:ind w:firstLine="482"/>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《中华人民共和国水污染防治法》第三十条</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2"/>
              <w:snapToGrid w:val="0"/>
              <w:spacing w:before="62" w:beforeLines="20" w:beforeAutospacing="0" w:after="0" w:afterAutospacing="0" w:line="288" w:lineRule="auto"/>
              <w:ind w:firstLine="482"/>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《中华人民共和国水污染防治法》第八十一条</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45"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sz w:val="21"/>
                <w:szCs w:val="21"/>
                <w:highlight w:val="none"/>
              </w:rPr>
              <w:t>迟滞</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分钟以上</w:t>
            </w:r>
            <w:r>
              <w:rPr>
                <w:rFonts w:ascii="Times New Roman" w:hAnsi="Times New Roman" w:eastAsia="仿宋_GB2312" w:cs="Times New Roman"/>
                <w:sz w:val="21"/>
                <w:szCs w:val="21"/>
                <w:highlight w:val="none"/>
              </w:rPr>
              <w:t>30</w:t>
            </w:r>
            <w:r>
              <w:rPr>
                <w:rFonts w:hint="eastAsia" w:ascii="Times New Roman" w:hAnsi="Times New Roman" w:eastAsia="仿宋_GB2312" w:cs="仿宋_GB2312"/>
                <w:sz w:val="21"/>
                <w:szCs w:val="21"/>
                <w:highlight w:val="none"/>
              </w:rPr>
              <w:t>分钟以内/提供非关键性假信息</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sz w:val="21"/>
                <w:szCs w:val="21"/>
                <w:highlight w:val="none"/>
              </w:rPr>
              <w:t>迟滞超过半小时</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sz w:val="21"/>
                <w:szCs w:val="21"/>
                <w:highlight w:val="none"/>
              </w:rPr>
              <w:t>阻碍或隐匿部分资料/提供假信息</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sz w:val="21"/>
                <w:szCs w:val="21"/>
                <w:highlight w:val="none"/>
              </w:rPr>
              <w:t>围堵、滞留执法人员或拒绝提供资料</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sz w:val="21"/>
                <w:szCs w:val="21"/>
                <w:highlight w:val="none"/>
              </w:rPr>
              <w:t>暴力抗法/伪造现场或证据</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cs="Times New Roman"/>
                <w:highlight w:val="none"/>
              </w:rPr>
            </w:pPr>
          </w:p>
        </w:tc>
      </w:tr>
    </w:tbl>
    <w:p>
      <w:pPr>
        <w:widowControl/>
        <w:snapToGrid w:val="0"/>
        <w:jc w:val="left"/>
        <w:rPr>
          <w:rFonts w:ascii="Times New Roman" w:hAnsi="Times New Roman" w:eastAsia="仿宋_GB2312" w:cs="Times New Roman"/>
          <w:color w:val="000000"/>
          <w:sz w:val="10"/>
          <w:szCs w:val="10"/>
          <w:highlight w:val="none"/>
        </w:rPr>
      </w:pPr>
      <w:r>
        <w:rPr>
          <w:rFonts w:ascii="Times New Roman" w:hAnsi="Times New Roman" w:eastAsia="仿宋_GB2312" w:cs="Times New Roman"/>
          <w:color w:val="000000"/>
          <w:sz w:val="32"/>
          <w:szCs w:val="32"/>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358"/>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（三）水污染防治类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ind w:firstLine="48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未按照规定对所排放的水污染物自行监测，或者未保存原始监测记录的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2"/>
              <w:snapToGrid w:val="0"/>
              <w:spacing w:before="62" w:beforeLines="20" w:beforeAutospacing="0" w:after="0" w:afterAutospacing="0" w:line="288" w:lineRule="auto"/>
              <w:ind w:firstLine="420"/>
              <w:jc w:val="both"/>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《中华人民共和国水污染防治法》第二十三条第一款</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实行排污许可管理的企业事业单位和其他生产经营者应当按照国家有关规定和监测规范，对所排放的水污染物自行监测，并保存原始监测记录。重点排污单位还应当安装水污染物排放自动监测设备，与环境保护主管部门的监控设备联网，并保证监测设备正常运行。具体办法由国务院环境保护主管部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2"/>
              <w:snapToGrid w:val="0"/>
              <w:spacing w:before="62" w:beforeLines="20" w:beforeAutospacing="0" w:after="0" w:afterAutospacing="0" w:line="288" w:lineRule="auto"/>
              <w:ind w:firstLine="420"/>
              <w:jc w:val="both"/>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《中华人民共和国水污染防治法》第八十二条第（一）项</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违反本法规定，有下列行为之一的，由县级以上人民政府环境保护主管部门责令限期改正，处二万元以上二十万元以下的罚款；逾期不改正的，责令停产整治：</w:t>
            </w:r>
          </w:p>
          <w:p>
            <w:pPr>
              <w:pStyle w:val="12"/>
              <w:snapToGrid w:val="0"/>
              <w:spacing w:before="0" w:beforeAutospacing="0" w:after="0" w:afterAutospacing="0" w:line="312" w:lineRule="auto"/>
              <w:ind w:firstLine="420"/>
              <w:jc w:val="both"/>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（一）未按照规定对所排放的水污染物自行监测，或者未保存原始监测记录的。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358"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580"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358"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按规定进行了监测，原始监测记录</w:t>
            </w:r>
            <w:r>
              <w:rPr>
                <w:rFonts w:ascii="Times New Roman" w:hAnsi="Times New Roman" w:eastAsia="仿宋_GB2312" w:cs="Times New Roman"/>
                <w:color w:val="000000"/>
                <w:highlight w:val="none"/>
              </w:rPr>
              <w:t>70%</w:t>
            </w:r>
            <w:r>
              <w:rPr>
                <w:rFonts w:hint="eastAsia" w:ascii="Times New Roman" w:hAnsi="Times New Roman" w:eastAsia="仿宋_GB2312" w:cs="仿宋_GB2312"/>
                <w:color w:val="000000"/>
                <w:highlight w:val="none"/>
              </w:rPr>
              <w:t>以上不足</w:t>
            </w:r>
            <w:r>
              <w:rPr>
                <w:rFonts w:ascii="Times New Roman" w:hAnsi="Times New Roman" w:eastAsia="仿宋_GB2312" w:cs="Times New Roman"/>
                <w:color w:val="000000"/>
                <w:highlight w:val="none"/>
              </w:rPr>
              <w:t>100%</w:t>
            </w:r>
          </w:p>
        </w:tc>
        <w:tc>
          <w:tcPr>
            <w:tcW w:w="2580"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358"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进行了监测但监测不符合规定，或原始监测记录不足</w:t>
            </w:r>
            <w:r>
              <w:rPr>
                <w:rFonts w:ascii="Times New Roman" w:hAnsi="Times New Roman" w:eastAsia="仿宋_GB2312" w:cs="Times New Roman"/>
                <w:color w:val="000000"/>
                <w:highlight w:val="none"/>
              </w:rPr>
              <w:t>70%</w:t>
            </w:r>
          </w:p>
        </w:tc>
        <w:tc>
          <w:tcPr>
            <w:tcW w:w="2580"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358"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未监测或未保存监测记录的</w:t>
            </w:r>
          </w:p>
        </w:tc>
        <w:tc>
          <w:tcPr>
            <w:tcW w:w="2580"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p>
            <w:pPr>
              <w:snapToGrid w:val="0"/>
              <w:jc w:val="center"/>
              <w:rPr>
                <w:rFonts w:ascii="Times New Roman" w:hAnsi="Times New Roman" w:eastAsia="仿宋_GB2312" w:cs="Times New Roman"/>
                <w:color w:val="000000"/>
                <w:highlight w:val="none"/>
              </w:rPr>
            </w:pPr>
            <w:r>
              <w:rPr>
                <w:rFonts w:hint="eastAsia" w:ascii="Times New Roman" w:hAnsi="Times New Roman" w:cs="宋体"/>
                <w:b/>
                <w:bCs/>
                <w:color w:val="000000"/>
                <w:highlight w:val="none"/>
              </w:rPr>
              <w:t>持续时间</w:t>
            </w:r>
          </w:p>
        </w:tc>
        <w:tc>
          <w:tcPr>
            <w:tcW w:w="5358"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不满</w:t>
            </w: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w:t>
            </w:r>
          </w:p>
        </w:tc>
        <w:tc>
          <w:tcPr>
            <w:tcW w:w="2580"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358"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个月以上不满</w:t>
            </w: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w:t>
            </w:r>
          </w:p>
        </w:tc>
        <w:tc>
          <w:tcPr>
            <w:tcW w:w="2580"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358"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个月以上不满</w:t>
            </w:r>
            <w:r>
              <w:rPr>
                <w:rFonts w:ascii="Times New Roman" w:hAnsi="Times New Roman" w:eastAsia="仿宋_GB2312" w:cs="Times New Roman"/>
                <w:color w:val="000000"/>
                <w:highlight w:val="none"/>
              </w:rPr>
              <w:t>9</w:t>
            </w:r>
            <w:r>
              <w:rPr>
                <w:rFonts w:hint="eastAsia" w:ascii="Times New Roman" w:hAnsi="Times New Roman" w:eastAsia="仿宋_GB2312" w:cs="仿宋_GB2312"/>
                <w:color w:val="000000"/>
                <w:highlight w:val="none"/>
              </w:rPr>
              <w:t>个月</w:t>
            </w:r>
          </w:p>
        </w:tc>
        <w:tc>
          <w:tcPr>
            <w:tcW w:w="2580"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358"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9</w:t>
            </w:r>
            <w:r>
              <w:rPr>
                <w:rFonts w:hint="eastAsia" w:ascii="Times New Roman" w:hAnsi="Times New Roman" w:eastAsia="仿宋_GB2312" w:cs="仿宋_GB2312"/>
                <w:color w:val="000000"/>
                <w:highlight w:val="none"/>
              </w:rPr>
              <w:t>个月以上不满</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年</w:t>
            </w:r>
          </w:p>
        </w:tc>
        <w:tc>
          <w:tcPr>
            <w:tcW w:w="2580"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358"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年以上</w:t>
            </w:r>
          </w:p>
        </w:tc>
        <w:tc>
          <w:tcPr>
            <w:tcW w:w="2580"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废水类别</w:t>
            </w:r>
          </w:p>
        </w:tc>
        <w:tc>
          <w:tcPr>
            <w:tcW w:w="5358"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生活废水</w:t>
            </w:r>
          </w:p>
        </w:tc>
        <w:tc>
          <w:tcPr>
            <w:tcW w:w="2580"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358"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服务业废水</w:t>
            </w:r>
          </w:p>
        </w:tc>
        <w:tc>
          <w:tcPr>
            <w:tcW w:w="2580"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358"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一般工业废水</w:t>
            </w:r>
          </w:p>
        </w:tc>
        <w:tc>
          <w:tcPr>
            <w:tcW w:w="2580"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358"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含其他有毒有害物质的废水、医疗废水</w:t>
            </w:r>
          </w:p>
        </w:tc>
        <w:tc>
          <w:tcPr>
            <w:tcW w:w="2580"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358"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含一类污染物或重金属、病原体、放射性物质的废水</w:t>
            </w:r>
          </w:p>
        </w:tc>
        <w:tc>
          <w:tcPr>
            <w:tcW w:w="2580"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cs="Times New Roman"/>
                <w:highlight w:val="none"/>
              </w:rPr>
            </w:pPr>
          </w:p>
        </w:tc>
      </w:tr>
    </w:tbl>
    <w:p>
      <w:pPr>
        <w:widowControl/>
        <w:snapToGrid w:val="0"/>
        <w:jc w:val="left"/>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421"/>
        <w:gridCol w:w="2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（三）水污染防治类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spacing w:before="62" w:beforeLines="20" w:line="288" w:lineRule="auto"/>
              <w:ind w:firstLine="482"/>
              <w:rPr>
                <w:rFonts w:ascii="Times New Roman" w:hAnsi="Times New Roman" w:eastAsia="仿宋_GB2312" w:cs="Times New Roman"/>
                <w:highlight w:val="none"/>
              </w:rPr>
            </w:pPr>
            <w:r>
              <w:rPr>
                <w:rFonts w:hint="eastAsia" w:ascii="Times New Roman" w:hAnsi="Times New Roman" w:eastAsia="仿宋_GB2312" w:cs="仿宋_GB2312"/>
                <w:highlight w:val="none"/>
              </w:rPr>
              <w:t>未按照规定安装水污染物排放自动监测设备，未按照规定与环境保护主管部门的监控设备联网，或者未保证监测设备正常运行的。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2"/>
              <w:snapToGrid w:val="0"/>
              <w:spacing w:before="62" w:beforeLines="20" w:beforeAutospacing="0" w:after="0" w:afterAutospacing="0" w:line="288" w:lineRule="auto"/>
              <w:ind w:firstLine="482"/>
              <w:rPr>
                <w:rFonts w:ascii="Times New Roman" w:hAnsi="Times New Roman" w:eastAsia="仿宋_GB2312" w:cs="Times New Roman"/>
                <w:kern w:val="2"/>
                <w:sz w:val="21"/>
                <w:szCs w:val="21"/>
                <w:highlight w:val="none"/>
              </w:rPr>
            </w:pPr>
            <w:r>
              <w:rPr>
                <w:rFonts w:ascii="Times New Roman" w:hAnsi="Times New Roman" w:eastAsia="仿宋_GB2312" w:cs="Times New Roman"/>
                <w:b/>
                <w:bCs/>
                <w:kern w:val="2"/>
                <w:sz w:val="21"/>
                <w:szCs w:val="21"/>
                <w:highlight w:val="none"/>
              </w:rPr>
              <w:t>1.</w:t>
            </w:r>
            <w:r>
              <w:rPr>
                <w:rFonts w:hint="eastAsia" w:ascii="Times New Roman" w:hAnsi="Times New Roman" w:eastAsia="仿宋_GB2312" w:cs="仿宋_GB2312"/>
                <w:b/>
                <w:bCs/>
                <w:kern w:val="2"/>
                <w:sz w:val="21"/>
                <w:szCs w:val="21"/>
                <w:highlight w:val="none"/>
              </w:rPr>
              <w:t>《中华人民共和国水污染防治法》第二十三条第一款</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实行排污许可管理的企业事业单位和其他生产经营者应当按照国家有关规定和监测规范，对所排放的水污染物自行监测，并保存原始监测记录。重点排污单位还应当安装水污染物排放自动监测设备，与环境保护主管部门的监控设备联网，并保证监测设备正常运行。具体办法由国务院环境保护主管部门规定。</w:t>
            </w:r>
          </w:p>
          <w:p>
            <w:pPr>
              <w:pStyle w:val="12"/>
              <w:snapToGrid w:val="0"/>
              <w:spacing w:before="0" w:beforeAutospacing="0" w:after="0" w:afterAutospacing="0" w:line="288" w:lineRule="auto"/>
              <w:ind w:firstLine="482"/>
              <w:rPr>
                <w:rFonts w:ascii="Times New Roman" w:hAnsi="Times New Roman" w:eastAsia="仿宋_GB2312" w:cs="Times New Roman"/>
                <w:kern w:val="2"/>
                <w:sz w:val="21"/>
                <w:szCs w:val="21"/>
                <w:highlight w:val="none"/>
              </w:rPr>
            </w:pPr>
            <w:r>
              <w:rPr>
                <w:rFonts w:ascii="Times New Roman" w:hAnsi="Times New Roman" w:eastAsia="仿宋_GB2312" w:cs="Times New Roman"/>
                <w:b/>
                <w:bCs/>
                <w:kern w:val="2"/>
                <w:sz w:val="21"/>
                <w:szCs w:val="21"/>
                <w:highlight w:val="none"/>
              </w:rPr>
              <w:t>2.</w:t>
            </w:r>
            <w:r>
              <w:rPr>
                <w:rFonts w:hint="eastAsia" w:ascii="Times New Roman" w:hAnsi="Times New Roman" w:eastAsia="仿宋_GB2312" w:cs="仿宋_GB2312"/>
                <w:b/>
                <w:bCs/>
                <w:kern w:val="2"/>
                <w:sz w:val="21"/>
                <w:szCs w:val="21"/>
                <w:highlight w:val="none"/>
              </w:rPr>
              <w:t>《山东省南水北调工程沿线区域水污染防治条例》第十一条第三款</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重点排污单位应当安装水污染物排放自动监测设备，并与环境保护行政主管部门的监控设备联网。重点排污单位应当保证水污染物排放自动监测设备正常运行，不得篡改、伪造监测数据。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2"/>
              <w:snapToGrid w:val="0"/>
              <w:spacing w:before="62" w:beforeLines="20" w:beforeAutospacing="0" w:after="0" w:afterAutospacing="0" w:line="288" w:lineRule="auto"/>
              <w:ind w:firstLine="422" w:firstLineChars="200"/>
              <w:rPr>
                <w:rFonts w:ascii="Times New Roman" w:hAnsi="Times New Roman" w:eastAsia="仿宋_GB2312" w:cs="Times New Roman"/>
                <w:kern w:val="2"/>
                <w:sz w:val="21"/>
                <w:szCs w:val="21"/>
                <w:highlight w:val="none"/>
              </w:rPr>
            </w:pPr>
            <w:r>
              <w:rPr>
                <w:rFonts w:ascii="Times New Roman" w:hAnsi="Times New Roman" w:eastAsia="仿宋_GB2312" w:cs="Times New Roman"/>
                <w:b/>
                <w:bCs/>
                <w:kern w:val="2"/>
                <w:sz w:val="21"/>
                <w:szCs w:val="21"/>
                <w:highlight w:val="none"/>
              </w:rPr>
              <w:t>1.</w:t>
            </w:r>
            <w:r>
              <w:rPr>
                <w:rFonts w:hint="eastAsia" w:ascii="Times New Roman" w:hAnsi="Times New Roman" w:eastAsia="仿宋_GB2312" w:cs="仿宋_GB2312"/>
                <w:b/>
                <w:bCs/>
                <w:kern w:val="2"/>
                <w:sz w:val="21"/>
                <w:szCs w:val="21"/>
                <w:highlight w:val="none"/>
              </w:rPr>
              <w:t>《中华人民共和国水污染防治法》第八十二条第（二）项</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违反本法规定，有下列行为之一的，由县级以上人民政府环境保护主管部门责令限期改正，处二万元以上二十万元以下的罚款；逾期不改正的，责令停产整治：</w:t>
            </w:r>
          </w:p>
          <w:p>
            <w:pPr>
              <w:pStyle w:val="12"/>
              <w:snapToGrid w:val="0"/>
              <w:spacing w:before="0" w:beforeAutospacing="0" w:after="0" w:afterAutospacing="0" w:line="288" w:lineRule="auto"/>
              <w:ind w:firstLine="420"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（二）未按照规定安装水污染物排放自动监测设备，未按照规定与环境保护主管部门的监控设备联网，或者未保证监测设备正常运行的。</w:t>
            </w:r>
          </w:p>
          <w:p>
            <w:pPr>
              <w:pStyle w:val="12"/>
              <w:snapToGrid w:val="0"/>
              <w:spacing w:before="0" w:beforeAutospacing="0" w:after="0" w:afterAutospacing="0" w:line="288" w:lineRule="auto"/>
              <w:ind w:firstLine="422" w:firstLineChars="200"/>
              <w:rPr>
                <w:rFonts w:ascii="Times New Roman" w:hAnsi="Times New Roman" w:eastAsia="仿宋_GB2312" w:cs="Times New Roman"/>
                <w:kern w:val="2"/>
                <w:sz w:val="21"/>
                <w:szCs w:val="21"/>
                <w:highlight w:val="none"/>
              </w:rPr>
            </w:pPr>
            <w:r>
              <w:rPr>
                <w:rFonts w:ascii="Times New Roman" w:hAnsi="Times New Roman" w:eastAsia="仿宋_GB2312" w:cs="Times New Roman"/>
                <w:b/>
                <w:bCs/>
                <w:kern w:val="2"/>
                <w:sz w:val="21"/>
                <w:szCs w:val="21"/>
                <w:highlight w:val="none"/>
              </w:rPr>
              <w:t>2.</w:t>
            </w:r>
            <w:r>
              <w:rPr>
                <w:rFonts w:hint="eastAsia" w:ascii="Times New Roman" w:hAnsi="Times New Roman" w:eastAsia="仿宋_GB2312" w:cs="仿宋_GB2312"/>
                <w:b/>
                <w:bCs/>
                <w:kern w:val="2"/>
                <w:sz w:val="21"/>
                <w:szCs w:val="21"/>
                <w:highlight w:val="none"/>
              </w:rPr>
              <w:t>《山东省南水北调工程沿线区域水污染防治条例》第四十四条第（一）项</w:t>
            </w:r>
            <w:r>
              <w:rPr>
                <w:rFonts w:ascii="Times New Roman" w:hAnsi="Times New Roman" w:eastAsia="仿宋_GB2312" w:cs="Times New Roman"/>
                <w:b/>
                <w:bCs/>
                <w:kern w:val="2"/>
                <w:sz w:val="21"/>
                <w:szCs w:val="21"/>
                <w:highlight w:val="none"/>
              </w:rPr>
              <w:t xml:space="preserve"> </w:t>
            </w:r>
            <w:r>
              <w:rPr>
                <w:rFonts w:hint="eastAsia" w:ascii="Times New Roman" w:hAnsi="Times New Roman" w:eastAsia="仿宋_GB2312" w:cs="仿宋_GB2312"/>
                <w:kern w:val="2"/>
                <w:sz w:val="21"/>
                <w:szCs w:val="21"/>
                <w:highlight w:val="none"/>
              </w:rPr>
              <w:t>违反本条例规定，有下列情形之一的，由县级以上人民政府环境保护行政主管部门按照下列规定进行处罚；构成犯罪的，依法追究刑事责任：</w:t>
            </w:r>
          </w:p>
          <w:p>
            <w:pPr>
              <w:pStyle w:val="12"/>
              <w:snapToGrid w:val="0"/>
              <w:spacing w:before="0" w:beforeAutospacing="0" w:after="0" w:afterAutospacing="0" w:line="288" w:lineRule="auto"/>
              <w:ind w:firstLine="420" w:firstLineChars="200"/>
              <w:rPr>
                <w:rFonts w:ascii="Times New Roman" w:hAnsi="Times New Roman" w:eastAsia="仿宋_GB2312" w:cs="Times New Roman"/>
                <w:b/>
                <w:bCs/>
                <w:kern w:val="2"/>
                <w:sz w:val="21"/>
                <w:szCs w:val="21"/>
                <w:highlight w:val="none"/>
              </w:rPr>
            </w:pPr>
            <w:r>
              <w:rPr>
                <w:rFonts w:hint="eastAsia" w:ascii="Times New Roman" w:hAnsi="Times New Roman" w:eastAsia="仿宋_GB2312" w:cs="仿宋_GB2312"/>
                <w:kern w:val="2"/>
                <w:sz w:val="21"/>
                <w:szCs w:val="21"/>
                <w:highlight w:val="none"/>
              </w:rPr>
              <w:t>（一）重点排污单位未按照规定安装水污染物排放自动监测设备，未按照规定与环境保护行政主管部门的监控设备联网，或者未保证监测设备正常运行的，责令限期改正，处二万元以上二十万元以下的罚款；逾期不改正的，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42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51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42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eastAsia="仿宋_GB2312" w:cs="仿宋_GB2312"/>
                <w:color w:val="000000"/>
                <w:highlight w:val="none"/>
              </w:rPr>
              <w:t>自动监测设备已安装，未按照规定与生态环境主管部门监控设备联网的</w:t>
            </w:r>
          </w:p>
        </w:tc>
        <w:tc>
          <w:tcPr>
            <w:tcW w:w="251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42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自动监测设备安装、运行维护不符合相关技术规范的</w:t>
            </w:r>
          </w:p>
        </w:tc>
        <w:tc>
          <w:tcPr>
            <w:tcW w:w="2517"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42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未按照规定安装污染物排放自动监测设备，或者擅自停运部分或全部污染源自动监测设备的</w:t>
            </w:r>
          </w:p>
        </w:tc>
        <w:tc>
          <w:tcPr>
            <w:tcW w:w="2517"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监测数据</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误差</w:t>
            </w:r>
          </w:p>
        </w:tc>
        <w:tc>
          <w:tcPr>
            <w:tcW w:w="542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未保证监测设备正常运行，造成自动监测与人工监测（或者标准物质测试）数据误差超过技术规范允许范围</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倍以内的</w:t>
            </w:r>
          </w:p>
        </w:tc>
        <w:tc>
          <w:tcPr>
            <w:tcW w:w="251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42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未保证监测设备正常运行，造成自动监测与人工监测（或者标准物质测试）数据误差超过技术规范允许范围</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倍以上</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倍以下的</w:t>
            </w:r>
          </w:p>
        </w:tc>
        <w:tc>
          <w:tcPr>
            <w:tcW w:w="2517"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42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未保证自动监测设备正常运行，造成自动监测与人工监测（或者标准物质测试）数据误差超过技术规范允许范围</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倍以上的</w:t>
            </w:r>
          </w:p>
        </w:tc>
        <w:tc>
          <w:tcPr>
            <w:tcW w:w="2517"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监测数据</w:t>
            </w:r>
          </w:p>
          <w:p>
            <w:pPr>
              <w:snapToGrid w:val="0"/>
              <w:jc w:val="center"/>
              <w:rPr>
                <w:rFonts w:ascii="Times New Roman" w:hAnsi="Times New Roman" w:eastAsia="仿宋_GB2312" w:cs="Times New Roman"/>
                <w:color w:val="0000FF"/>
                <w:highlight w:val="none"/>
              </w:rPr>
            </w:pPr>
            <w:r>
              <w:rPr>
                <w:rFonts w:hint="eastAsia" w:ascii="Times New Roman" w:hAnsi="Times New Roman" w:cs="宋体"/>
                <w:b/>
                <w:bCs/>
                <w:highlight w:val="none"/>
              </w:rPr>
              <w:t>传输偏差</w:t>
            </w:r>
          </w:p>
        </w:tc>
        <w:tc>
          <w:tcPr>
            <w:tcW w:w="542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传输的自动监测数据与现场分析仪表数据不一致，数据偏差</w:t>
            </w:r>
            <w:r>
              <w:rPr>
                <w:rFonts w:ascii="Times New Roman" w:hAnsi="Times New Roman" w:eastAsia="仿宋_GB2312" w:cs="Times New Roman"/>
                <w:color w:val="000000"/>
                <w:highlight w:val="none"/>
              </w:rPr>
              <w:t>1%-5%</w:t>
            </w:r>
            <w:r>
              <w:rPr>
                <w:rFonts w:hint="eastAsia" w:ascii="Times New Roman" w:hAnsi="Times New Roman" w:eastAsia="仿宋_GB2312" w:cs="仿宋_GB2312"/>
                <w:color w:val="000000"/>
                <w:highlight w:val="none"/>
              </w:rPr>
              <w:t>的</w:t>
            </w:r>
          </w:p>
        </w:tc>
        <w:tc>
          <w:tcPr>
            <w:tcW w:w="2517"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42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传输的自动监测数据与现场分析仪表数据不一致，数据偏差</w:t>
            </w:r>
            <w:r>
              <w:rPr>
                <w:rFonts w:ascii="Times New Roman" w:hAnsi="Times New Roman" w:eastAsia="仿宋_GB2312" w:cs="Times New Roman"/>
                <w:color w:val="000000"/>
                <w:highlight w:val="none"/>
              </w:rPr>
              <w:t>5%-10%</w:t>
            </w:r>
            <w:r>
              <w:rPr>
                <w:rFonts w:hint="eastAsia" w:ascii="Times New Roman" w:hAnsi="Times New Roman" w:eastAsia="仿宋_GB2312" w:cs="仿宋_GB2312"/>
                <w:color w:val="000000"/>
                <w:highlight w:val="none"/>
              </w:rPr>
              <w:t>的</w:t>
            </w:r>
          </w:p>
        </w:tc>
        <w:tc>
          <w:tcPr>
            <w:tcW w:w="2517"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42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传输的自动监测数据与现场分析仪表数据不一致，数据偏差大于</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的</w:t>
            </w:r>
          </w:p>
        </w:tc>
        <w:tc>
          <w:tcPr>
            <w:tcW w:w="2517"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自动监测</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数据有效</w:t>
            </w:r>
          </w:p>
          <w:p>
            <w:pPr>
              <w:snapToGrid w:val="0"/>
              <w:jc w:val="center"/>
              <w:rPr>
                <w:rFonts w:ascii="Times New Roman" w:hAnsi="Times New Roman" w:eastAsia="仿宋_GB2312" w:cs="Times New Roman"/>
                <w:color w:val="0000FF"/>
                <w:highlight w:val="none"/>
              </w:rPr>
            </w:pPr>
            <w:r>
              <w:rPr>
                <w:rFonts w:hint="eastAsia" w:ascii="Times New Roman" w:hAnsi="Times New Roman" w:cs="宋体"/>
                <w:b/>
                <w:bCs/>
                <w:highlight w:val="none"/>
              </w:rPr>
              <w:t>传输率</w:t>
            </w:r>
          </w:p>
        </w:tc>
        <w:tc>
          <w:tcPr>
            <w:tcW w:w="542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自动监测季度数据有效传输率</w:t>
            </w:r>
            <w:r>
              <w:rPr>
                <w:rFonts w:ascii="Times New Roman" w:hAnsi="Times New Roman" w:eastAsia="仿宋_GB2312" w:cs="Times New Roman"/>
                <w:color w:val="000000"/>
                <w:highlight w:val="none"/>
              </w:rPr>
              <w:t>75%-90%</w:t>
            </w:r>
            <w:r>
              <w:rPr>
                <w:rFonts w:hint="eastAsia" w:ascii="Times New Roman" w:hAnsi="Times New Roman" w:eastAsia="仿宋_GB2312" w:cs="仿宋_GB2312"/>
                <w:color w:val="000000"/>
                <w:highlight w:val="none"/>
              </w:rPr>
              <w:t>的</w:t>
            </w:r>
          </w:p>
        </w:tc>
        <w:tc>
          <w:tcPr>
            <w:tcW w:w="2517"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42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自动监测季度数据有效传输率</w:t>
            </w:r>
            <w:r>
              <w:rPr>
                <w:rFonts w:ascii="Times New Roman" w:hAnsi="Times New Roman" w:eastAsia="仿宋_GB2312" w:cs="Times New Roman"/>
                <w:color w:val="000000"/>
                <w:highlight w:val="none"/>
              </w:rPr>
              <w:t>60%-75%</w:t>
            </w:r>
            <w:r>
              <w:rPr>
                <w:rFonts w:hint="eastAsia" w:ascii="Times New Roman" w:hAnsi="Times New Roman" w:eastAsia="仿宋_GB2312" w:cs="仿宋_GB2312"/>
                <w:color w:val="000000"/>
                <w:highlight w:val="none"/>
              </w:rPr>
              <w:t>的</w:t>
            </w:r>
          </w:p>
        </w:tc>
        <w:tc>
          <w:tcPr>
            <w:tcW w:w="2517"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42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自动监测季度数据有效传输率低于</w:t>
            </w:r>
            <w:r>
              <w:rPr>
                <w:rFonts w:ascii="Times New Roman" w:hAnsi="Times New Roman" w:eastAsia="仿宋_GB2312" w:cs="Times New Roman"/>
                <w:color w:val="000000"/>
                <w:highlight w:val="none"/>
              </w:rPr>
              <w:t>60%</w:t>
            </w:r>
            <w:r>
              <w:rPr>
                <w:rFonts w:hint="eastAsia" w:ascii="Times New Roman" w:hAnsi="Times New Roman" w:eastAsia="仿宋_GB2312" w:cs="仿宋_GB2312"/>
                <w:color w:val="000000"/>
                <w:highlight w:val="none"/>
              </w:rPr>
              <w:t>的</w:t>
            </w:r>
          </w:p>
        </w:tc>
        <w:tc>
          <w:tcPr>
            <w:tcW w:w="2517"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废水类别</w:t>
            </w:r>
          </w:p>
        </w:tc>
        <w:tc>
          <w:tcPr>
            <w:tcW w:w="542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生活废水</w:t>
            </w:r>
          </w:p>
        </w:tc>
        <w:tc>
          <w:tcPr>
            <w:tcW w:w="251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42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服务业废水</w:t>
            </w:r>
          </w:p>
        </w:tc>
        <w:tc>
          <w:tcPr>
            <w:tcW w:w="251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42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一般工业废水</w:t>
            </w:r>
          </w:p>
        </w:tc>
        <w:tc>
          <w:tcPr>
            <w:tcW w:w="251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42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含其他有毒有害物质的废水、医疗废水</w:t>
            </w:r>
          </w:p>
        </w:tc>
        <w:tc>
          <w:tcPr>
            <w:tcW w:w="251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42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含一类污染物或重金属、病原体、放射性物质的废水</w:t>
            </w:r>
          </w:p>
        </w:tc>
        <w:tc>
          <w:tcPr>
            <w:tcW w:w="251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排放去向或区域</w:t>
            </w:r>
          </w:p>
        </w:tc>
        <w:tc>
          <w:tcPr>
            <w:tcW w:w="5421"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Ⅴ</w:t>
            </w:r>
            <w:r>
              <w:rPr>
                <w:rFonts w:hint="eastAsia" w:ascii="Times New Roman" w:hAnsi="Times New Roman" w:eastAsia="仿宋_GB2312" w:cs="仿宋_GB2312"/>
                <w:highlight w:val="none"/>
              </w:rPr>
              <w:t>类水体或污水集中处理设施</w:t>
            </w:r>
          </w:p>
        </w:tc>
        <w:tc>
          <w:tcPr>
            <w:tcW w:w="251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421"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Ⅳ</w:t>
            </w:r>
            <w:r>
              <w:rPr>
                <w:rFonts w:hint="eastAsia" w:ascii="Times New Roman" w:hAnsi="Times New Roman" w:eastAsia="仿宋_GB2312" w:cs="仿宋_GB2312"/>
                <w:highlight w:val="none"/>
              </w:rPr>
              <w:t>类水体</w:t>
            </w:r>
          </w:p>
        </w:tc>
        <w:tc>
          <w:tcPr>
            <w:tcW w:w="251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421"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Ⅲ</w:t>
            </w:r>
            <w:r>
              <w:rPr>
                <w:rFonts w:hint="eastAsia" w:ascii="Times New Roman" w:hAnsi="Times New Roman" w:eastAsia="仿宋_GB2312" w:cs="仿宋_GB2312"/>
                <w:highlight w:val="none"/>
              </w:rPr>
              <w:t>类水体</w:t>
            </w:r>
          </w:p>
        </w:tc>
        <w:tc>
          <w:tcPr>
            <w:tcW w:w="251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421"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Ⅱ</w:t>
            </w:r>
            <w:r>
              <w:rPr>
                <w:rFonts w:hint="eastAsia" w:ascii="Times New Roman" w:hAnsi="Times New Roman" w:eastAsia="仿宋_GB2312" w:cs="仿宋_GB2312"/>
                <w:highlight w:val="none"/>
              </w:rPr>
              <w:t>类水体</w:t>
            </w:r>
          </w:p>
        </w:tc>
        <w:tc>
          <w:tcPr>
            <w:tcW w:w="251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421"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Ⅰ</w:t>
            </w:r>
            <w:r>
              <w:rPr>
                <w:rFonts w:hint="eastAsia" w:ascii="Times New Roman" w:hAnsi="Times New Roman" w:eastAsia="仿宋_GB2312" w:cs="仿宋_GB2312"/>
                <w:highlight w:val="none"/>
              </w:rPr>
              <w:t>类水体</w:t>
            </w:r>
          </w:p>
        </w:tc>
        <w:tc>
          <w:tcPr>
            <w:tcW w:w="251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cs="Times New Roman"/>
                <w:highlight w:val="none"/>
              </w:rPr>
            </w:pPr>
          </w:p>
        </w:tc>
      </w:tr>
    </w:tbl>
    <w:p>
      <w:pPr>
        <w:widowControl/>
        <w:snapToGrid w:val="0"/>
        <w:jc w:val="left"/>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421"/>
        <w:gridCol w:w="2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（三）水污染防治类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spacing w:before="62" w:beforeLines="20"/>
              <w:ind w:firstLine="482"/>
              <w:rPr>
                <w:rFonts w:ascii="Times New Roman" w:hAnsi="Times New Roman" w:eastAsia="仿宋_GB2312" w:cs="Times New Roman"/>
                <w:highlight w:val="none"/>
              </w:rPr>
            </w:pPr>
            <w:r>
              <w:rPr>
                <w:rFonts w:hint="eastAsia" w:ascii="Times New Roman" w:hAnsi="Times New Roman" w:eastAsia="仿宋_GB2312" w:cs="仿宋_GB2312"/>
                <w:highlight w:val="none"/>
              </w:rPr>
              <w:t>未按照规定对有毒有害水污染物的排污口和周边环境进行监测，或者未公开有毒有害水污染物信息的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2"/>
              <w:snapToGrid w:val="0"/>
              <w:spacing w:before="62" w:beforeLines="20" w:beforeAutospacing="0" w:after="0" w:afterAutospacing="0" w:line="288" w:lineRule="auto"/>
              <w:ind w:firstLine="42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《中华人民共和国水污染防治法》第三十二条第二款</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排放前款规定名录中所列有毒有害水污染物的企业事业单位和其他生产经营者，应当对排污口和周边环境进行监测，评估环境风险，排查环境安全隐患，并公开有毒有害水污染物信息，采取有效措施防范环境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2"/>
              <w:snapToGrid w:val="0"/>
              <w:spacing w:before="62" w:beforeLines="20" w:beforeAutospacing="0" w:after="0" w:afterAutospacing="0" w:line="288" w:lineRule="auto"/>
              <w:ind w:firstLine="42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《中华人民共和国水污染防治法》第八十二条第（三）项</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违反本法规定，有下列行为之一的，由县级以上人民政府环境保护主管部门责令限期改正，处二万元以上二十万元以下的罚款；逾期不改正的，责令停产整治：</w:t>
            </w:r>
          </w:p>
          <w:p>
            <w:pPr>
              <w:pStyle w:val="12"/>
              <w:snapToGrid w:val="0"/>
              <w:spacing w:before="0" w:beforeAutospacing="0" w:after="0" w:afterAutospacing="0" w:line="288" w:lineRule="auto"/>
              <w:ind w:firstLine="42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（三）未按照规定对有毒有害水污染物的排污口和周边环境进行监测，或者未公开有毒有害水污染物信息的。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42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51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公开情况★</w:t>
            </w:r>
          </w:p>
        </w:tc>
        <w:tc>
          <w:tcPr>
            <w:tcW w:w="5421" w:type="dxa"/>
            <w:vAlign w:val="center"/>
          </w:tcPr>
          <w:p>
            <w:pPr>
              <w:pStyle w:val="11"/>
              <w:snapToGrid w:val="0"/>
              <w:jc w:val="center"/>
              <w:rPr>
                <w:rFonts w:ascii="Times New Roman" w:hAnsi="Times New Roman" w:eastAsia="仿宋_GB2312" w:cs="Times New Roman"/>
                <w:color w:val="000000"/>
                <w:kern w:val="2"/>
                <w:sz w:val="21"/>
                <w:szCs w:val="21"/>
                <w:highlight w:val="none"/>
              </w:rPr>
            </w:pPr>
            <w:r>
              <w:rPr>
                <w:rFonts w:hint="eastAsia" w:ascii="Times New Roman" w:hAnsi="Times New Roman" w:eastAsia="仿宋_GB2312" w:cs="仿宋_GB2312"/>
                <w:color w:val="000000"/>
                <w:kern w:val="2"/>
                <w:sz w:val="21"/>
                <w:szCs w:val="21"/>
                <w:highlight w:val="none"/>
              </w:rPr>
              <w:t>公开有毒有害水污染物信息的方式（途径）不符合规定</w:t>
            </w:r>
          </w:p>
        </w:tc>
        <w:tc>
          <w:tcPr>
            <w:tcW w:w="2517"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421" w:type="dxa"/>
            <w:vAlign w:val="center"/>
          </w:tcPr>
          <w:p>
            <w:pPr>
              <w:pStyle w:val="11"/>
              <w:snapToGrid w:val="0"/>
              <w:jc w:val="center"/>
              <w:rPr>
                <w:rFonts w:ascii="Times New Roman" w:hAnsi="Times New Roman" w:eastAsia="仿宋_GB2312" w:cs="Times New Roman"/>
                <w:color w:val="000000"/>
                <w:kern w:val="2"/>
                <w:sz w:val="21"/>
                <w:szCs w:val="21"/>
                <w:highlight w:val="none"/>
              </w:rPr>
            </w:pPr>
            <w:r>
              <w:rPr>
                <w:rFonts w:hint="eastAsia" w:ascii="Times New Roman" w:hAnsi="Times New Roman" w:eastAsia="仿宋_GB2312" w:cs="仿宋_GB2312"/>
                <w:color w:val="000000"/>
                <w:kern w:val="2"/>
                <w:sz w:val="21"/>
                <w:szCs w:val="21"/>
                <w:highlight w:val="none"/>
              </w:rPr>
              <w:t>公开有毒有害水污染物信息的内容不符合要求</w:t>
            </w:r>
          </w:p>
        </w:tc>
        <w:tc>
          <w:tcPr>
            <w:tcW w:w="2517"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421" w:type="dxa"/>
            <w:vAlign w:val="center"/>
          </w:tcPr>
          <w:p>
            <w:pPr>
              <w:pStyle w:val="11"/>
              <w:snapToGrid w:val="0"/>
              <w:jc w:val="center"/>
              <w:rPr>
                <w:rFonts w:ascii="Times New Roman" w:hAnsi="Times New Roman" w:eastAsia="仿宋_GB2312" w:cs="Times New Roman"/>
                <w:color w:val="000000"/>
                <w:kern w:val="2"/>
                <w:sz w:val="21"/>
                <w:szCs w:val="21"/>
                <w:highlight w:val="none"/>
              </w:rPr>
            </w:pPr>
            <w:r>
              <w:rPr>
                <w:rFonts w:hint="eastAsia" w:ascii="Times New Roman" w:hAnsi="Times New Roman" w:eastAsia="仿宋_GB2312" w:cs="仿宋_GB2312"/>
                <w:color w:val="000000"/>
                <w:kern w:val="2"/>
                <w:sz w:val="21"/>
                <w:szCs w:val="21"/>
                <w:highlight w:val="none"/>
              </w:rPr>
              <w:t>完全未公开有毒有害水污染物信息</w:t>
            </w:r>
          </w:p>
        </w:tc>
        <w:tc>
          <w:tcPr>
            <w:tcW w:w="2517"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监测情况★</w:t>
            </w:r>
          </w:p>
        </w:tc>
        <w:tc>
          <w:tcPr>
            <w:tcW w:w="542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按规定对排污口和周边环境进行了监测，但监测不规范的</w:t>
            </w:r>
          </w:p>
        </w:tc>
        <w:tc>
          <w:tcPr>
            <w:tcW w:w="2517"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42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只对排污口或者周边环境进行了监测的</w:t>
            </w:r>
          </w:p>
        </w:tc>
        <w:tc>
          <w:tcPr>
            <w:tcW w:w="2517"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42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完全未对排污口和周边环境进行监测的</w:t>
            </w:r>
          </w:p>
        </w:tc>
        <w:tc>
          <w:tcPr>
            <w:tcW w:w="2517"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信息公开</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的及时性</w:t>
            </w:r>
          </w:p>
        </w:tc>
        <w:tc>
          <w:tcPr>
            <w:tcW w:w="542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延迟不到</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日</w:t>
            </w:r>
          </w:p>
        </w:tc>
        <w:tc>
          <w:tcPr>
            <w:tcW w:w="2517"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42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延迟</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日以上，不到</w:t>
            </w:r>
            <w:r>
              <w:rPr>
                <w:rFonts w:ascii="Times New Roman" w:hAnsi="Times New Roman" w:eastAsia="仿宋_GB2312" w:cs="Times New Roman"/>
                <w:color w:val="000000"/>
                <w:highlight w:val="none"/>
              </w:rPr>
              <w:t>30</w:t>
            </w:r>
            <w:r>
              <w:rPr>
                <w:rFonts w:hint="eastAsia" w:ascii="Times New Roman" w:hAnsi="Times New Roman" w:eastAsia="仿宋_GB2312" w:cs="仿宋_GB2312"/>
                <w:color w:val="000000"/>
                <w:highlight w:val="none"/>
              </w:rPr>
              <w:t>日</w:t>
            </w:r>
          </w:p>
        </w:tc>
        <w:tc>
          <w:tcPr>
            <w:tcW w:w="2517"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42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延迟</w:t>
            </w:r>
            <w:r>
              <w:rPr>
                <w:rFonts w:ascii="Times New Roman" w:hAnsi="Times New Roman" w:eastAsia="仿宋_GB2312" w:cs="Times New Roman"/>
                <w:color w:val="000000"/>
                <w:highlight w:val="none"/>
              </w:rPr>
              <w:t>30</w:t>
            </w:r>
            <w:r>
              <w:rPr>
                <w:rFonts w:hint="eastAsia" w:ascii="Times New Roman" w:hAnsi="Times New Roman" w:eastAsia="仿宋_GB2312" w:cs="仿宋_GB2312"/>
                <w:color w:val="000000"/>
                <w:highlight w:val="none"/>
              </w:rPr>
              <w:t>日以上</w:t>
            </w:r>
          </w:p>
        </w:tc>
        <w:tc>
          <w:tcPr>
            <w:tcW w:w="2517"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排放去向</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或区域</w:t>
            </w:r>
          </w:p>
        </w:tc>
        <w:tc>
          <w:tcPr>
            <w:tcW w:w="5421"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Ⅴ</w:t>
            </w:r>
            <w:r>
              <w:rPr>
                <w:rFonts w:hint="eastAsia" w:ascii="Times New Roman" w:hAnsi="Times New Roman" w:eastAsia="仿宋_GB2312" w:cs="仿宋_GB2312"/>
                <w:highlight w:val="none"/>
              </w:rPr>
              <w:t>类水体或污水集中处理设施</w:t>
            </w:r>
          </w:p>
        </w:tc>
        <w:tc>
          <w:tcPr>
            <w:tcW w:w="251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421"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Ⅳ</w:t>
            </w:r>
            <w:r>
              <w:rPr>
                <w:rFonts w:hint="eastAsia" w:ascii="Times New Roman" w:hAnsi="Times New Roman" w:eastAsia="仿宋_GB2312" w:cs="仿宋_GB2312"/>
                <w:highlight w:val="none"/>
              </w:rPr>
              <w:t>类水体</w:t>
            </w:r>
          </w:p>
        </w:tc>
        <w:tc>
          <w:tcPr>
            <w:tcW w:w="251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421"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Ⅲ</w:t>
            </w:r>
            <w:r>
              <w:rPr>
                <w:rFonts w:hint="eastAsia" w:ascii="Times New Roman" w:hAnsi="Times New Roman" w:eastAsia="仿宋_GB2312" w:cs="仿宋_GB2312"/>
                <w:highlight w:val="none"/>
              </w:rPr>
              <w:t>类水体</w:t>
            </w:r>
          </w:p>
        </w:tc>
        <w:tc>
          <w:tcPr>
            <w:tcW w:w="251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421"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Ⅱ</w:t>
            </w:r>
            <w:r>
              <w:rPr>
                <w:rFonts w:hint="eastAsia" w:ascii="Times New Roman" w:hAnsi="Times New Roman" w:eastAsia="仿宋_GB2312" w:cs="仿宋_GB2312"/>
                <w:highlight w:val="none"/>
              </w:rPr>
              <w:t>类水体</w:t>
            </w:r>
          </w:p>
        </w:tc>
        <w:tc>
          <w:tcPr>
            <w:tcW w:w="251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421"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Ⅰ</w:t>
            </w:r>
            <w:r>
              <w:rPr>
                <w:rFonts w:hint="eastAsia" w:ascii="Times New Roman" w:hAnsi="Times New Roman" w:eastAsia="仿宋_GB2312" w:cs="仿宋_GB2312"/>
                <w:highlight w:val="none"/>
              </w:rPr>
              <w:t>类水体</w:t>
            </w:r>
          </w:p>
        </w:tc>
        <w:tc>
          <w:tcPr>
            <w:tcW w:w="251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jc w:val="center"/>
              <w:rPr>
                <w:rFonts w:ascii="Times New Roman" w:hAnsi="Times New Roman" w:cs="Times New Roman"/>
                <w:highlight w:val="none"/>
              </w:rPr>
            </w:pPr>
          </w:p>
        </w:tc>
      </w:tr>
    </w:tbl>
    <w:p>
      <w:pPr>
        <w:widowControl/>
        <w:snapToGrid w:val="0"/>
        <w:ind w:firstLine="420" w:firstLineChars="200"/>
        <w:jc w:val="left"/>
        <w:rPr>
          <w:rFonts w:ascii="Times New Roman" w:hAnsi="Times New Roman" w:eastAsia="仿宋_GB2312" w:cs="Times New Roman"/>
          <w:color w:val="000000"/>
          <w:sz w:val="10"/>
          <w:szCs w:val="10"/>
          <w:highlight w:val="none"/>
        </w:rPr>
      </w:pPr>
      <w:r>
        <w:rPr>
          <w:rFonts w:ascii="Times New Roman" w:hAnsi="Times New Roman" w:cs="Times New Roman"/>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812"/>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（三）水污染防治类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ind w:firstLine="42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未依法取得排污许可证或者违反排污许可证的规定排放水污染物的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snapToGrid w:val="0"/>
              <w:spacing w:before="62" w:beforeLines="20" w:line="288" w:lineRule="auto"/>
              <w:ind w:firstLine="420"/>
              <w:rPr>
                <w:rFonts w:ascii="Times New Roman" w:hAnsi="Times New Roman" w:eastAsia="仿宋_GB2312" w:cs="Times New Roman"/>
                <w:highlight w:val="none"/>
              </w:rPr>
            </w:pPr>
            <w:r>
              <w:rPr>
                <w:rFonts w:ascii="Times New Roman" w:hAnsi="Times New Roman" w:eastAsia="仿宋_GB2312" w:cs="Times New Roman"/>
                <w:b/>
                <w:bCs/>
                <w:highlight w:val="none"/>
              </w:rPr>
              <w:t>1.</w:t>
            </w:r>
            <w:r>
              <w:rPr>
                <w:rFonts w:hint="eastAsia" w:ascii="Times New Roman" w:hAnsi="Times New Roman" w:eastAsia="仿宋_GB2312" w:cs="仿宋_GB2312"/>
                <w:b/>
                <w:bCs/>
                <w:highlight w:val="none"/>
              </w:rPr>
              <w:t>《中华人民共和国水污染防治法》第二十一条</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直接或者间接向水体排放工业废水和医疗污水以及其他按照规定应当取得排污许可证方可排放的废水、污水的企业事业单位和其他生产经营者，应当取得排污许可证</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城镇污水集中处理设施的运营单位，也应当取得排污许可证。排污许可证应当明确排放水污染物的种类、浓度、总量和排放去向等要求。排污许可的具体办法由国务院规定。</w:t>
            </w:r>
          </w:p>
          <w:p>
            <w:pPr>
              <w:snapToGrid w:val="0"/>
              <w:spacing w:line="288" w:lineRule="auto"/>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禁止企业事业单位和其他生产经营者无排污许可证或者违反排污许可证的规定向水体排放前款规定的废水、污水。</w:t>
            </w:r>
          </w:p>
          <w:p>
            <w:pPr>
              <w:snapToGrid w:val="0"/>
              <w:spacing w:line="288" w:lineRule="auto"/>
              <w:ind w:firstLine="420"/>
              <w:rPr>
                <w:rFonts w:ascii="Times New Roman" w:hAnsi="Times New Roman" w:eastAsia="仿宋_GB2312" w:cs="Times New Roman"/>
                <w:highlight w:val="none"/>
              </w:rPr>
            </w:pPr>
            <w:r>
              <w:rPr>
                <w:rFonts w:ascii="Times New Roman" w:hAnsi="Times New Roman" w:eastAsia="仿宋_GB2312" w:cs="Times New Roman"/>
                <w:b/>
                <w:bCs/>
                <w:highlight w:val="none"/>
              </w:rPr>
              <w:t>2.</w:t>
            </w:r>
            <w:r>
              <w:rPr>
                <w:rFonts w:hint="eastAsia" w:ascii="Times New Roman" w:hAnsi="Times New Roman" w:eastAsia="仿宋_GB2312" w:cs="仿宋_GB2312"/>
                <w:b/>
                <w:bCs/>
                <w:highlight w:val="none"/>
              </w:rPr>
              <w:t>《山东省水污染防治条例》第十九条</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实行排污许可管理制度。按照国家规定实行排污许可管理的企业事业单位和其他生产经营者，应当依法取得排污许可证，并按照排污许可证规定的污染物种类、浓度、排放去向和许可排放量等要求排放水污染物。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snapToGrid w:val="0"/>
              <w:spacing w:before="62" w:beforeLines="20" w:line="288" w:lineRule="auto"/>
              <w:ind w:firstLine="420"/>
              <w:rPr>
                <w:rFonts w:ascii="Times New Roman" w:hAnsi="Times New Roman" w:eastAsia="仿宋_GB2312" w:cs="Times New Roman"/>
                <w:highlight w:val="none"/>
              </w:rPr>
            </w:pPr>
            <w:r>
              <w:rPr>
                <w:rFonts w:ascii="Times New Roman" w:hAnsi="Times New Roman" w:eastAsia="仿宋_GB2312" w:cs="Times New Roman"/>
                <w:b/>
                <w:bCs/>
                <w:highlight w:val="none"/>
              </w:rPr>
              <w:t>1.</w:t>
            </w:r>
            <w:r>
              <w:rPr>
                <w:rFonts w:hint="eastAsia" w:ascii="Times New Roman" w:hAnsi="Times New Roman" w:eastAsia="仿宋_GB2312" w:cs="仿宋_GB2312"/>
                <w:b/>
                <w:bCs/>
                <w:highlight w:val="none"/>
              </w:rPr>
              <w:t>《中华人民共和国水污染防治法》第八十三条第（一）项</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违反本法规定，有下列行为之一的，由县级以上人民政府环境保护主管部门责令改正或者责令限制生产、停产整治，并处十万元以上一百万元以下的罚款；情节严重的，报经有批准权的人民政府批准，责令停业、关闭：</w:t>
            </w:r>
          </w:p>
          <w:p>
            <w:pPr>
              <w:snapToGrid w:val="0"/>
              <w:spacing w:line="288" w:lineRule="auto"/>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（一）未依法取得排污许可证排放水污染物的。</w:t>
            </w:r>
          </w:p>
          <w:p>
            <w:pPr>
              <w:snapToGrid w:val="0"/>
              <w:spacing w:line="288" w:lineRule="auto"/>
              <w:ind w:firstLine="420"/>
              <w:rPr>
                <w:rFonts w:ascii="Times New Roman" w:hAnsi="Times New Roman" w:eastAsia="仿宋_GB2312" w:cs="Times New Roman"/>
                <w:highlight w:val="none"/>
              </w:rPr>
            </w:pPr>
            <w:r>
              <w:rPr>
                <w:rFonts w:ascii="Times New Roman" w:hAnsi="Times New Roman" w:eastAsia="仿宋_GB2312" w:cs="Times New Roman"/>
                <w:b/>
                <w:bCs/>
                <w:highlight w:val="none"/>
              </w:rPr>
              <w:t>2.</w:t>
            </w:r>
            <w:r>
              <w:rPr>
                <w:rFonts w:hint="eastAsia" w:ascii="Times New Roman" w:hAnsi="Times New Roman" w:eastAsia="仿宋_GB2312" w:cs="仿宋_GB2312"/>
                <w:b/>
                <w:bCs/>
                <w:highlight w:val="none"/>
              </w:rPr>
              <w:t>《山东省水污染防治条例》第七十五条第（一）项</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违反本条例规定，有下列情形之一的，由县级以上人民政府环境保护主管部门责令改正或者责令限制生产、停产整治，并处十万元以上一百万元以下的罚款；情节严重的，报经有批准权的人民政府批准，责令停业、关闭：</w:t>
            </w:r>
          </w:p>
          <w:p>
            <w:pPr>
              <w:snapToGrid w:val="0"/>
              <w:spacing w:line="288" w:lineRule="auto"/>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（一）无排污许可证或者违反排污许可证的规定排放水污染物的。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812"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12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排污单位</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管理类别★</w:t>
            </w:r>
          </w:p>
        </w:tc>
        <w:tc>
          <w:tcPr>
            <w:tcW w:w="5812"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简化管理</w:t>
            </w:r>
          </w:p>
        </w:tc>
        <w:tc>
          <w:tcPr>
            <w:tcW w:w="2126"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812"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重点管理</w:t>
            </w:r>
          </w:p>
        </w:tc>
        <w:tc>
          <w:tcPr>
            <w:tcW w:w="2126"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812"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重点管理（含</w:t>
            </w:r>
            <w:r>
              <w:rPr>
                <w:rFonts w:ascii="Times New Roman" w:hAnsi="Times New Roman" w:eastAsia="仿宋_GB2312" w:cs="Times New Roman"/>
                <w:color w:val="000000"/>
                <w:highlight w:val="none"/>
              </w:rPr>
              <w:t>有毒有害水污染物的）</w:t>
            </w:r>
          </w:p>
        </w:tc>
        <w:tc>
          <w:tcPr>
            <w:tcW w:w="2126"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排放去向或区域</w:t>
            </w:r>
          </w:p>
        </w:tc>
        <w:tc>
          <w:tcPr>
            <w:tcW w:w="5812"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Ⅴ</w:t>
            </w:r>
            <w:r>
              <w:rPr>
                <w:rFonts w:hint="eastAsia" w:ascii="Times New Roman" w:hAnsi="Times New Roman" w:eastAsia="仿宋_GB2312" w:cs="仿宋_GB2312"/>
                <w:highlight w:val="none"/>
              </w:rPr>
              <w:t>类水体或污水集中处理设施</w:t>
            </w:r>
          </w:p>
        </w:tc>
        <w:tc>
          <w:tcPr>
            <w:tcW w:w="2126"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ind w:firstLine="422"/>
              <w:jc w:val="center"/>
              <w:rPr>
                <w:rFonts w:ascii="Times New Roman" w:hAnsi="Times New Roman" w:cs="Times New Roman"/>
                <w:b/>
                <w:bCs/>
                <w:highlight w:val="none"/>
              </w:rPr>
            </w:pPr>
          </w:p>
        </w:tc>
        <w:tc>
          <w:tcPr>
            <w:tcW w:w="5812"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Ⅳ</w:t>
            </w:r>
            <w:r>
              <w:rPr>
                <w:rFonts w:hint="eastAsia" w:ascii="Times New Roman" w:hAnsi="Times New Roman" w:eastAsia="仿宋_GB2312" w:cs="仿宋_GB2312"/>
                <w:highlight w:val="none"/>
              </w:rPr>
              <w:t>类水体</w:t>
            </w:r>
          </w:p>
        </w:tc>
        <w:tc>
          <w:tcPr>
            <w:tcW w:w="2126"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ind w:firstLine="422"/>
              <w:jc w:val="center"/>
              <w:rPr>
                <w:rFonts w:ascii="Times New Roman" w:hAnsi="Times New Roman" w:cs="Times New Roman"/>
                <w:b/>
                <w:bCs/>
                <w:highlight w:val="none"/>
              </w:rPr>
            </w:pPr>
          </w:p>
        </w:tc>
        <w:tc>
          <w:tcPr>
            <w:tcW w:w="5812"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Ⅲ</w:t>
            </w:r>
            <w:r>
              <w:rPr>
                <w:rFonts w:hint="eastAsia" w:ascii="Times New Roman" w:hAnsi="Times New Roman" w:eastAsia="仿宋_GB2312" w:cs="仿宋_GB2312"/>
                <w:highlight w:val="none"/>
              </w:rPr>
              <w:t>类水体</w:t>
            </w:r>
          </w:p>
        </w:tc>
        <w:tc>
          <w:tcPr>
            <w:tcW w:w="2126"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812"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Ⅱ</w:t>
            </w:r>
            <w:r>
              <w:rPr>
                <w:rFonts w:hint="eastAsia" w:ascii="Times New Roman" w:hAnsi="Times New Roman" w:eastAsia="仿宋_GB2312" w:cs="仿宋_GB2312"/>
                <w:highlight w:val="none"/>
              </w:rPr>
              <w:t>类水体</w:t>
            </w:r>
          </w:p>
        </w:tc>
        <w:tc>
          <w:tcPr>
            <w:tcW w:w="2126"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812"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Ⅰ</w:t>
            </w:r>
            <w:r>
              <w:rPr>
                <w:rFonts w:hint="eastAsia" w:ascii="Times New Roman" w:hAnsi="Times New Roman" w:eastAsia="仿宋_GB2312" w:cs="仿宋_GB2312"/>
                <w:highlight w:val="none"/>
              </w:rPr>
              <w:t>类水体</w:t>
            </w:r>
          </w:p>
        </w:tc>
        <w:tc>
          <w:tcPr>
            <w:tcW w:w="2126"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违法持续</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时间</w:t>
            </w:r>
          </w:p>
        </w:tc>
        <w:tc>
          <w:tcPr>
            <w:tcW w:w="5812"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w:t>
            </w:r>
          </w:p>
        </w:tc>
        <w:tc>
          <w:tcPr>
            <w:tcW w:w="2126"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812" w:type="dxa"/>
            <w:vAlign w:val="center"/>
          </w:tcPr>
          <w:p>
            <w:pPr>
              <w:snapToGrid w:val="0"/>
              <w:jc w:val="center"/>
              <w:rPr>
                <w:rFonts w:ascii="Times New Roman" w:hAnsi="Times New Roman" w:eastAsia="仿宋_GB2312" w:cs="Times New Roman"/>
                <w:b/>
                <w:bCs/>
                <w:color w:val="000000"/>
                <w:highlight w:val="none"/>
              </w:rPr>
            </w:pP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个月以上不足</w:t>
            </w: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w:t>
            </w:r>
          </w:p>
        </w:tc>
        <w:tc>
          <w:tcPr>
            <w:tcW w:w="2126"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812" w:type="dxa"/>
            <w:vAlign w:val="center"/>
          </w:tcPr>
          <w:p>
            <w:pPr>
              <w:snapToGrid w:val="0"/>
              <w:jc w:val="center"/>
              <w:rPr>
                <w:rFonts w:ascii="Times New Roman" w:hAnsi="Times New Roman" w:eastAsia="仿宋_GB2312" w:cs="Times New Roman"/>
                <w:b/>
                <w:bCs/>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个月以上</w:t>
            </w:r>
          </w:p>
        </w:tc>
        <w:tc>
          <w:tcPr>
            <w:tcW w:w="2126"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废水类别</w:t>
            </w:r>
          </w:p>
        </w:tc>
        <w:tc>
          <w:tcPr>
            <w:tcW w:w="5812"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生活废水</w:t>
            </w:r>
          </w:p>
        </w:tc>
        <w:tc>
          <w:tcPr>
            <w:tcW w:w="2126"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812"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服务业废水</w:t>
            </w:r>
          </w:p>
        </w:tc>
        <w:tc>
          <w:tcPr>
            <w:tcW w:w="2126"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812"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一般工业废水</w:t>
            </w:r>
          </w:p>
        </w:tc>
        <w:tc>
          <w:tcPr>
            <w:tcW w:w="2126"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812"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含其他有毒有害物质的废水、医疗废水</w:t>
            </w:r>
          </w:p>
        </w:tc>
        <w:tc>
          <w:tcPr>
            <w:tcW w:w="2126"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812"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含一类污染物或重金属、病原体、放射性物质的废水</w:t>
            </w:r>
          </w:p>
        </w:tc>
        <w:tc>
          <w:tcPr>
            <w:tcW w:w="2126"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排污超标</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状况</w:t>
            </w:r>
          </w:p>
        </w:tc>
        <w:tc>
          <w:tcPr>
            <w:tcW w:w="5812"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超标</w:t>
            </w:r>
            <w:r>
              <w:rPr>
                <w:rFonts w:ascii="Times New Roman" w:hAnsi="Times New Roman" w:eastAsia="仿宋_GB2312" w:cs="Times New Roman"/>
                <w:color w:val="000000"/>
                <w:highlight w:val="none"/>
              </w:rPr>
              <w:t>0.5</w:t>
            </w:r>
            <w:r>
              <w:rPr>
                <w:rFonts w:hint="eastAsia" w:ascii="Times New Roman" w:hAnsi="Times New Roman" w:eastAsia="仿宋_GB2312" w:cs="仿宋_GB2312"/>
                <w:color w:val="000000"/>
                <w:highlight w:val="none"/>
              </w:rPr>
              <w:t>倍以下</w:t>
            </w:r>
          </w:p>
        </w:tc>
        <w:tc>
          <w:tcPr>
            <w:tcW w:w="2126"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812"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超标</w:t>
            </w:r>
            <w:r>
              <w:rPr>
                <w:rFonts w:ascii="Times New Roman" w:hAnsi="Times New Roman" w:eastAsia="仿宋_GB2312" w:cs="Times New Roman"/>
                <w:color w:val="000000"/>
                <w:highlight w:val="none"/>
              </w:rPr>
              <w:t>0.5</w:t>
            </w:r>
            <w:r>
              <w:rPr>
                <w:rFonts w:hint="eastAsia" w:ascii="Times New Roman" w:hAnsi="Times New Roman" w:eastAsia="仿宋_GB2312" w:cs="仿宋_GB2312"/>
                <w:color w:val="000000"/>
                <w:highlight w:val="none"/>
              </w:rPr>
              <w:t>倍以上</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倍以下（</w:t>
            </w:r>
            <w:r>
              <w:rPr>
                <w:rFonts w:ascii="Times New Roman" w:hAnsi="Times New Roman" w:eastAsia="仿宋_GB2312" w:cs="Times New Roman"/>
                <w:color w:val="000000"/>
                <w:highlight w:val="none"/>
              </w:rPr>
              <w:t>pH</w:t>
            </w:r>
            <w:r>
              <w:rPr>
                <w:rFonts w:hint="eastAsia" w:ascii="Times New Roman" w:hAnsi="Times New Roman" w:eastAsia="仿宋_GB2312" w:cs="仿宋_GB2312"/>
                <w:color w:val="000000"/>
                <w:highlight w:val="none"/>
              </w:rPr>
              <w:t>值</w:t>
            </w:r>
            <w:r>
              <w:rPr>
                <w:rFonts w:ascii="Times New Roman" w:hAnsi="Times New Roman" w:eastAsia="仿宋_GB2312" w:cs="Times New Roman"/>
                <w:color w:val="000000"/>
                <w:highlight w:val="none"/>
              </w:rPr>
              <w:t>9-10</w:t>
            </w:r>
            <w:r>
              <w:rPr>
                <w:rFonts w:hint="eastAsia" w:ascii="Times New Roman" w:hAnsi="Times New Roman" w:eastAsia="仿宋_GB2312" w:cs="仿宋_GB2312"/>
                <w:color w:val="000000"/>
                <w:highlight w:val="none"/>
              </w:rPr>
              <w:t>或</w:t>
            </w:r>
            <w:r>
              <w:rPr>
                <w:rFonts w:ascii="Times New Roman" w:hAnsi="Times New Roman" w:eastAsia="仿宋_GB2312" w:cs="Times New Roman"/>
                <w:color w:val="000000"/>
                <w:highlight w:val="none"/>
              </w:rPr>
              <w:t>pH</w:t>
            </w:r>
            <w:r>
              <w:rPr>
                <w:rFonts w:hint="eastAsia" w:ascii="Times New Roman" w:hAnsi="Times New Roman" w:eastAsia="仿宋_GB2312" w:cs="仿宋_GB2312"/>
                <w:color w:val="000000"/>
                <w:highlight w:val="none"/>
              </w:rPr>
              <w:t>值</w:t>
            </w:r>
            <w:r>
              <w:rPr>
                <w:rFonts w:ascii="Times New Roman" w:hAnsi="Times New Roman" w:eastAsia="仿宋_GB2312" w:cs="Times New Roman"/>
                <w:color w:val="000000"/>
                <w:highlight w:val="none"/>
              </w:rPr>
              <w:t>5-6</w:t>
            </w:r>
            <w:r>
              <w:rPr>
                <w:rFonts w:hint="eastAsia" w:ascii="Times New Roman" w:hAnsi="Times New Roman" w:eastAsia="仿宋_GB2312" w:cs="仿宋_GB2312"/>
                <w:color w:val="000000"/>
                <w:highlight w:val="none"/>
              </w:rPr>
              <w:t>）</w:t>
            </w:r>
          </w:p>
        </w:tc>
        <w:tc>
          <w:tcPr>
            <w:tcW w:w="2126"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812"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超标</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倍以上</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倍以下（</w:t>
            </w:r>
            <w:r>
              <w:rPr>
                <w:rFonts w:ascii="Times New Roman" w:hAnsi="Times New Roman" w:eastAsia="仿宋_GB2312" w:cs="Times New Roman"/>
                <w:color w:val="000000"/>
                <w:highlight w:val="none"/>
              </w:rPr>
              <w:t>pH</w:t>
            </w:r>
            <w:r>
              <w:rPr>
                <w:rFonts w:hint="eastAsia" w:ascii="Times New Roman" w:hAnsi="Times New Roman" w:eastAsia="仿宋_GB2312" w:cs="仿宋_GB2312"/>
                <w:color w:val="000000"/>
                <w:highlight w:val="none"/>
              </w:rPr>
              <w:t>值</w:t>
            </w:r>
            <w:r>
              <w:rPr>
                <w:rFonts w:ascii="Times New Roman" w:hAnsi="Times New Roman" w:eastAsia="仿宋_GB2312" w:cs="Times New Roman"/>
                <w:color w:val="000000"/>
                <w:highlight w:val="none"/>
              </w:rPr>
              <w:t>10-11</w:t>
            </w:r>
            <w:r>
              <w:rPr>
                <w:rFonts w:hint="eastAsia" w:ascii="Times New Roman" w:hAnsi="Times New Roman" w:eastAsia="仿宋_GB2312" w:cs="仿宋_GB2312"/>
                <w:color w:val="000000"/>
                <w:highlight w:val="none"/>
              </w:rPr>
              <w:t>或</w:t>
            </w:r>
            <w:r>
              <w:rPr>
                <w:rFonts w:ascii="Times New Roman" w:hAnsi="Times New Roman" w:eastAsia="仿宋_GB2312" w:cs="Times New Roman"/>
                <w:color w:val="000000"/>
                <w:highlight w:val="none"/>
              </w:rPr>
              <w:t>pH</w:t>
            </w:r>
            <w:r>
              <w:rPr>
                <w:rFonts w:hint="eastAsia" w:ascii="Times New Roman" w:hAnsi="Times New Roman" w:eastAsia="仿宋_GB2312" w:cs="仿宋_GB2312"/>
                <w:color w:val="000000"/>
                <w:highlight w:val="none"/>
              </w:rPr>
              <w:t>值</w:t>
            </w:r>
            <w:r>
              <w:rPr>
                <w:rFonts w:ascii="Times New Roman" w:hAnsi="Times New Roman" w:eastAsia="仿宋_GB2312" w:cs="Times New Roman"/>
                <w:color w:val="000000"/>
                <w:highlight w:val="none"/>
              </w:rPr>
              <w:t>4-5</w:t>
            </w:r>
            <w:r>
              <w:rPr>
                <w:rFonts w:hint="eastAsia" w:ascii="Times New Roman" w:hAnsi="Times New Roman" w:eastAsia="仿宋_GB2312" w:cs="仿宋_GB2312"/>
                <w:color w:val="000000"/>
                <w:highlight w:val="none"/>
              </w:rPr>
              <w:t>）</w:t>
            </w:r>
          </w:p>
        </w:tc>
        <w:tc>
          <w:tcPr>
            <w:tcW w:w="2126"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812"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超标</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倍以上</w:t>
            </w: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倍以下（</w:t>
            </w:r>
            <w:r>
              <w:rPr>
                <w:rFonts w:ascii="Times New Roman" w:hAnsi="Times New Roman" w:eastAsia="仿宋_GB2312" w:cs="Times New Roman"/>
                <w:color w:val="000000"/>
                <w:highlight w:val="none"/>
              </w:rPr>
              <w:t>pH</w:t>
            </w:r>
            <w:r>
              <w:rPr>
                <w:rFonts w:hint="eastAsia" w:ascii="Times New Roman" w:hAnsi="Times New Roman" w:eastAsia="仿宋_GB2312" w:cs="仿宋_GB2312"/>
                <w:color w:val="000000"/>
                <w:highlight w:val="none"/>
              </w:rPr>
              <w:t>值</w:t>
            </w:r>
            <w:r>
              <w:rPr>
                <w:rFonts w:ascii="Times New Roman" w:hAnsi="Times New Roman" w:eastAsia="仿宋_GB2312" w:cs="Times New Roman"/>
                <w:color w:val="000000"/>
                <w:highlight w:val="none"/>
              </w:rPr>
              <w:t>11-12.5</w:t>
            </w:r>
            <w:r>
              <w:rPr>
                <w:rFonts w:hint="eastAsia" w:ascii="Times New Roman" w:hAnsi="Times New Roman" w:eastAsia="仿宋_GB2312" w:cs="仿宋_GB2312"/>
                <w:color w:val="000000"/>
                <w:highlight w:val="none"/>
              </w:rPr>
              <w:t>或</w:t>
            </w:r>
            <w:r>
              <w:rPr>
                <w:rFonts w:ascii="Times New Roman" w:hAnsi="Times New Roman" w:eastAsia="仿宋_GB2312" w:cs="Times New Roman"/>
                <w:color w:val="000000"/>
                <w:highlight w:val="none"/>
              </w:rPr>
              <w:t>pH</w:t>
            </w:r>
            <w:r>
              <w:rPr>
                <w:rFonts w:hint="eastAsia" w:ascii="Times New Roman" w:hAnsi="Times New Roman" w:eastAsia="仿宋_GB2312" w:cs="仿宋_GB2312"/>
                <w:color w:val="000000"/>
                <w:highlight w:val="none"/>
              </w:rPr>
              <w:t>值</w:t>
            </w:r>
            <w:r>
              <w:rPr>
                <w:rFonts w:ascii="Times New Roman" w:hAnsi="Times New Roman" w:eastAsia="仿宋_GB2312" w:cs="Times New Roman"/>
                <w:color w:val="000000"/>
                <w:highlight w:val="none"/>
              </w:rPr>
              <w:t>2-4</w:t>
            </w:r>
            <w:r>
              <w:rPr>
                <w:rFonts w:hint="eastAsia" w:ascii="Times New Roman" w:hAnsi="Times New Roman" w:eastAsia="仿宋_GB2312" w:cs="仿宋_GB2312"/>
                <w:color w:val="000000"/>
                <w:highlight w:val="none"/>
              </w:rPr>
              <w:t>）</w:t>
            </w:r>
          </w:p>
        </w:tc>
        <w:tc>
          <w:tcPr>
            <w:tcW w:w="2126"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812"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超标</w:t>
            </w: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倍以上（</w:t>
            </w:r>
            <w:r>
              <w:rPr>
                <w:rFonts w:ascii="Times New Roman" w:hAnsi="Times New Roman" w:eastAsia="仿宋_GB2312" w:cs="Times New Roman"/>
                <w:color w:val="000000"/>
                <w:highlight w:val="none"/>
              </w:rPr>
              <w:t>pH</w:t>
            </w:r>
            <w:r>
              <w:rPr>
                <w:rFonts w:hint="eastAsia" w:ascii="Times New Roman" w:hAnsi="Times New Roman" w:eastAsia="仿宋_GB2312" w:cs="仿宋_GB2312"/>
                <w:color w:val="000000"/>
                <w:highlight w:val="none"/>
              </w:rPr>
              <w:t>值</w:t>
            </w:r>
            <w:r>
              <w:rPr>
                <w:rFonts w:ascii="Times New Roman" w:hAnsi="Times New Roman" w:eastAsia="仿宋_GB2312" w:cs="Times New Roman"/>
                <w:color w:val="000000"/>
                <w:highlight w:val="none"/>
              </w:rPr>
              <w:t>12.5</w:t>
            </w:r>
            <w:r>
              <w:rPr>
                <w:rFonts w:hint="eastAsia" w:ascii="Times New Roman" w:hAnsi="Times New Roman" w:eastAsia="仿宋_GB2312" w:cs="仿宋_GB2312"/>
                <w:color w:val="000000"/>
                <w:highlight w:val="none"/>
              </w:rPr>
              <w:t>以上或</w:t>
            </w:r>
            <w:r>
              <w:rPr>
                <w:rFonts w:ascii="Times New Roman" w:hAnsi="Times New Roman" w:eastAsia="仿宋_GB2312" w:cs="Times New Roman"/>
                <w:color w:val="000000"/>
                <w:highlight w:val="none"/>
              </w:rPr>
              <w:t>pH</w:t>
            </w:r>
            <w:r>
              <w:rPr>
                <w:rFonts w:hint="eastAsia" w:ascii="Times New Roman" w:hAnsi="Times New Roman" w:eastAsia="仿宋_GB2312" w:cs="仿宋_GB2312"/>
                <w:color w:val="000000"/>
                <w:highlight w:val="none"/>
              </w:rPr>
              <w:t>值</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以下）</w:t>
            </w:r>
          </w:p>
        </w:tc>
        <w:tc>
          <w:tcPr>
            <w:tcW w:w="2126"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left"/>
              <w:rPr>
                <w:rFonts w:ascii="Times New Roman" w:hAnsi="Times New Roman" w:cs="Times New Roman"/>
                <w:color w:val="FF0000"/>
                <w:highlight w:val="none"/>
              </w:rPr>
            </w:pPr>
            <w:r>
              <w:rPr>
                <w:rFonts w:hint="eastAsia" w:ascii="Times New Roman" w:hAnsi="Times New Roman" w:eastAsia="仿宋_GB2312" w:cs="Times New Roman"/>
                <w:color w:val="000000"/>
                <w:highlight w:val="none"/>
              </w:rPr>
              <w:t>根据《排污许可管理条例》，应</w:t>
            </w:r>
            <w:r>
              <w:rPr>
                <w:rFonts w:ascii="Times New Roman" w:hAnsi="Times New Roman" w:eastAsia="仿宋_GB2312" w:cs="Times New Roman"/>
                <w:color w:val="000000"/>
                <w:highlight w:val="none"/>
              </w:rPr>
              <w:t>纳入排污许可证管理的排污单位</w:t>
            </w:r>
            <w:r>
              <w:rPr>
                <w:rFonts w:hint="eastAsia" w:ascii="Times New Roman" w:hAnsi="Times New Roman" w:eastAsia="仿宋_GB2312" w:cs="Times New Roman"/>
                <w:color w:val="000000"/>
                <w:highlight w:val="none"/>
              </w:rPr>
              <w:t>N值（法定罚款金额下限）取20万元。</w:t>
            </w:r>
          </w:p>
        </w:tc>
      </w:tr>
    </w:tbl>
    <w:p>
      <w:pPr>
        <w:widowControl/>
        <w:snapToGrid w:val="0"/>
        <w:spacing w:line="312" w:lineRule="auto"/>
        <w:ind w:firstLine="420" w:firstLineChars="200"/>
        <w:jc w:val="left"/>
        <w:rPr>
          <w:rFonts w:ascii="Times New Roman" w:hAnsi="Times New Roman" w:eastAsia="仿宋_GB2312" w:cs="Times New Roman"/>
          <w:color w:val="000000"/>
          <w:sz w:val="10"/>
          <w:szCs w:val="10"/>
          <w:highlight w:val="none"/>
        </w:rPr>
      </w:pPr>
      <w:r>
        <w:rPr>
          <w:rFonts w:ascii="Times New Roman" w:hAnsi="Times New Roman" w:cs="Times New Roman"/>
          <w:highlight w:val="none"/>
        </w:rPr>
        <w:br w:type="page"/>
      </w:r>
    </w:p>
    <w:tbl>
      <w:tblPr>
        <w:tblStyle w:val="14"/>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5626"/>
        <w:gridCol w:w="2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40" w:type="dxa"/>
            <w:gridSpan w:val="3"/>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（三）水污染防治类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68"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7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68"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72" w:type="dxa"/>
            <w:gridSpan w:val="2"/>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超过水污染物排放标准排放水污染物的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68"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72" w:type="dxa"/>
            <w:gridSpan w:val="2"/>
          </w:tcPr>
          <w:p>
            <w:pPr>
              <w:pStyle w:val="12"/>
              <w:snapToGrid w:val="0"/>
              <w:spacing w:before="62" w:beforeLines="20" w:beforeAutospacing="0" w:after="0" w:afterAutospacing="0" w:line="288" w:lineRule="auto"/>
              <w:ind w:firstLine="357"/>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sz w:val="21"/>
                <w:szCs w:val="21"/>
                <w:highlight w:val="none"/>
              </w:rPr>
              <w:t>《</w:t>
            </w:r>
            <w:r>
              <w:rPr>
                <w:rFonts w:hint="eastAsia" w:ascii="Times New Roman" w:hAnsi="Times New Roman" w:eastAsia="仿宋_GB2312" w:cs="仿宋_GB2312"/>
                <w:b/>
                <w:bCs/>
                <w:kern w:val="2"/>
                <w:sz w:val="21"/>
                <w:szCs w:val="21"/>
                <w:highlight w:val="none"/>
              </w:rPr>
              <w:t>中华人民共和国水污染防治法》第十条</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排放水污染物，不得超过国家或者地方规定的水污染物排放标准和重点水污染物排放总量控制指标。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68"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72" w:type="dxa"/>
            <w:gridSpan w:val="2"/>
          </w:tcPr>
          <w:p>
            <w:pPr>
              <w:snapToGrid w:val="0"/>
              <w:spacing w:before="62" w:beforeLines="20" w:line="288"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《中华人民共和国水污染防治法》第八十三条第（二）项</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违反本法规定，有下列行为之一的，由县级以上人民政府环境保护主管部门责令改正或者责令限制生产、停产整治，并处十万元以上一百万元以下的罚款；情节严重的，报经有批准权的人民政府批准，责令停业、关闭：</w:t>
            </w:r>
          </w:p>
          <w:p>
            <w:pPr>
              <w:snapToGrid w:val="0"/>
              <w:spacing w:line="288" w:lineRule="auto"/>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（二）超过水污染物排放标准或者超过重点水污染物排放总量控制指标排放水污染物的。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68"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62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346" w:type="dxa"/>
            <w:vAlign w:val="center"/>
          </w:tcPr>
          <w:p>
            <w:pPr>
              <w:snapToGrid w:val="0"/>
              <w:ind w:firstLine="422"/>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68" w:type="dxa"/>
            <w:vMerge w:val="restart"/>
            <w:vAlign w:val="center"/>
          </w:tcPr>
          <w:p>
            <w:pPr>
              <w:snapToGrid w:val="0"/>
              <w:jc w:val="center"/>
              <w:rPr>
                <w:rFonts w:ascii="Times New Roman" w:hAnsi="Times New Roman" w:cs="宋体"/>
                <w:b/>
                <w:bCs/>
                <w:color w:val="000000"/>
                <w:highlight w:val="none"/>
              </w:rPr>
            </w:pPr>
            <w:r>
              <w:rPr>
                <w:rFonts w:hint="eastAsia" w:ascii="Times New Roman" w:hAnsi="Times New Roman" w:cs="宋体"/>
                <w:b/>
                <w:bCs/>
                <w:color w:val="000000"/>
                <w:highlight w:val="none"/>
              </w:rPr>
              <w:t>排污超标状况★</w:t>
            </w:r>
          </w:p>
        </w:tc>
        <w:tc>
          <w:tcPr>
            <w:tcW w:w="5626"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超标</w:t>
            </w:r>
            <w:r>
              <w:rPr>
                <w:rFonts w:ascii="Times New Roman" w:hAnsi="Times New Roman" w:eastAsia="仿宋_GB2312" w:cs="Times New Roman"/>
                <w:color w:val="000000"/>
                <w:highlight w:val="none"/>
              </w:rPr>
              <w:t>0.5</w:t>
            </w:r>
            <w:r>
              <w:rPr>
                <w:rFonts w:hint="eastAsia" w:ascii="Times New Roman" w:hAnsi="Times New Roman" w:eastAsia="仿宋_GB2312" w:cs="仿宋_GB2312"/>
                <w:color w:val="000000"/>
                <w:highlight w:val="none"/>
              </w:rPr>
              <w:t>倍以下</w:t>
            </w:r>
          </w:p>
        </w:tc>
        <w:tc>
          <w:tcPr>
            <w:tcW w:w="2346"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68" w:type="dxa"/>
            <w:vMerge w:val="continue"/>
            <w:vAlign w:val="center"/>
          </w:tcPr>
          <w:p>
            <w:pPr>
              <w:snapToGrid w:val="0"/>
              <w:jc w:val="center"/>
              <w:rPr>
                <w:rFonts w:ascii="Times New Roman" w:hAnsi="Times New Roman" w:cs="宋体"/>
                <w:b/>
                <w:bCs/>
                <w:color w:val="000000"/>
                <w:highlight w:val="none"/>
              </w:rPr>
            </w:pPr>
          </w:p>
        </w:tc>
        <w:tc>
          <w:tcPr>
            <w:tcW w:w="5626"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超标</w:t>
            </w:r>
            <w:r>
              <w:rPr>
                <w:rFonts w:ascii="Times New Roman" w:hAnsi="Times New Roman" w:eastAsia="仿宋_GB2312" w:cs="Times New Roman"/>
                <w:color w:val="000000"/>
                <w:highlight w:val="none"/>
              </w:rPr>
              <w:t>0.5</w:t>
            </w:r>
            <w:r>
              <w:rPr>
                <w:rFonts w:hint="eastAsia" w:ascii="Times New Roman" w:hAnsi="Times New Roman" w:eastAsia="仿宋_GB2312" w:cs="仿宋_GB2312"/>
                <w:color w:val="000000"/>
                <w:highlight w:val="none"/>
              </w:rPr>
              <w:t>倍以上</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倍以下（</w:t>
            </w:r>
            <w:r>
              <w:rPr>
                <w:rFonts w:ascii="Times New Roman" w:hAnsi="Times New Roman" w:eastAsia="仿宋_GB2312" w:cs="Times New Roman"/>
                <w:color w:val="000000"/>
                <w:highlight w:val="none"/>
              </w:rPr>
              <w:t>pH</w:t>
            </w:r>
            <w:r>
              <w:rPr>
                <w:rFonts w:hint="eastAsia" w:ascii="Times New Roman" w:hAnsi="Times New Roman" w:eastAsia="仿宋_GB2312" w:cs="仿宋_GB2312"/>
                <w:color w:val="000000"/>
                <w:highlight w:val="none"/>
              </w:rPr>
              <w:t>值</w:t>
            </w:r>
            <w:r>
              <w:rPr>
                <w:rFonts w:ascii="Times New Roman" w:hAnsi="Times New Roman" w:eastAsia="仿宋_GB2312" w:cs="Times New Roman"/>
                <w:color w:val="000000"/>
                <w:highlight w:val="none"/>
              </w:rPr>
              <w:t>9-10</w:t>
            </w:r>
            <w:r>
              <w:rPr>
                <w:rFonts w:hint="eastAsia" w:ascii="Times New Roman" w:hAnsi="Times New Roman" w:eastAsia="仿宋_GB2312" w:cs="仿宋_GB2312"/>
                <w:color w:val="000000"/>
                <w:highlight w:val="none"/>
              </w:rPr>
              <w:t>或</w:t>
            </w:r>
            <w:r>
              <w:rPr>
                <w:rFonts w:ascii="Times New Roman" w:hAnsi="Times New Roman" w:eastAsia="仿宋_GB2312" w:cs="Times New Roman"/>
                <w:color w:val="000000"/>
                <w:highlight w:val="none"/>
              </w:rPr>
              <w:t>pH</w:t>
            </w:r>
            <w:r>
              <w:rPr>
                <w:rFonts w:hint="eastAsia" w:ascii="Times New Roman" w:hAnsi="Times New Roman" w:eastAsia="仿宋_GB2312" w:cs="仿宋_GB2312"/>
                <w:color w:val="000000"/>
                <w:highlight w:val="none"/>
              </w:rPr>
              <w:t>值</w:t>
            </w:r>
            <w:r>
              <w:rPr>
                <w:rFonts w:ascii="Times New Roman" w:hAnsi="Times New Roman" w:eastAsia="仿宋_GB2312" w:cs="Times New Roman"/>
                <w:color w:val="000000"/>
                <w:highlight w:val="none"/>
              </w:rPr>
              <w:t>5-6</w:t>
            </w:r>
            <w:r>
              <w:rPr>
                <w:rFonts w:hint="eastAsia" w:ascii="Times New Roman" w:hAnsi="Times New Roman" w:eastAsia="仿宋_GB2312" w:cs="仿宋_GB2312"/>
                <w:color w:val="000000"/>
                <w:highlight w:val="none"/>
              </w:rPr>
              <w:t>）</w:t>
            </w:r>
          </w:p>
        </w:tc>
        <w:tc>
          <w:tcPr>
            <w:tcW w:w="2346"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68" w:type="dxa"/>
            <w:vMerge w:val="continue"/>
            <w:vAlign w:val="center"/>
          </w:tcPr>
          <w:p>
            <w:pPr>
              <w:snapToGrid w:val="0"/>
              <w:jc w:val="center"/>
              <w:rPr>
                <w:rFonts w:ascii="Times New Roman" w:hAnsi="Times New Roman" w:cs="宋体"/>
                <w:b/>
                <w:bCs/>
                <w:color w:val="000000"/>
                <w:highlight w:val="none"/>
              </w:rPr>
            </w:pPr>
          </w:p>
        </w:tc>
        <w:tc>
          <w:tcPr>
            <w:tcW w:w="5626"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超标</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倍以上</w:t>
            </w: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倍以下（</w:t>
            </w:r>
            <w:r>
              <w:rPr>
                <w:rFonts w:ascii="Times New Roman" w:hAnsi="Times New Roman" w:eastAsia="仿宋_GB2312" w:cs="Times New Roman"/>
                <w:color w:val="000000"/>
                <w:highlight w:val="none"/>
              </w:rPr>
              <w:t>pH</w:t>
            </w:r>
            <w:r>
              <w:rPr>
                <w:rFonts w:hint="eastAsia" w:ascii="Times New Roman" w:hAnsi="Times New Roman" w:eastAsia="仿宋_GB2312" w:cs="仿宋_GB2312"/>
                <w:color w:val="000000"/>
                <w:highlight w:val="none"/>
              </w:rPr>
              <w:t>值</w:t>
            </w:r>
            <w:r>
              <w:rPr>
                <w:rFonts w:ascii="Times New Roman" w:hAnsi="Times New Roman" w:eastAsia="仿宋_GB2312" w:cs="Times New Roman"/>
                <w:color w:val="000000"/>
                <w:highlight w:val="none"/>
              </w:rPr>
              <w:t>10-11</w:t>
            </w:r>
            <w:r>
              <w:rPr>
                <w:rFonts w:hint="eastAsia" w:ascii="Times New Roman" w:hAnsi="Times New Roman" w:eastAsia="仿宋_GB2312" w:cs="仿宋_GB2312"/>
                <w:color w:val="000000"/>
                <w:highlight w:val="none"/>
              </w:rPr>
              <w:t>或</w:t>
            </w:r>
            <w:r>
              <w:rPr>
                <w:rFonts w:ascii="Times New Roman" w:hAnsi="Times New Roman" w:eastAsia="仿宋_GB2312" w:cs="Times New Roman"/>
                <w:color w:val="000000"/>
                <w:highlight w:val="none"/>
              </w:rPr>
              <w:t>pH</w:t>
            </w:r>
            <w:r>
              <w:rPr>
                <w:rFonts w:hint="eastAsia" w:ascii="Times New Roman" w:hAnsi="Times New Roman" w:eastAsia="仿宋_GB2312" w:cs="仿宋_GB2312"/>
                <w:color w:val="000000"/>
                <w:highlight w:val="none"/>
              </w:rPr>
              <w:t>值</w:t>
            </w:r>
            <w:r>
              <w:rPr>
                <w:rFonts w:ascii="Times New Roman" w:hAnsi="Times New Roman" w:eastAsia="仿宋_GB2312" w:cs="Times New Roman"/>
                <w:color w:val="000000"/>
                <w:highlight w:val="none"/>
              </w:rPr>
              <w:t>4-5</w:t>
            </w:r>
            <w:r>
              <w:rPr>
                <w:rFonts w:hint="eastAsia" w:ascii="Times New Roman" w:hAnsi="Times New Roman" w:eastAsia="仿宋_GB2312" w:cs="仿宋_GB2312"/>
                <w:color w:val="000000"/>
                <w:highlight w:val="none"/>
              </w:rPr>
              <w:t>）</w:t>
            </w:r>
          </w:p>
        </w:tc>
        <w:tc>
          <w:tcPr>
            <w:tcW w:w="2346"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68" w:type="dxa"/>
            <w:vMerge w:val="continue"/>
            <w:vAlign w:val="center"/>
          </w:tcPr>
          <w:p>
            <w:pPr>
              <w:snapToGrid w:val="0"/>
              <w:jc w:val="center"/>
              <w:rPr>
                <w:rFonts w:ascii="Times New Roman" w:hAnsi="Times New Roman" w:cs="宋体"/>
                <w:b/>
                <w:bCs/>
                <w:color w:val="000000"/>
                <w:highlight w:val="none"/>
              </w:rPr>
            </w:pPr>
          </w:p>
        </w:tc>
        <w:tc>
          <w:tcPr>
            <w:tcW w:w="5626"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超标</w:t>
            </w: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倍以上</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倍以下（</w:t>
            </w:r>
            <w:r>
              <w:rPr>
                <w:rFonts w:ascii="Times New Roman" w:hAnsi="Times New Roman" w:eastAsia="仿宋_GB2312" w:cs="Times New Roman"/>
                <w:color w:val="000000"/>
                <w:highlight w:val="none"/>
              </w:rPr>
              <w:t>pH</w:t>
            </w:r>
            <w:r>
              <w:rPr>
                <w:rFonts w:hint="eastAsia" w:ascii="Times New Roman" w:hAnsi="Times New Roman" w:eastAsia="仿宋_GB2312" w:cs="仿宋_GB2312"/>
                <w:color w:val="000000"/>
                <w:highlight w:val="none"/>
              </w:rPr>
              <w:t>值</w:t>
            </w:r>
            <w:r>
              <w:rPr>
                <w:rFonts w:ascii="Times New Roman" w:hAnsi="Times New Roman" w:eastAsia="仿宋_GB2312" w:cs="Times New Roman"/>
                <w:color w:val="000000"/>
                <w:highlight w:val="none"/>
              </w:rPr>
              <w:t>11-12.5</w:t>
            </w:r>
            <w:r>
              <w:rPr>
                <w:rFonts w:hint="eastAsia" w:ascii="Times New Roman" w:hAnsi="Times New Roman" w:eastAsia="仿宋_GB2312" w:cs="仿宋_GB2312"/>
                <w:color w:val="000000"/>
                <w:highlight w:val="none"/>
              </w:rPr>
              <w:t>或</w:t>
            </w:r>
            <w:r>
              <w:rPr>
                <w:rFonts w:ascii="Times New Roman" w:hAnsi="Times New Roman" w:eastAsia="仿宋_GB2312" w:cs="Times New Roman"/>
                <w:color w:val="000000"/>
                <w:highlight w:val="none"/>
              </w:rPr>
              <w:t>pH</w:t>
            </w:r>
            <w:r>
              <w:rPr>
                <w:rFonts w:hint="eastAsia" w:ascii="Times New Roman" w:hAnsi="Times New Roman" w:eastAsia="仿宋_GB2312" w:cs="仿宋_GB2312"/>
                <w:color w:val="000000"/>
                <w:highlight w:val="none"/>
              </w:rPr>
              <w:t>值</w:t>
            </w:r>
            <w:r>
              <w:rPr>
                <w:rFonts w:ascii="Times New Roman" w:hAnsi="Times New Roman" w:eastAsia="仿宋_GB2312" w:cs="Times New Roman"/>
                <w:color w:val="000000"/>
                <w:highlight w:val="none"/>
              </w:rPr>
              <w:t>2-4</w:t>
            </w:r>
            <w:r>
              <w:rPr>
                <w:rFonts w:hint="eastAsia" w:ascii="Times New Roman" w:hAnsi="Times New Roman" w:eastAsia="仿宋_GB2312" w:cs="仿宋_GB2312"/>
                <w:color w:val="000000"/>
                <w:highlight w:val="none"/>
              </w:rPr>
              <w:t>）</w:t>
            </w:r>
          </w:p>
        </w:tc>
        <w:tc>
          <w:tcPr>
            <w:tcW w:w="2346"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68" w:type="dxa"/>
            <w:vMerge w:val="continue"/>
            <w:vAlign w:val="center"/>
          </w:tcPr>
          <w:p>
            <w:pPr>
              <w:snapToGrid w:val="0"/>
              <w:jc w:val="center"/>
              <w:rPr>
                <w:rFonts w:ascii="Times New Roman" w:hAnsi="Times New Roman" w:cs="宋体"/>
                <w:b/>
                <w:bCs/>
                <w:color w:val="000000"/>
                <w:highlight w:val="none"/>
              </w:rPr>
            </w:pPr>
          </w:p>
        </w:tc>
        <w:tc>
          <w:tcPr>
            <w:tcW w:w="5626"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超标</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倍以上（</w:t>
            </w:r>
            <w:r>
              <w:rPr>
                <w:rFonts w:ascii="Times New Roman" w:hAnsi="Times New Roman" w:eastAsia="仿宋_GB2312" w:cs="Times New Roman"/>
                <w:color w:val="000000"/>
                <w:highlight w:val="none"/>
              </w:rPr>
              <w:t>pH</w:t>
            </w:r>
            <w:r>
              <w:rPr>
                <w:rFonts w:hint="eastAsia" w:ascii="Times New Roman" w:hAnsi="Times New Roman" w:eastAsia="仿宋_GB2312" w:cs="仿宋_GB2312"/>
                <w:color w:val="000000"/>
                <w:highlight w:val="none"/>
              </w:rPr>
              <w:t>值</w:t>
            </w:r>
            <w:r>
              <w:rPr>
                <w:rFonts w:ascii="Times New Roman" w:hAnsi="Times New Roman" w:eastAsia="仿宋_GB2312" w:cs="Times New Roman"/>
                <w:color w:val="000000"/>
                <w:highlight w:val="none"/>
              </w:rPr>
              <w:t>12.5</w:t>
            </w:r>
            <w:r>
              <w:rPr>
                <w:rFonts w:hint="eastAsia" w:ascii="Times New Roman" w:hAnsi="Times New Roman" w:eastAsia="仿宋_GB2312" w:cs="仿宋_GB2312"/>
                <w:color w:val="000000"/>
                <w:highlight w:val="none"/>
              </w:rPr>
              <w:t>以上或</w:t>
            </w:r>
            <w:r>
              <w:rPr>
                <w:rFonts w:ascii="Times New Roman" w:hAnsi="Times New Roman" w:eastAsia="仿宋_GB2312" w:cs="Times New Roman"/>
                <w:color w:val="000000"/>
                <w:highlight w:val="none"/>
              </w:rPr>
              <w:t>pH</w:t>
            </w:r>
            <w:r>
              <w:rPr>
                <w:rFonts w:hint="eastAsia" w:ascii="Times New Roman" w:hAnsi="Times New Roman" w:eastAsia="仿宋_GB2312" w:cs="仿宋_GB2312"/>
                <w:color w:val="000000"/>
                <w:highlight w:val="none"/>
              </w:rPr>
              <w:t>值</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以下）</w:t>
            </w:r>
          </w:p>
        </w:tc>
        <w:tc>
          <w:tcPr>
            <w:tcW w:w="2346"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68" w:type="dxa"/>
            <w:vMerge w:val="restart"/>
            <w:vAlign w:val="center"/>
          </w:tcPr>
          <w:p>
            <w:pPr>
              <w:snapToGrid w:val="0"/>
              <w:jc w:val="center"/>
              <w:rPr>
                <w:rFonts w:ascii="Times New Roman" w:hAnsi="Times New Roman" w:cs="宋体"/>
                <w:b/>
                <w:bCs/>
                <w:color w:val="000000"/>
                <w:highlight w:val="none"/>
              </w:rPr>
            </w:pPr>
            <w:r>
              <w:rPr>
                <w:rFonts w:hint="eastAsia" w:ascii="Times New Roman" w:hAnsi="Times New Roman" w:cs="宋体"/>
                <w:b/>
                <w:bCs/>
                <w:color w:val="000000"/>
                <w:highlight w:val="none"/>
              </w:rPr>
              <w:t>水日排放量★</w:t>
            </w:r>
          </w:p>
        </w:tc>
        <w:tc>
          <w:tcPr>
            <w:tcW w:w="5626"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吨（一般排污单位）</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万吨（生活污水处理厂）</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2000</w:t>
            </w:r>
            <w:r>
              <w:rPr>
                <w:rFonts w:hint="eastAsia" w:ascii="Times New Roman" w:hAnsi="Times New Roman" w:eastAsia="仿宋_GB2312" w:cs="仿宋_GB2312"/>
                <w:color w:val="000000"/>
                <w:highlight w:val="none"/>
              </w:rPr>
              <w:t>吨（工业污水处理厂）</w:t>
            </w:r>
          </w:p>
        </w:tc>
        <w:tc>
          <w:tcPr>
            <w:tcW w:w="2346"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kern w:val="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68" w:type="dxa"/>
            <w:vMerge w:val="continue"/>
            <w:vAlign w:val="center"/>
          </w:tcPr>
          <w:p>
            <w:pPr>
              <w:snapToGrid w:val="0"/>
              <w:jc w:val="center"/>
              <w:rPr>
                <w:rFonts w:ascii="Times New Roman" w:hAnsi="Times New Roman" w:cs="宋体"/>
                <w:b/>
                <w:bCs/>
                <w:color w:val="000000"/>
                <w:highlight w:val="none"/>
              </w:rPr>
            </w:pPr>
          </w:p>
        </w:tc>
        <w:tc>
          <w:tcPr>
            <w:tcW w:w="5626" w:type="dxa"/>
            <w:vAlign w:val="center"/>
          </w:tcPr>
          <w:p>
            <w:pPr>
              <w:snapToGrid w:val="0"/>
              <w:jc w:val="center"/>
              <w:rPr>
                <w:rFonts w:ascii="Times New Roman" w:hAnsi="Times New Roman" w:eastAsia="仿宋_GB2312" w:cs="仿宋_GB2312"/>
                <w:color w:val="000000"/>
                <w:highlight w:val="none"/>
              </w:rPr>
            </w:pP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吨以上不足</w:t>
            </w:r>
            <w:r>
              <w:rPr>
                <w:rFonts w:ascii="Times New Roman" w:hAnsi="Times New Roman" w:eastAsia="仿宋_GB2312" w:cs="Times New Roman"/>
                <w:color w:val="000000"/>
                <w:highlight w:val="none"/>
              </w:rPr>
              <w:t>100</w:t>
            </w:r>
            <w:r>
              <w:rPr>
                <w:rFonts w:hint="eastAsia" w:ascii="Times New Roman" w:hAnsi="Times New Roman" w:eastAsia="仿宋_GB2312" w:cs="仿宋_GB2312"/>
                <w:color w:val="000000"/>
                <w:highlight w:val="none"/>
              </w:rPr>
              <w:t>吨（一般排污单位）</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万吨以上不足</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万吨（生活污水处理厂）</w:t>
            </w:r>
            <w:r>
              <w:rPr>
                <w:rFonts w:ascii="Times New Roman" w:hAnsi="Times New Roman" w:eastAsia="仿宋_GB2312" w:cs="Times New Roman"/>
                <w:color w:val="000000"/>
                <w:highlight w:val="none"/>
              </w:rPr>
              <w:t>/ 2000</w:t>
            </w:r>
            <w:r>
              <w:rPr>
                <w:rFonts w:hint="eastAsia" w:ascii="Times New Roman" w:hAnsi="Times New Roman" w:eastAsia="仿宋_GB2312" w:cs="仿宋_GB2312"/>
                <w:color w:val="000000"/>
                <w:highlight w:val="none"/>
              </w:rPr>
              <w:t>吨以上不足</w:t>
            </w:r>
            <w:r>
              <w:rPr>
                <w:rFonts w:ascii="Times New Roman" w:hAnsi="Times New Roman" w:eastAsia="仿宋_GB2312" w:cs="Times New Roman"/>
                <w:color w:val="000000"/>
                <w:highlight w:val="none"/>
              </w:rPr>
              <w:t>5000</w:t>
            </w:r>
            <w:r>
              <w:rPr>
                <w:rFonts w:hint="eastAsia" w:ascii="Times New Roman" w:hAnsi="Times New Roman" w:eastAsia="仿宋_GB2312" w:cs="仿宋_GB2312"/>
                <w:color w:val="000000"/>
                <w:highlight w:val="none"/>
              </w:rPr>
              <w:t>吨（工业污水处理厂）</w:t>
            </w:r>
          </w:p>
        </w:tc>
        <w:tc>
          <w:tcPr>
            <w:tcW w:w="2346"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kern w:val="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68" w:type="dxa"/>
            <w:vMerge w:val="continue"/>
            <w:vAlign w:val="center"/>
          </w:tcPr>
          <w:p>
            <w:pPr>
              <w:snapToGrid w:val="0"/>
              <w:jc w:val="center"/>
              <w:rPr>
                <w:rFonts w:ascii="Times New Roman" w:hAnsi="Times New Roman" w:cs="宋体"/>
                <w:b/>
                <w:bCs/>
                <w:color w:val="000000"/>
                <w:highlight w:val="none"/>
              </w:rPr>
            </w:pPr>
          </w:p>
        </w:tc>
        <w:tc>
          <w:tcPr>
            <w:tcW w:w="5626" w:type="dxa"/>
            <w:vAlign w:val="center"/>
          </w:tcPr>
          <w:p>
            <w:pPr>
              <w:snapToGrid w:val="0"/>
              <w:jc w:val="center"/>
              <w:rPr>
                <w:rFonts w:ascii="Times New Roman" w:hAnsi="Times New Roman" w:eastAsia="仿宋_GB2312" w:cs="仿宋_GB2312"/>
                <w:color w:val="000000"/>
                <w:highlight w:val="none"/>
              </w:rPr>
            </w:pPr>
            <w:r>
              <w:rPr>
                <w:rFonts w:ascii="Times New Roman" w:hAnsi="Times New Roman" w:eastAsia="仿宋_GB2312" w:cs="Times New Roman"/>
                <w:color w:val="000000"/>
                <w:highlight w:val="none"/>
              </w:rPr>
              <w:t>100</w:t>
            </w:r>
            <w:r>
              <w:rPr>
                <w:rFonts w:hint="eastAsia" w:ascii="Times New Roman" w:hAnsi="Times New Roman" w:eastAsia="仿宋_GB2312" w:cs="仿宋_GB2312"/>
                <w:color w:val="000000"/>
                <w:highlight w:val="none"/>
              </w:rPr>
              <w:t>吨以上不足</w:t>
            </w:r>
            <w:r>
              <w:rPr>
                <w:rFonts w:ascii="Times New Roman" w:hAnsi="Times New Roman" w:eastAsia="仿宋_GB2312" w:cs="Times New Roman"/>
                <w:color w:val="000000"/>
                <w:highlight w:val="none"/>
              </w:rPr>
              <w:t>500</w:t>
            </w:r>
            <w:r>
              <w:rPr>
                <w:rFonts w:hint="eastAsia" w:ascii="Times New Roman" w:hAnsi="Times New Roman" w:eastAsia="仿宋_GB2312" w:cs="仿宋_GB2312"/>
                <w:color w:val="000000"/>
                <w:highlight w:val="none"/>
              </w:rPr>
              <w:t>吨（一般排污单位）</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万吨以上不足</w:t>
            </w: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万吨（生活污水处理厂）</w:t>
            </w:r>
            <w:r>
              <w:rPr>
                <w:rFonts w:ascii="Times New Roman" w:hAnsi="Times New Roman" w:eastAsia="仿宋_GB2312" w:cs="Times New Roman"/>
                <w:color w:val="000000"/>
                <w:highlight w:val="none"/>
              </w:rPr>
              <w:t>/5000</w:t>
            </w:r>
            <w:r>
              <w:rPr>
                <w:rFonts w:hint="eastAsia" w:ascii="Times New Roman" w:hAnsi="Times New Roman" w:eastAsia="仿宋_GB2312" w:cs="仿宋_GB2312"/>
                <w:color w:val="000000"/>
                <w:highlight w:val="none"/>
              </w:rPr>
              <w:t>吨以上不足</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万吨（工业污水处理厂）</w:t>
            </w:r>
          </w:p>
        </w:tc>
        <w:tc>
          <w:tcPr>
            <w:tcW w:w="2346"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kern w:val="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68" w:type="dxa"/>
            <w:vMerge w:val="continue"/>
            <w:vAlign w:val="center"/>
          </w:tcPr>
          <w:p>
            <w:pPr>
              <w:snapToGrid w:val="0"/>
              <w:jc w:val="center"/>
              <w:rPr>
                <w:rFonts w:ascii="Times New Roman" w:hAnsi="Times New Roman" w:cs="宋体"/>
                <w:b/>
                <w:bCs/>
                <w:color w:val="000000"/>
                <w:highlight w:val="none"/>
              </w:rPr>
            </w:pPr>
          </w:p>
        </w:tc>
        <w:tc>
          <w:tcPr>
            <w:tcW w:w="5626" w:type="dxa"/>
            <w:vAlign w:val="center"/>
          </w:tcPr>
          <w:p>
            <w:pPr>
              <w:snapToGrid w:val="0"/>
              <w:jc w:val="center"/>
              <w:rPr>
                <w:rFonts w:ascii="Times New Roman" w:hAnsi="Times New Roman" w:eastAsia="仿宋_GB2312" w:cs="仿宋_GB2312"/>
                <w:color w:val="000000"/>
                <w:highlight w:val="none"/>
              </w:rPr>
            </w:pPr>
            <w:r>
              <w:rPr>
                <w:rFonts w:ascii="Times New Roman" w:hAnsi="Times New Roman" w:eastAsia="仿宋_GB2312" w:cs="Times New Roman"/>
                <w:color w:val="000000"/>
                <w:highlight w:val="none"/>
              </w:rPr>
              <w:t>500</w:t>
            </w:r>
            <w:r>
              <w:rPr>
                <w:rFonts w:hint="eastAsia" w:ascii="Times New Roman" w:hAnsi="Times New Roman" w:eastAsia="仿宋_GB2312" w:cs="仿宋_GB2312"/>
                <w:color w:val="000000"/>
                <w:highlight w:val="none"/>
              </w:rPr>
              <w:t>吨以上不足</w:t>
            </w:r>
            <w:r>
              <w:rPr>
                <w:rFonts w:ascii="Times New Roman" w:hAnsi="Times New Roman" w:eastAsia="仿宋_GB2312" w:cs="Times New Roman"/>
                <w:color w:val="000000"/>
                <w:highlight w:val="none"/>
              </w:rPr>
              <w:t>1000</w:t>
            </w:r>
            <w:r>
              <w:rPr>
                <w:rFonts w:hint="eastAsia" w:ascii="Times New Roman" w:hAnsi="Times New Roman" w:eastAsia="仿宋_GB2312" w:cs="仿宋_GB2312"/>
                <w:color w:val="000000"/>
                <w:highlight w:val="none"/>
              </w:rPr>
              <w:t>吨（一般排污单位）</w:t>
            </w: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万吨以上不足</w:t>
            </w:r>
            <w:r>
              <w:rPr>
                <w:rFonts w:ascii="Times New Roman" w:hAnsi="Times New Roman" w:eastAsia="仿宋_GB2312" w:cs="Times New Roman"/>
                <w:color w:val="000000"/>
                <w:highlight w:val="none"/>
              </w:rPr>
              <w:t>50</w:t>
            </w:r>
            <w:r>
              <w:rPr>
                <w:rFonts w:hint="eastAsia" w:ascii="Times New Roman" w:hAnsi="Times New Roman" w:eastAsia="仿宋_GB2312" w:cs="仿宋_GB2312"/>
                <w:color w:val="000000"/>
                <w:highlight w:val="none"/>
              </w:rPr>
              <w:t>万吨（生活污水处理厂）</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万吨以上不足</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万吨（工业污水处理厂）</w:t>
            </w:r>
          </w:p>
        </w:tc>
        <w:tc>
          <w:tcPr>
            <w:tcW w:w="2346"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kern w:val="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68" w:type="dxa"/>
            <w:vMerge w:val="continue"/>
            <w:vAlign w:val="center"/>
          </w:tcPr>
          <w:p>
            <w:pPr>
              <w:snapToGrid w:val="0"/>
              <w:jc w:val="center"/>
              <w:rPr>
                <w:rFonts w:ascii="Times New Roman" w:hAnsi="Times New Roman" w:cs="宋体"/>
                <w:b/>
                <w:bCs/>
                <w:color w:val="000000"/>
                <w:highlight w:val="none"/>
              </w:rPr>
            </w:pPr>
          </w:p>
        </w:tc>
        <w:tc>
          <w:tcPr>
            <w:tcW w:w="5626" w:type="dxa"/>
            <w:vAlign w:val="center"/>
          </w:tcPr>
          <w:p>
            <w:pPr>
              <w:snapToGrid w:val="0"/>
              <w:jc w:val="center"/>
              <w:rPr>
                <w:rFonts w:ascii="Times New Roman" w:hAnsi="Times New Roman" w:eastAsia="仿宋_GB2312" w:cs="仿宋_GB2312"/>
                <w:color w:val="000000"/>
                <w:highlight w:val="none"/>
              </w:rPr>
            </w:pPr>
            <w:r>
              <w:rPr>
                <w:rFonts w:ascii="Times New Roman" w:hAnsi="Times New Roman" w:eastAsia="仿宋_GB2312" w:cs="Times New Roman"/>
                <w:color w:val="000000"/>
                <w:highlight w:val="none"/>
              </w:rPr>
              <w:t>1000</w:t>
            </w:r>
            <w:r>
              <w:rPr>
                <w:rFonts w:hint="eastAsia" w:ascii="Times New Roman" w:hAnsi="Times New Roman" w:eastAsia="仿宋_GB2312" w:cs="仿宋_GB2312"/>
                <w:color w:val="000000"/>
                <w:highlight w:val="none"/>
              </w:rPr>
              <w:t>吨以上（一般排污单位）</w:t>
            </w:r>
            <w:r>
              <w:rPr>
                <w:rFonts w:ascii="Times New Roman" w:hAnsi="Times New Roman" w:eastAsia="仿宋_GB2312" w:cs="Times New Roman"/>
                <w:color w:val="000000"/>
                <w:highlight w:val="none"/>
              </w:rPr>
              <w:t>/50</w:t>
            </w:r>
            <w:r>
              <w:rPr>
                <w:rFonts w:hint="eastAsia" w:ascii="Times New Roman" w:hAnsi="Times New Roman" w:eastAsia="仿宋_GB2312" w:cs="仿宋_GB2312"/>
                <w:color w:val="000000"/>
                <w:highlight w:val="none"/>
              </w:rPr>
              <w:t>万吨以上（生活污水处理厂）</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万吨以上（工业污水处理厂）</w:t>
            </w:r>
          </w:p>
        </w:tc>
        <w:tc>
          <w:tcPr>
            <w:tcW w:w="2346"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kern w:val="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68"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废水类别</w:t>
            </w:r>
          </w:p>
        </w:tc>
        <w:tc>
          <w:tcPr>
            <w:tcW w:w="562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生活废水</w:t>
            </w:r>
          </w:p>
        </w:tc>
        <w:tc>
          <w:tcPr>
            <w:tcW w:w="2346"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68" w:type="dxa"/>
            <w:vMerge w:val="continue"/>
            <w:vAlign w:val="center"/>
          </w:tcPr>
          <w:p>
            <w:pPr>
              <w:snapToGrid w:val="0"/>
              <w:ind w:firstLine="420"/>
              <w:jc w:val="center"/>
              <w:rPr>
                <w:rFonts w:ascii="Times New Roman" w:hAnsi="Times New Roman" w:cs="Times New Roman"/>
                <w:highlight w:val="none"/>
              </w:rPr>
            </w:pPr>
          </w:p>
        </w:tc>
        <w:tc>
          <w:tcPr>
            <w:tcW w:w="562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服务业废水</w:t>
            </w:r>
          </w:p>
        </w:tc>
        <w:tc>
          <w:tcPr>
            <w:tcW w:w="2346"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68" w:type="dxa"/>
            <w:vMerge w:val="continue"/>
            <w:vAlign w:val="center"/>
          </w:tcPr>
          <w:p>
            <w:pPr>
              <w:snapToGrid w:val="0"/>
              <w:ind w:firstLine="420"/>
              <w:jc w:val="center"/>
              <w:rPr>
                <w:rFonts w:ascii="Times New Roman" w:hAnsi="Times New Roman" w:cs="Times New Roman"/>
                <w:highlight w:val="none"/>
              </w:rPr>
            </w:pPr>
          </w:p>
        </w:tc>
        <w:tc>
          <w:tcPr>
            <w:tcW w:w="562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一般工业废水</w:t>
            </w:r>
          </w:p>
        </w:tc>
        <w:tc>
          <w:tcPr>
            <w:tcW w:w="2346"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68" w:type="dxa"/>
            <w:vMerge w:val="continue"/>
            <w:vAlign w:val="center"/>
          </w:tcPr>
          <w:p>
            <w:pPr>
              <w:snapToGrid w:val="0"/>
              <w:ind w:firstLine="420"/>
              <w:jc w:val="center"/>
              <w:rPr>
                <w:rFonts w:ascii="Times New Roman" w:hAnsi="Times New Roman" w:cs="Times New Roman"/>
                <w:highlight w:val="none"/>
              </w:rPr>
            </w:pPr>
          </w:p>
        </w:tc>
        <w:tc>
          <w:tcPr>
            <w:tcW w:w="562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含其他有毒有害物质的废水、医疗废水</w:t>
            </w:r>
          </w:p>
        </w:tc>
        <w:tc>
          <w:tcPr>
            <w:tcW w:w="2346"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68" w:type="dxa"/>
            <w:vMerge w:val="continue"/>
            <w:vAlign w:val="center"/>
          </w:tcPr>
          <w:p>
            <w:pPr>
              <w:snapToGrid w:val="0"/>
              <w:ind w:firstLine="420"/>
              <w:jc w:val="center"/>
              <w:rPr>
                <w:rFonts w:ascii="Times New Roman" w:hAnsi="Times New Roman" w:cs="Times New Roman"/>
                <w:highlight w:val="none"/>
              </w:rPr>
            </w:pPr>
          </w:p>
        </w:tc>
        <w:tc>
          <w:tcPr>
            <w:tcW w:w="562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含一类污染物或重金属、病原体、放射性物质的废水</w:t>
            </w:r>
          </w:p>
        </w:tc>
        <w:tc>
          <w:tcPr>
            <w:tcW w:w="2346"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68"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超标因子</w:t>
            </w:r>
          </w:p>
        </w:tc>
        <w:tc>
          <w:tcPr>
            <w:tcW w:w="5626"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r>
              <w:rPr>
                <w:rFonts w:hint="eastAsia" w:ascii="Times New Roman" w:hAnsi="Times New Roman" w:eastAsia="仿宋_GB2312" w:cs="仿宋_GB2312"/>
                <w:highlight w:val="none"/>
              </w:rPr>
              <w:t>个</w:t>
            </w:r>
          </w:p>
        </w:tc>
        <w:tc>
          <w:tcPr>
            <w:tcW w:w="2346"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68" w:type="dxa"/>
            <w:vMerge w:val="continue"/>
            <w:vAlign w:val="center"/>
          </w:tcPr>
          <w:p>
            <w:pPr>
              <w:snapToGrid w:val="0"/>
              <w:ind w:firstLine="420"/>
              <w:jc w:val="center"/>
              <w:rPr>
                <w:rFonts w:ascii="Times New Roman" w:hAnsi="Times New Roman" w:cs="Times New Roman"/>
                <w:highlight w:val="none"/>
              </w:rPr>
            </w:pPr>
          </w:p>
        </w:tc>
        <w:tc>
          <w:tcPr>
            <w:tcW w:w="5626"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r>
              <w:rPr>
                <w:rFonts w:hint="eastAsia" w:ascii="Times New Roman" w:hAnsi="Times New Roman" w:eastAsia="仿宋_GB2312" w:cs="仿宋_GB2312"/>
                <w:highlight w:val="none"/>
              </w:rPr>
              <w:t>个</w:t>
            </w:r>
          </w:p>
        </w:tc>
        <w:tc>
          <w:tcPr>
            <w:tcW w:w="2346"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68" w:type="dxa"/>
            <w:vMerge w:val="continue"/>
            <w:vAlign w:val="center"/>
          </w:tcPr>
          <w:p>
            <w:pPr>
              <w:snapToGrid w:val="0"/>
              <w:ind w:firstLine="420"/>
              <w:jc w:val="center"/>
              <w:rPr>
                <w:rFonts w:ascii="Times New Roman" w:hAnsi="Times New Roman" w:cs="Times New Roman"/>
                <w:highlight w:val="none"/>
              </w:rPr>
            </w:pPr>
          </w:p>
        </w:tc>
        <w:tc>
          <w:tcPr>
            <w:tcW w:w="5626"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r>
              <w:rPr>
                <w:rFonts w:hint="eastAsia" w:ascii="Times New Roman" w:hAnsi="Times New Roman" w:eastAsia="仿宋_GB2312" w:cs="仿宋_GB2312"/>
                <w:highlight w:val="none"/>
              </w:rPr>
              <w:t>个及以上</w:t>
            </w:r>
          </w:p>
        </w:tc>
        <w:tc>
          <w:tcPr>
            <w:tcW w:w="2346"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68"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排放去向</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或区域</w:t>
            </w:r>
          </w:p>
        </w:tc>
        <w:tc>
          <w:tcPr>
            <w:tcW w:w="5626"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Ⅴ</w:t>
            </w:r>
            <w:r>
              <w:rPr>
                <w:rFonts w:hint="eastAsia" w:ascii="Times New Roman" w:hAnsi="Times New Roman" w:eastAsia="仿宋_GB2312" w:cs="仿宋_GB2312"/>
                <w:highlight w:val="none"/>
              </w:rPr>
              <w:t>类水体或污水集中处理设施</w:t>
            </w:r>
          </w:p>
        </w:tc>
        <w:tc>
          <w:tcPr>
            <w:tcW w:w="2346"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68" w:type="dxa"/>
            <w:vMerge w:val="continue"/>
            <w:vAlign w:val="center"/>
          </w:tcPr>
          <w:p>
            <w:pPr>
              <w:snapToGrid w:val="0"/>
              <w:ind w:firstLine="420"/>
              <w:jc w:val="center"/>
              <w:rPr>
                <w:rFonts w:ascii="Times New Roman" w:hAnsi="Times New Roman" w:cs="Times New Roman"/>
                <w:highlight w:val="none"/>
              </w:rPr>
            </w:pPr>
          </w:p>
        </w:tc>
        <w:tc>
          <w:tcPr>
            <w:tcW w:w="5626"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Ⅳ</w:t>
            </w:r>
            <w:r>
              <w:rPr>
                <w:rFonts w:hint="eastAsia" w:ascii="Times New Roman" w:hAnsi="Times New Roman" w:eastAsia="仿宋_GB2312" w:cs="仿宋_GB2312"/>
                <w:highlight w:val="none"/>
              </w:rPr>
              <w:t>类水体</w:t>
            </w:r>
          </w:p>
        </w:tc>
        <w:tc>
          <w:tcPr>
            <w:tcW w:w="2346"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68" w:type="dxa"/>
            <w:vMerge w:val="continue"/>
            <w:vAlign w:val="center"/>
          </w:tcPr>
          <w:p>
            <w:pPr>
              <w:snapToGrid w:val="0"/>
              <w:ind w:firstLine="420"/>
              <w:jc w:val="center"/>
              <w:rPr>
                <w:rFonts w:ascii="Times New Roman" w:hAnsi="Times New Roman" w:cs="Times New Roman"/>
                <w:highlight w:val="none"/>
              </w:rPr>
            </w:pPr>
          </w:p>
        </w:tc>
        <w:tc>
          <w:tcPr>
            <w:tcW w:w="5626"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Ⅲ</w:t>
            </w:r>
            <w:r>
              <w:rPr>
                <w:rFonts w:hint="eastAsia" w:ascii="Times New Roman" w:hAnsi="Times New Roman" w:eastAsia="仿宋_GB2312" w:cs="仿宋_GB2312"/>
                <w:highlight w:val="none"/>
              </w:rPr>
              <w:t>类水体</w:t>
            </w:r>
          </w:p>
        </w:tc>
        <w:tc>
          <w:tcPr>
            <w:tcW w:w="2346"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68" w:type="dxa"/>
            <w:vMerge w:val="continue"/>
            <w:vAlign w:val="center"/>
          </w:tcPr>
          <w:p>
            <w:pPr>
              <w:snapToGrid w:val="0"/>
              <w:ind w:firstLine="420"/>
              <w:jc w:val="center"/>
              <w:rPr>
                <w:rFonts w:ascii="Times New Roman" w:hAnsi="Times New Roman" w:cs="Times New Roman"/>
                <w:highlight w:val="none"/>
              </w:rPr>
            </w:pPr>
          </w:p>
        </w:tc>
        <w:tc>
          <w:tcPr>
            <w:tcW w:w="5626"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Ⅱ</w:t>
            </w:r>
            <w:r>
              <w:rPr>
                <w:rFonts w:hint="eastAsia" w:ascii="Times New Roman" w:hAnsi="Times New Roman" w:eastAsia="仿宋_GB2312" w:cs="仿宋_GB2312"/>
                <w:highlight w:val="none"/>
              </w:rPr>
              <w:t>类水体</w:t>
            </w:r>
          </w:p>
        </w:tc>
        <w:tc>
          <w:tcPr>
            <w:tcW w:w="2346"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68" w:type="dxa"/>
            <w:vMerge w:val="continue"/>
            <w:vAlign w:val="center"/>
          </w:tcPr>
          <w:p>
            <w:pPr>
              <w:snapToGrid w:val="0"/>
              <w:ind w:firstLine="420"/>
              <w:jc w:val="center"/>
              <w:rPr>
                <w:rFonts w:ascii="Times New Roman" w:hAnsi="Times New Roman" w:cs="Times New Roman"/>
                <w:highlight w:val="none"/>
              </w:rPr>
            </w:pPr>
          </w:p>
        </w:tc>
        <w:tc>
          <w:tcPr>
            <w:tcW w:w="5626"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Ⅰ</w:t>
            </w:r>
            <w:r>
              <w:rPr>
                <w:rFonts w:hint="eastAsia" w:ascii="Times New Roman" w:hAnsi="Times New Roman" w:eastAsia="仿宋_GB2312" w:cs="仿宋_GB2312"/>
                <w:highlight w:val="none"/>
              </w:rPr>
              <w:t>类水体</w:t>
            </w:r>
          </w:p>
        </w:tc>
        <w:tc>
          <w:tcPr>
            <w:tcW w:w="2346"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68" w:type="dxa"/>
            <w:vAlign w:val="center"/>
          </w:tcPr>
          <w:p>
            <w:pPr>
              <w:snapToGrid w:val="0"/>
              <w:jc w:val="center"/>
              <w:rPr>
                <w:rFonts w:ascii="Times New Roman" w:hAnsi="Times New Roman" w:cs="Times New Roman"/>
                <w:color w:val="000000"/>
                <w:highlight w:val="none"/>
              </w:rPr>
            </w:pPr>
            <w:r>
              <w:rPr>
                <w:rFonts w:hint="eastAsia" w:ascii="Times New Roman" w:hAnsi="Times New Roman" w:cs="宋体"/>
                <w:b/>
                <w:bCs/>
                <w:color w:val="000000"/>
                <w:highlight w:val="none"/>
              </w:rPr>
              <w:t>备注</w:t>
            </w:r>
          </w:p>
        </w:tc>
        <w:tc>
          <w:tcPr>
            <w:tcW w:w="7972" w:type="dxa"/>
            <w:gridSpan w:val="2"/>
          </w:tcPr>
          <w:p>
            <w:pPr>
              <w:snapToGrid w:val="0"/>
              <w:ind w:firstLine="420" w:firstLineChars="200"/>
              <w:rPr>
                <w:rFonts w:ascii="Times New Roman" w:hAnsi="Times New Roman" w:cs="Times New Roman"/>
                <w:color w:val="000000"/>
                <w:highlight w:val="none"/>
              </w:rPr>
            </w:pPr>
          </w:p>
        </w:tc>
      </w:tr>
    </w:tbl>
    <w:p>
      <w:pPr>
        <w:widowControl/>
        <w:snapToGrid w:val="0"/>
        <w:jc w:val="left"/>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5910"/>
        <w:gridCol w:w="2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40"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（三）水污染防治类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84"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8256"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84"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8256" w:type="dxa"/>
            <w:gridSpan w:val="2"/>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超过重点水污染物排放总量控制指标排放水污染物的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84"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8256" w:type="dxa"/>
            <w:gridSpan w:val="2"/>
          </w:tcPr>
          <w:p>
            <w:pPr>
              <w:pStyle w:val="12"/>
              <w:snapToGrid w:val="0"/>
              <w:spacing w:before="62" w:beforeLines="20" w:beforeAutospacing="0" w:after="0" w:afterAutospacing="0" w:line="288" w:lineRule="auto"/>
              <w:ind w:firstLine="357"/>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sz w:val="21"/>
                <w:szCs w:val="21"/>
                <w:highlight w:val="none"/>
              </w:rPr>
              <w:t>《</w:t>
            </w:r>
            <w:r>
              <w:rPr>
                <w:rFonts w:hint="eastAsia" w:ascii="Times New Roman" w:hAnsi="Times New Roman" w:eastAsia="仿宋_GB2312" w:cs="仿宋_GB2312"/>
                <w:b/>
                <w:bCs/>
                <w:kern w:val="2"/>
                <w:sz w:val="21"/>
                <w:szCs w:val="21"/>
                <w:highlight w:val="none"/>
              </w:rPr>
              <w:t>中华人民共和国水污染防治法》第十条</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排放水污染物，不得超过国家或者地方规定的水污染物排放标准和重点水污染物排放总量控制指标。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84"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8256" w:type="dxa"/>
            <w:gridSpan w:val="2"/>
          </w:tcPr>
          <w:p>
            <w:pPr>
              <w:snapToGrid w:val="0"/>
              <w:spacing w:before="62" w:beforeLines="20" w:line="288"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《中华人民共和国水污染防治法》第八十三条第（二）项</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违反本法规定，有下列行为之一的，由县级以上人民政府环境保护主管部门责令改正或者责令限制生产、停产整治，并处十万元以上一百万元以下的罚款；情节严重的，报经有批准权的人民政府批准，责令停业、关闭：</w:t>
            </w:r>
          </w:p>
          <w:p>
            <w:pPr>
              <w:snapToGrid w:val="0"/>
              <w:spacing w:line="288" w:lineRule="auto"/>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（二）超过水污染物排放标准或者超过重点水污染物排放总量控制指标排放水污染物的。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84"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910"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34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84" w:type="dxa"/>
            <w:vMerge w:val="restart"/>
            <w:vAlign w:val="center"/>
          </w:tcPr>
          <w:p>
            <w:pPr>
              <w:snapToGrid w:val="0"/>
              <w:jc w:val="center"/>
              <w:rPr>
                <w:rFonts w:ascii="Times New Roman" w:hAnsi="Times New Roman" w:cs="宋体"/>
                <w:b/>
                <w:bCs/>
                <w:color w:val="000000"/>
                <w:highlight w:val="none"/>
              </w:rPr>
            </w:pPr>
            <w:r>
              <w:rPr>
                <w:rFonts w:hint="eastAsia" w:ascii="Times New Roman" w:hAnsi="Times New Roman" w:cs="宋体"/>
                <w:b/>
                <w:bCs/>
                <w:color w:val="000000"/>
                <w:highlight w:val="none"/>
              </w:rPr>
              <w:t>超总量状况★</w:t>
            </w:r>
          </w:p>
        </w:tc>
        <w:tc>
          <w:tcPr>
            <w:tcW w:w="5910"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超总量不足</w:t>
            </w:r>
            <w:r>
              <w:rPr>
                <w:rFonts w:ascii="Times New Roman" w:hAnsi="Times New Roman" w:eastAsia="仿宋_GB2312" w:cs="Times New Roman"/>
                <w:color w:val="000000"/>
                <w:highlight w:val="none"/>
              </w:rPr>
              <w:t>5%</w:t>
            </w:r>
          </w:p>
        </w:tc>
        <w:tc>
          <w:tcPr>
            <w:tcW w:w="2346"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84" w:type="dxa"/>
            <w:vMerge w:val="continue"/>
            <w:vAlign w:val="center"/>
          </w:tcPr>
          <w:p>
            <w:pPr>
              <w:snapToGrid w:val="0"/>
              <w:jc w:val="center"/>
              <w:rPr>
                <w:rFonts w:ascii="Times New Roman" w:hAnsi="Times New Roman" w:cs="宋体"/>
                <w:b/>
                <w:bCs/>
                <w:color w:val="000000"/>
                <w:highlight w:val="none"/>
              </w:rPr>
            </w:pPr>
          </w:p>
        </w:tc>
        <w:tc>
          <w:tcPr>
            <w:tcW w:w="5910"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超总量</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以上不足</w:t>
            </w:r>
            <w:r>
              <w:rPr>
                <w:rFonts w:ascii="Times New Roman" w:hAnsi="Times New Roman" w:eastAsia="仿宋_GB2312" w:cs="Times New Roman"/>
                <w:color w:val="000000"/>
                <w:highlight w:val="none"/>
              </w:rPr>
              <w:t>10%</w:t>
            </w:r>
          </w:p>
        </w:tc>
        <w:tc>
          <w:tcPr>
            <w:tcW w:w="2346"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84" w:type="dxa"/>
            <w:vMerge w:val="continue"/>
            <w:vAlign w:val="center"/>
          </w:tcPr>
          <w:p>
            <w:pPr>
              <w:snapToGrid w:val="0"/>
              <w:jc w:val="center"/>
              <w:rPr>
                <w:rFonts w:ascii="Times New Roman" w:hAnsi="Times New Roman" w:cs="宋体"/>
                <w:b/>
                <w:bCs/>
                <w:color w:val="000000"/>
                <w:highlight w:val="none"/>
              </w:rPr>
            </w:pPr>
          </w:p>
        </w:tc>
        <w:tc>
          <w:tcPr>
            <w:tcW w:w="5910"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超总量</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以上不足</w:t>
            </w:r>
            <w:r>
              <w:rPr>
                <w:rFonts w:ascii="Times New Roman" w:hAnsi="Times New Roman" w:eastAsia="仿宋_GB2312" w:cs="Times New Roman"/>
                <w:color w:val="000000"/>
                <w:highlight w:val="none"/>
              </w:rPr>
              <w:t>15%</w:t>
            </w:r>
          </w:p>
        </w:tc>
        <w:tc>
          <w:tcPr>
            <w:tcW w:w="2346"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84" w:type="dxa"/>
            <w:vMerge w:val="continue"/>
            <w:vAlign w:val="center"/>
          </w:tcPr>
          <w:p>
            <w:pPr>
              <w:snapToGrid w:val="0"/>
              <w:jc w:val="center"/>
              <w:rPr>
                <w:rFonts w:ascii="Times New Roman" w:hAnsi="Times New Roman" w:cs="宋体"/>
                <w:b/>
                <w:bCs/>
                <w:color w:val="000000"/>
                <w:highlight w:val="none"/>
              </w:rPr>
            </w:pPr>
          </w:p>
        </w:tc>
        <w:tc>
          <w:tcPr>
            <w:tcW w:w="5910"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超总量</w:t>
            </w:r>
            <w:r>
              <w:rPr>
                <w:rFonts w:ascii="Times New Roman" w:hAnsi="Times New Roman" w:eastAsia="仿宋_GB2312" w:cs="Times New Roman"/>
                <w:color w:val="000000"/>
                <w:highlight w:val="none"/>
              </w:rPr>
              <w:t>15%</w:t>
            </w:r>
            <w:r>
              <w:rPr>
                <w:rFonts w:hint="eastAsia" w:ascii="Times New Roman" w:hAnsi="Times New Roman" w:eastAsia="仿宋_GB2312" w:cs="仿宋_GB2312"/>
                <w:color w:val="000000"/>
                <w:highlight w:val="none"/>
              </w:rPr>
              <w:t>以上不足</w:t>
            </w:r>
            <w:r>
              <w:rPr>
                <w:rFonts w:ascii="Times New Roman" w:hAnsi="Times New Roman" w:eastAsia="仿宋_GB2312" w:cs="Times New Roman"/>
                <w:color w:val="000000"/>
                <w:highlight w:val="none"/>
              </w:rPr>
              <w:t>20%</w:t>
            </w:r>
          </w:p>
        </w:tc>
        <w:tc>
          <w:tcPr>
            <w:tcW w:w="2346"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84" w:type="dxa"/>
            <w:vMerge w:val="continue"/>
            <w:vAlign w:val="center"/>
          </w:tcPr>
          <w:p>
            <w:pPr>
              <w:snapToGrid w:val="0"/>
              <w:jc w:val="center"/>
              <w:rPr>
                <w:rFonts w:ascii="Times New Roman" w:hAnsi="Times New Roman" w:cs="宋体"/>
                <w:b/>
                <w:bCs/>
                <w:color w:val="000000"/>
                <w:highlight w:val="none"/>
              </w:rPr>
            </w:pPr>
          </w:p>
        </w:tc>
        <w:tc>
          <w:tcPr>
            <w:tcW w:w="5910"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超总量</w:t>
            </w: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以上</w:t>
            </w:r>
          </w:p>
        </w:tc>
        <w:tc>
          <w:tcPr>
            <w:tcW w:w="2346"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84"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废水类别</w:t>
            </w:r>
          </w:p>
        </w:tc>
        <w:tc>
          <w:tcPr>
            <w:tcW w:w="5910"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生活废水</w:t>
            </w:r>
          </w:p>
        </w:tc>
        <w:tc>
          <w:tcPr>
            <w:tcW w:w="2346"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84" w:type="dxa"/>
            <w:vMerge w:val="continue"/>
            <w:vAlign w:val="center"/>
          </w:tcPr>
          <w:p>
            <w:pPr>
              <w:snapToGrid w:val="0"/>
              <w:ind w:firstLine="420"/>
              <w:jc w:val="center"/>
              <w:rPr>
                <w:rFonts w:ascii="Times New Roman" w:hAnsi="Times New Roman" w:cs="Times New Roman"/>
                <w:color w:val="000000"/>
                <w:highlight w:val="none"/>
              </w:rPr>
            </w:pPr>
          </w:p>
        </w:tc>
        <w:tc>
          <w:tcPr>
            <w:tcW w:w="5910"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服务业废水</w:t>
            </w:r>
          </w:p>
        </w:tc>
        <w:tc>
          <w:tcPr>
            <w:tcW w:w="2346"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84" w:type="dxa"/>
            <w:vMerge w:val="continue"/>
            <w:vAlign w:val="center"/>
          </w:tcPr>
          <w:p>
            <w:pPr>
              <w:snapToGrid w:val="0"/>
              <w:ind w:firstLine="420"/>
              <w:jc w:val="center"/>
              <w:rPr>
                <w:rFonts w:ascii="Times New Roman" w:hAnsi="Times New Roman" w:cs="Times New Roman"/>
                <w:color w:val="000000"/>
                <w:highlight w:val="none"/>
              </w:rPr>
            </w:pPr>
          </w:p>
        </w:tc>
        <w:tc>
          <w:tcPr>
            <w:tcW w:w="5910"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一般工业废水</w:t>
            </w:r>
          </w:p>
        </w:tc>
        <w:tc>
          <w:tcPr>
            <w:tcW w:w="2346"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84" w:type="dxa"/>
            <w:vMerge w:val="continue"/>
            <w:vAlign w:val="center"/>
          </w:tcPr>
          <w:p>
            <w:pPr>
              <w:snapToGrid w:val="0"/>
              <w:ind w:firstLine="420"/>
              <w:jc w:val="center"/>
              <w:rPr>
                <w:rFonts w:ascii="Times New Roman" w:hAnsi="Times New Roman" w:cs="Times New Roman"/>
                <w:color w:val="000000"/>
                <w:highlight w:val="none"/>
              </w:rPr>
            </w:pPr>
          </w:p>
        </w:tc>
        <w:tc>
          <w:tcPr>
            <w:tcW w:w="5910"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含其他有毒有害物质的废水、医疗废水</w:t>
            </w:r>
          </w:p>
        </w:tc>
        <w:tc>
          <w:tcPr>
            <w:tcW w:w="2346"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84" w:type="dxa"/>
            <w:vMerge w:val="continue"/>
            <w:vAlign w:val="center"/>
          </w:tcPr>
          <w:p>
            <w:pPr>
              <w:snapToGrid w:val="0"/>
              <w:ind w:firstLine="420"/>
              <w:jc w:val="center"/>
              <w:rPr>
                <w:rFonts w:ascii="Times New Roman" w:hAnsi="Times New Roman" w:cs="Times New Roman"/>
                <w:color w:val="000000"/>
                <w:highlight w:val="none"/>
              </w:rPr>
            </w:pPr>
          </w:p>
        </w:tc>
        <w:tc>
          <w:tcPr>
            <w:tcW w:w="5910"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含一类污染物或重金属、病原体、放射性物质的废水</w:t>
            </w:r>
          </w:p>
        </w:tc>
        <w:tc>
          <w:tcPr>
            <w:tcW w:w="2346"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84"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超总量因子</w:t>
            </w:r>
          </w:p>
        </w:tc>
        <w:tc>
          <w:tcPr>
            <w:tcW w:w="5910"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w:t>
            </w:r>
          </w:p>
        </w:tc>
        <w:tc>
          <w:tcPr>
            <w:tcW w:w="2346"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84" w:type="dxa"/>
            <w:vMerge w:val="continue"/>
            <w:vAlign w:val="center"/>
          </w:tcPr>
          <w:p>
            <w:pPr>
              <w:snapToGrid w:val="0"/>
              <w:ind w:firstLine="420"/>
              <w:jc w:val="center"/>
              <w:rPr>
                <w:rFonts w:ascii="Times New Roman" w:hAnsi="Times New Roman" w:cs="Times New Roman"/>
                <w:color w:val="000000"/>
                <w:highlight w:val="none"/>
              </w:rPr>
            </w:pPr>
          </w:p>
        </w:tc>
        <w:tc>
          <w:tcPr>
            <w:tcW w:w="5910"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个</w:t>
            </w:r>
          </w:p>
        </w:tc>
        <w:tc>
          <w:tcPr>
            <w:tcW w:w="2346"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84" w:type="dxa"/>
            <w:vMerge w:val="continue"/>
            <w:vAlign w:val="center"/>
          </w:tcPr>
          <w:p>
            <w:pPr>
              <w:snapToGrid w:val="0"/>
              <w:ind w:firstLine="420"/>
              <w:jc w:val="center"/>
              <w:rPr>
                <w:rFonts w:ascii="Times New Roman" w:hAnsi="Times New Roman" w:cs="Times New Roman"/>
                <w:color w:val="000000"/>
                <w:highlight w:val="none"/>
              </w:rPr>
            </w:pPr>
          </w:p>
        </w:tc>
        <w:tc>
          <w:tcPr>
            <w:tcW w:w="5910"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个及以上</w:t>
            </w:r>
          </w:p>
        </w:tc>
        <w:tc>
          <w:tcPr>
            <w:tcW w:w="2346"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84"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主观故意及整改情况</w:t>
            </w:r>
          </w:p>
        </w:tc>
        <w:tc>
          <w:tcPr>
            <w:tcW w:w="5910"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采取停产整治措施</w:t>
            </w:r>
          </w:p>
        </w:tc>
        <w:tc>
          <w:tcPr>
            <w:tcW w:w="2346"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84" w:type="dxa"/>
            <w:vMerge w:val="continue"/>
            <w:vAlign w:val="center"/>
          </w:tcPr>
          <w:p>
            <w:pPr>
              <w:snapToGrid w:val="0"/>
              <w:ind w:firstLine="420"/>
              <w:jc w:val="center"/>
              <w:rPr>
                <w:rFonts w:ascii="Times New Roman" w:hAnsi="Times New Roman" w:cs="Times New Roman"/>
                <w:highlight w:val="none"/>
              </w:rPr>
            </w:pPr>
          </w:p>
        </w:tc>
        <w:tc>
          <w:tcPr>
            <w:tcW w:w="5910"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采取了限产等部分整改措施</w:t>
            </w:r>
          </w:p>
        </w:tc>
        <w:tc>
          <w:tcPr>
            <w:tcW w:w="2346"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84" w:type="dxa"/>
            <w:vMerge w:val="continue"/>
            <w:vAlign w:val="center"/>
          </w:tcPr>
          <w:p>
            <w:pPr>
              <w:snapToGrid w:val="0"/>
              <w:ind w:firstLine="420"/>
              <w:jc w:val="center"/>
              <w:rPr>
                <w:rFonts w:ascii="Times New Roman" w:hAnsi="Times New Roman" w:cs="Times New Roman"/>
                <w:highlight w:val="none"/>
              </w:rPr>
            </w:pPr>
          </w:p>
        </w:tc>
        <w:tc>
          <w:tcPr>
            <w:tcW w:w="5910"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已经按照要求采取必要的污染防治措施，仍然超排，未采取停产限产措施</w:t>
            </w:r>
          </w:p>
        </w:tc>
        <w:tc>
          <w:tcPr>
            <w:tcW w:w="2346"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84" w:type="dxa"/>
            <w:vMerge w:val="continue"/>
            <w:vAlign w:val="center"/>
          </w:tcPr>
          <w:p>
            <w:pPr>
              <w:snapToGrid w:val="0"/>
              <w:ind w:firstLine="420"/>
              <w:jc w:val="center"/>
              <w:rPr>
                <w:rFonts w:ascii="Times New Roman" w:hAnsi="Times New Roman" w:cs="Times New Roman"/>
                <w:highlight w:val="none"/>
              </w:rPr>
            </w:pPr>
          </w:p>
        </w:tc>
        <w:tc>
          <w:tcPr>
            <w:tcW w:w="5910"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没有严格按照要求采取污染防治措施</w:t>
            </w:r>
          </w:p>
        </w:tc>
        <w:tc>
          <w:tcPr>
            <w:tcW w:w="2346"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84" w:type="dxa"/>
            <w:vMerge w:val="continue"/>
            <w:vAlign w:val="center"/>
          </w:tcPr>
          <w:p>
            <w:pPr>
              <w:snapToGrid w:val="0"/>
              <w:ind w:firstLine="420"/>
              <w:jc w:val="center"/>
              <w:rPr>
                <w:rFonts w:ascii="Times New Roman" w:hAnsi="Times New Roman" w:cs="Times New Roman"/>
                <w:highlight w:val="none"/>
              </w:rPr>
            </w:pPr>
          </w:p>
        </w:tc>
        <w:tc>
          <w:tcPr>
            <w:tcW w:w="5910"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完全没有采取污染防治措施</w:t>
            </w:r>
          </w:p>
        </w:tc>
        <w:tc>
          <w:tcPr>
            <w:tcW w:w="2346"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84" w:type="dxa"/>
            <w:vAlign w:val="center"/>
          </w:tcPr>
          <w:p>
            <w:pPr>
              <w:snapToGrid w:val="0"/>
              <w:jc w:val="center"/>
              <w:rPr>
                <w:rFonts w:ascii="Times New Roman" w:hAnsi="Times New Roman" w:cs="Times New Roman"/>
                <w:highlight w:val="none"/>
              </w:rPr>
            </w:pPr>
            <w:r>
              <w:rPr>
                <w:rFonts w:hint="eastAsia" w:ascii="Times New Roman" w:hAnsi="Times New Roman" w:cs="宋体"/>
                <w:b/>
                <w:bCs/>
                <w:highlight w:val="none"/>
              </w:rPr>
              <w:t>备注</w:t>
            </w:r>
          </w:p>
        </w:tc>
        <w:tc>
          <w:tcPr>
            <w:tcW w:w="5910" w:type="dxa"/>
            <w:vAlign w:val="center"/>
          </w:tcPr>
          <w:p>
            <w:pPr>
              <w:snapToGrid w:val="0"/>
              <w:jc w:val="center"/>
              <w:rPr>
                <w:rFonts w:ascii="Times New Roman" w:hAnsi="Times New Roman" w:cs="Times New Roman"/>
                <w:highlight w:val="none"/>
              </w:rPr>
            </w:pPr>
          </w:p>
        </w:tc>
        <w:tc>
          <w:tcPr>
            <w:tcW w:w="2346" w:type="dxa"/>
            <w:vAlign w:val="center"/>
          </w:tcPr>
          <w:p>
            <w:pPr>
              <w:snapToGrid w:val="0"/>
              <w:jc w:val="center"/>
              <w:rPr>
                <w:rFonts w:ascii="Times New Roman" w:hAnsi="Times New Roman" w:cs="Times New Roman"/>
                <w:highlight w:val="none"/>
              </w:rPr>
            </w:pPr>
          </w:p>
        </w:tc>
      </w:tr>
    </w:tbl>
    <w:p>
      <w:pPr>
        <w:widowControl/>
        <w:snapToGrid w:val="0"/>
        <w:jc w:val="left"/>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（三）水污染防治类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tcPr>
          <w:p>
            <w:pPr>
              <w:snapToGrid w:val="0"/>
              <w:spacing w:before="62" w:beforeLines="20"/>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利用渗井、渗坑、裂隙、溶洞，私设暗管，篡改、伪造监测数据，或者不正常运行水污染防治设施等逃避监管的方式排放水污染物的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2"/>
              <w:snapToGrid w:val="0"/>
              <w:spacing w:before="62" w:beforeLines="20" w:beforeAutospacing="0" w:after="0" w:afterAutospacing="0" w:line="264" w:lineRule="auto"/>
              <w:ind w:firstLine="420"/>
              <w:rPr>
                <w:rFonts w:ascii="Times New Roman" w:hAnsi="Times New Roman" w:eastAsia="仿宋_GB2312" w:cs="Times New Roman"/>
                <w:kern w:val="2"/>
                <w:sz w:val="21"/>
                <w:szCs w:val="21"/>
                <w:highlight w:val="none"/>
              </w:rPr>
            </w:pPr>
            <w:r>
              <w:rPr>
                <w:rFonts w:ascii="Times New Roman" w:hAnsi="Times New Roman" w:eastAsia="仿宋_GB2312" w:cs="Times New Roman"/>
                <w:b/>
                <w:bCs/>
                <w:kern w:val="2"/>
                <w:sz w:val="21"/>
                <w:szCs w:val="21"/>
                <w:highlight w:val="none"/>
              </w:rPr>
              <w:t>1.</w:t>
            </w:r>
            <w:r>
              <w:rPr>
                <w:rFonts w:hint="eastAsia" w:ascii="Times New Roman" w:hAnsi="Times New Roman" w:eastAsia="仿宋_GB2312" w:cs="仿宋_GB2312"/>
                <w:b/>
                <w:bCs/>
                <w:kern w:val="2"/>
                <w:sz w:val="21"/>
                <w:szCs w:val="21"/>
                <w:highlight w:val="none"/>
              </w:rPr>
              <w:t>《中华人民共和国水污染防治法》第三十九条</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禁止利用渗井、渗坑、裂隙、溶洞，私设暗管，篡改、伪造监测数据，或者不正常运行水污染防治设施等逃避监管的方式排放水污染物。</w:t>
            </w:r>
          </w:p>
          <w:p>
            <w:pPr>
              <w:pStyle w:val="12"/>
              <w:snapToGrid w:val="0"/>
              <w:spacing w:before="0" w:beforeAutospacing="0" w:after="0" w:afterAutospacing="0" w:line="264" w:lineRule="auto"/>
              <w:ind w:firstLine="420"/>
              <w:rPr>
                <w:rFonts w:ascii="Times New Roman" w:hAnsi="Times New Roman" w:eastAsia="仿宋_GB2312" w:cs="Times New Roman"/>
                <w:sz w:val="21"/>
                <w:szCs w:val="21"/>
                <w:highlight w:val="none"/>
              </w:rPr>
            </w:pPr>
            <w:r>
              <w:rPr>
                <w:rFonts w:ascii="Times New Roman" w:hAnsi="Times New Roman" w:eastAsia="仿宋_GB2312" w:cs="Times New Roman"/>
                <w:b/>
                <w:bCs/>
                <w:sz w:val="21"/>
                <w:szCs w:val="21"/>
                <w:highlight w:val="none"/>
              </w:rPr>
              <w:t>2.</w:t>
            </w:r>
            <w:r>
              <w:rPr>
                <w:rFonts w:hint="eastAsia" w:ascii="Times New Roman" w:hAnsi="Times New Roman" w:eastAsia="仿宋_GB2312" w:cs="仿宋_GB2312"/>
                <w:b/>
                <w:bCs/>
                <w:sz w:val="21"/>
                <w:szCs w:val="21"/>
                <w:highlight w:val="none"/>
              </w:rPr>
              <w:t>《山东省水污染防治条例》第三十一条第二款</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禁止利用渗井、渗坑、裂隙、溶洞、灌注或者私设暗管等方式排放水污染物；禁止篡改、伪造监测数据或者不正常运行防治污染设施等逃避监管的方式排放水污染物。</w:t>
            </w:r>
          </w:p>
          <w:p>
            <w:pPr>
              <w:pStyle w:val="12"/>
              <w:snapToGrid w:val="0"/>
              <w:spacing w:before="0" w:beforeAutospacing="0" w:after="0" w:afterAutospacing="0" w:line="264" w:lineRule="auto"/>
              <w:ind w:firstLine="420"/>
              <w:rPr>
                <w:rFonts w:ascii="Times New Roman" w:hAnsi="Times New Roman" w:eastAsia="仿宋_GB2312" w:cs="Times New Roman"/>
                <w:kern w:val="2"/>
                <w:sz w:val="21"/>
                <w:szCs w:val="21"/>
                <w:highlight w:val="none"/>
              </w:rPr>
            </w:pPr>
            <w:r>
              <w:rPr>
                <w:rFonts w:ascii="Times New Roman" w:hAnsi="Times New Roman" w:eastAsia="仿宋_GB2312" w:cs="Times New Roman"/>
                <w:b/>
                <w:bCs/>
                <w:kern w:val="2"/>
                <w:sz w:val="21"/>
                <w:szCs w:val="21"/>
                <w:highlight w:val="none"/>
              </w:rPr>
              <w:t>3.</w:t>
            </w:r>
            <w:r>
              <w:rPr>
                <w:rFonts w:hint="eastAsia" w:ascii="Times New Roman" w:hAnsi="Times New Roman" w:eastAsia="仿宋_GB2312" w:cs="仿宋_GB2312"/>
                <w:b/>
                <w:bCs/>
                <w:kern w:val="2"/>
                <w:sz w:val="21"/>
                <w:szCs w:val="21"/>
                <w:highlight w:val="none"/>
              </w:rPr>
              <w:t>《山东省南水北调工程沿线区域水污染防治条例》第十一条第三款</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重点排污单位应当安装水污染物排放自动监测设备，并与环境保护行政主管部门的监控设备联网。重点排污单位应当保证水污染物排放自动监测设备正常运行，不得篡改、伪造监测数据。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2"/>
              <w:snapToGrid w:val="0"/>
              <w:spacing w:before="62" w:beforeLines="20" w:beforeAutospacing="0" w:after="0" w:afterAutospacing="0" w:line="264" w:lineRule="auto"/>
              <w:ind w:firstLine="420"/>
              <w:rPr>
                <w:rFonts w:ascii="Times New Roman" w:hAnsi="Times New Roman" w:eastAsia="仿宋_GB2312" w:cs="Times New Roman"/>
                <w:kern w:val="2"/>
                <w:sz w:val="21"/>
                <w:szCs w:val="21"/>
                <w:highlight w:val="none"/>
              </w:rPr>
            </w:pPr>
            <w:r>
              <w:rPr>
                <w:rFonts w:ascii="Times New Roman" w:hAnsi="Times New Roman" w:eastAsia="仿宋_GB2312" w:cs="Times New Roman"/>
                <w:b/>
                <w:bCs/>
                <w:kern w:val="2"/>
                <w:sz w:val="21"/>
                <w:szCs w:val="21"/>
                <w:highlight w:val="none"/>
              </w:rPr>
              <w:t>1.</w:t>
            </w:r>
            <w:r>
              <w:rPr>
                <w:rFonts w:hint="eastAsia" w:ascii="Times New Roman" w:hAnsi="Times New Roman" w:eastAsia="仿宋_GB2312" w:cs="仿宋_GB2312"/>
                <w:b/>
                <w:bCs/>
                <w:kern w:val="2"/>
                <w:sz w:val="21"/>
                <w:szCs w:val="21"/>
                <w:highlight w:val="none"/>
              </w:rPr>
              <w:t>《中华人民共和国水污染防治法》第八十三条第（三）项</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违反本法规定，有下列行为之一的，由县级以上人民政府环境保护主管部门责令改正或者责令限制生产、停产整治，并处十万元以上一百万元以下的罚款；情节严重的，报经有批准权的人民政府批准，责令停业、关闭：</w:t>
            </w:r>
          </w:p>
          <w:p>
            <w:pPr>
              <w:pStyle w:val="12"/>
              <w:snapToGrid w:val="0"/>
              <w:spacing w:before="0" w:beforeAutospacing="0" w:after="0" w:afterAutospacing="0" w:line="264" w:lineRule="auto"/>
              <w:ind w:firstLine="42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（三）利用渗井、渗坑、裂隙、溶洞，私设暗管，篡改、伪造监测数据，或者不正常运行水污染防治设施等逃避监管的方式排放水污染物的。</w:t>
            </w:r>
          </w:p>
          <w:p>
            <w:pPr>
              <w:snapToGrid w:val="0"/>
              <w:spacing w:line="264" w:lineRule="auto"/>
              <w:ind w:firstLine="420"/>
              <w:rPr>
                <w:rFonts w:ascii="Times New Roman" w:hAnsi="Times New Roman" w:eastAsia="仿宋_GB2312" w:cs="Times New Roman"/>
                <w:highlight w:val="none"/>
              </w:rPr>
            </w:pPr>
            <w:r>
              <w:rPr>
                <w:rFonts w:ascii="Times New Roman" w:hAnsi="Times New Roman" w:eastAsia="仿宋_GB2312" w:cs="Times New Roman"/>
                <w:b/>
                <w:bCs/>
                <w:highlight w:val="none"/>
              </w:rPr>
              <w:t>2.</w:t>
            </w:r>
            <w:r>
              <w:rPr>
                <w:rFonts w:hint="eastAsia" w:ascii="Times New Roman" w:hAnsi="Times New Roman" w:eastAsia="仿宋_GB2312" w:cs="仿宋_GB2312"/>
                <w:b/>
                <w:bCs/>
                <w:highlight w:val="none"/>
              </w:rPr>
              <w:t>《山东省水污染防治条例》第七十五条第（二）项</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违反本条例规定，有下列情形之一的，由县级以上人民政府环境保护主管部门责令改正或者责令限制生产、停产整治，并处十万元以上一百万元以下的罚款；情节严重的，报经有批准权的人民政府批准，责令停业、关闭：</w:t>
            </w:r>
          </w:p>
          <w:p>
            <w:pPr>
              <w:pStyle w:val="12"/>
              <w:snapToGrid w:val="0"/>
              <w:spacing w:before="0" w:beforeAutospacing="0" w:after="0" w:afterAutospacing="0" w:line="264"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（二）利用渗井、渗坑、裂隙、溶洞、灌注或者私设暗管等方式排放水污染物，篡改、伪造监测数据或者不正常运行防治污染设施等逃避监管的方式排放水污染物的。</w:t>
            </w:r>
          </w:p>
          <w:p>
            <w:pPr>
              <w:pStyle w:val="12"/>
              <w:snapToGrid w:val="0"/>
              <w:spacing w:before="0" w:beforeAutospacing="0" w:after="0" w:afterAutospacing="0" w:line="264" w:lineRule="auto"/>
              <w:ind w:firstLine="422" w:firstLineChars="200"/>
              <w:rPr>
                <w:rFonts w:ascii="Times New Roman" w:hAnsi="Times New Roman" w:eastAsia="仿宋_GB2312" w:cs="Times New Roman"/>
                <w:kern w:val="2"/>
                <w:sz w:val="21"/>
                <w:szCs w:val="21"/>
                <w:highlight w:val="none"/>
              </w:rPr>
            </w:pPr>
            <w:r>
              <w:rPr>
                <w:rFonts w:ascii="Times New Roman" w:hAnsi="Times New Roman" w:eastAsia="仿宋_GB2312" w:cs="Times New Roman"/>
                <w:b/>
                <w:bCs/>
                <w:kern w:val="2"/>
                <w:sz w:val="21"/>
                <w:szCs w:val="21"/>
                <w:highlight w:val="none"/>
              </w:rPr>
              <w:t>3.</w:t>
            </w:r>
            <w:r>
              <w:rPr>
                <w:rFonts w:hint="eastAsia" w:ascii="Times New Roman" w:hAnsi="Times New Roman" w:eastAsia="仿宋_GB2312" w:cs="仿宋_GB2312"/>
                <w:b/>
                <w:bCs/>
                <w:kern w:val="2"/>
                <w:sz w:val="21"/>
                <w:szCs w:val="21"/>
                <w:highlight w:val="none"/>
              </w:rPr>
              <w:t>《山东省南水北调工程沿线区域水污染防治条例》第四十四条第（二）项</w:t>
            </w:r>
            <w:r>
              <w:rPr>
                <w:rFonts w:ascii="Times New Roman" w:hAnsi="Times New Roman" w:eastAsia="仿宋_GB2312" w:cs="Times New Roman"/>
                <w:b/>
                <w:bCs/>
                <w:kern w:val="2"/>
                <w:sz w:val="21"/>
                <w:szCs w:val="21"/>
                <w:highlight w:val="none"/>
              </w:rPr>
              <w:t xml:space="preserve"> </w:t>
            </w:r>
            <w:r>
              <w:rPr>
                <w:rFonts w:hint="eastAsia" w:ascii="Times New Roman" w:hAnsi="Times New Roman" w:eastAsia="仿宋_GB2312" w:cs="仿宋_GB2312"/>
                <w:kern w:val="2"/>
                <w:sz w:val="21"/>
                <w:szCs w:val="21"/>
                <w:highlight w:val="none"/>
              </w:rPr>
              <w:t>违反本条例规定，有下列情形之一的，由县级以上人民政府环境保护行政主管部门按照下列规定进行处罚；构成犯罪的，依法追究刑事责任：</w:t>
            </w:r>
          </w:p>
          <w:p>
            <w:pPr>
              <w:pStyle w:val="12"/>
              <w:snapToGrid w:val="0"/>
              <w:spacing w:before="0" w:beforeAutospacing="0" w:after="0" w:afterAutospacing="0" w:line="264" w:lineRule="auto"/>
              <w:ind w:firstLine="420"/>
              <w:rPr>
                <w:rFonts w:ascii="Times New Roman" w:hAnsi="Times New Roman" w:eastAsia="仿宋_GB2312" w:cs="Times New Roman"/>
                <w:b/>
                <w:bCs/>
                <w:kern w:val="2"/>
                <w:sz w:val="21"/>
                <w:szCs w:val="21"/>
                <w:highlight w:val="none"/>
              </w:rPr>
            </w:pPr>
            <w:r>
              <w:rPr>
                <w:rFonts w:hint="eastAsia" w:ascii="Times New Roman" w:hAnsi="Times New Roman" w:eastAsia="仿宋_GB2312" w:cs="仿宋_GB2312"/>
                <w:kern w:val="2"/>
                <w:sz w:val="21"/>
                <w:szCs w:val="21"/>
                <w:highlight w:val="none"/>
              </w:rPr>
              <w:t>（二）重点排污单位篡改、伪造监测数据的，责令改正或者责令限制生产、停产整治，并处十万元以上一百万元以下的罚款；情节严重的，报经有批准权的人民政府批准，责令停业、关闭。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宋体"/>
                <w:b/>
                <w:bCs/>
                <w:color w:val="000000"/>
                <w:highlight w:val="none"/>
              </w:rPr>
            </w:pPr>
            <w:r>
              <w:rPr>
                <w:rFonts w:hint="eastAsia" w:ascii="Times New Roman" w:hAnsi="Times New Roman" w:cs="宋体"/>
                <w:b/>
                <w:bCs/>
                <w:color w:val="000000"/>
                <w:highlight w:val="none"/>
              </w:rPr>
              <w:t>违法事实★</w:t>
            </w:r>
          </w:p>
        </w:tc>
        <w:tc>
          <w:tcPr>
            <w:tcW w:w="5245" w:type="dxa"/>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部分处理设施不能正常运行</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宋体"/>
                <w:b/>
                <w:bCs/>
                <w:highlight w:val="none"/>
              </w:rPr>
            </w:pPr>
          </w:p>
        </w:tc>
        <w:tc>
          <w:tcPr>
            <w:tcW w:w="5245" w:type="dxa"/>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部分处理设施停运</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宋体"/>
                <w:b/>
                <w:bCs/>
                <w:highlight w:val="none"/>
              </w:rPr>
            </w:pPr>
          </w:p>
        </w:tc>
        <w:tc>
          <w:tcPr>
            <w:tcW w:w="5245" w:type="dxa"/>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整体或关键处理设施不能正常运行</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宋体"/>
                <w:b/>
                <w:bCs/>
                <w:highlight w:val="none"/>
              </w:rPr>
            </w:pPr>
          </w:p>
        </w:tc>
        <w:tc>
          <w:tcPr>
            <w:tcW w:w="5245" w:type="dxa"/>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整体或关键处理设施停运</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为逃避现场检查临时停产</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宋体"/>
                <w:b/>
                <w:bCs/>
                <w:highlight w:val="none"/>
              </w:rPr>
            </w:pPr>
          </w:p>
        </w:tc>
        <w:tc>
          <w:tcPr>
            <w:tcW w:w="5245" w:type="dxa"/>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正常生产时不通过处理设施利用其他方式直接排放或者关闭自动监测设备</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篡改、伪造监测数据</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废水类别</w:t>
            </w: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生活废水</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sz w:val="21"/>
                <w:szCs w:val="21"/>
                <w:highlight w:val="none"/>
              </w:rPr>
              <w:t>服务业废水</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sz w:val="21"/>
                <w:szCs w:val="21"/>
                <w:highlight w:val="none"/>
              </w:rPr>
              <w:t>一般工业废水</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sz w:val="21"/>
                <w:szCs w:val="21"/>
                <w:highlight w:val="none"/>
              </w:rPr>
              <w:t>含其他有毒有害物质的废水、医疗废水</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sz w:val="21"/>
                <w:szCs w:val="21"/>
                <w:highlight w:val="none"/>
              </w:rPr>
              <w:t>含一类污染物或重金属、病原体、放射性物质的废水</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排污超标</w:t>
            </w:r>
          </w:p>
          <w:p>
            <w:pPr>
              <w:snapToGrid w:val="0"/>
              <w:jc w:val="center"/>
              <w:rPr>
                <w:rFonts w:ascii="Times New Roman" w:hAnsi="Times New Roman" w:cs="Times New Roman"/>
                <w:b/>
                <w:bCs/>
                <w:highlight w:val="none"/>
              </w:rPr>
            </w:pPr>
            <w:r>
              <w:rPr>
                <w:rFonts w:hint="eastAsia" w:ascii="Times New Roman" w:hAnsi="Times New Roman" w:cs="宋体"/>
                <w:b/>
                <w:bCs/>
                <w:color w:val="000000"/>
                <w:highlight w:val="none"/>
              </w:rPr>
              <w:t>状况</w:t>
            </w: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未超标</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超标</w:t>
            </w:r>
            <w:r>
              <w:rPr>
                <w:rFonts w:ascii="Times New Roman" w:hAnsi="Times New Roman" w:eastAsia="仿宋_GB2312" w:cs="Times New Roman"/>
                <w:highlight w:val="none"/>
              </w:rPr>
              <w:t>0.5</w:t>
            </w:r>
            <w:r>
              <w:rPr>
                <w:rFonts w:hint="eastAsia" w:ascii="Times New Roman" w:hAnsi="Times New Roman" w:eastAsia="仿宋_GB2312" w:cs="仿宋_GB2312"/>
                <w:highlight w:val="none"/>
              </w:rPr>
              <w:t>倍以下</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超标</w:t>
            </w:r>
            <w:r>
              <w:rPr>
                <w:rFonts w:ascii="Times New Roman" w:hAnsi="Times New Roman" w:eastAsia="仿宋_GB2312" w:cs="Times New Roman"/>
                <w:highlight w:val="none"/>
              </w:rPr>
              <w:t>0.5</w:t>
            </w:r>
            <w:r>
              <w:rPr>
                <w:rFonts w:hint="eastAsia" w:ascii="Times New Roman" w:hAnsi="Times New Roman" w:eastAsia="仿宋_GB2312" w:cs="仿宋_GB2312"/>
                <w:highlight w:val="none"/>
              </w:rPr>
              <w:t>倍以上</w:t>
            </w:r>
            <w:r>
              <w:rPr>
                <w:rFonts w:ascii="Times New Roman" w:hAnsi="Times New Roman" w:eastAsia="仿宋_GB2312" w:cs="Times New Roman"/>
                <w:highlight w:val="none"/>
              </w:rPr>
              <w:t>1</w:t>
            </w:r>
            <w:r>
              <w:rPr>
                <w:rFonts w:hint="eastAsia" w:ascii="Times New Roman" w:hAnsi="Times New Roman" w:eastAsia="仿宋_GB2312" w:cs="仿宋_GB2312"/>
                <w:highlight w:val="none"/>
              </w:rPr>
              <w:t>倍以下（</w:t>
            </w:r>
            <w:r>
              <w:rPr>
                <w:rFonts w:ascii="Times New Roman" w:hAnsi="Times New Roman" w:eastAsia="仿宋_GB2312" w:cs="Times New Roman"/>
                <w:highlight w:val="none"/>
              </w:rPr>
              <w:t>pH</w:t>
            </w:r>
            <w:r>
              <w:rPr>
                <w:rFonts w:hint="eastAsia" w:ascii="Times New Roman" w:hAnsi="Times New Roman" w:eastAsia="仿宋_GB2312" w:cs="仿宋_GB2312"/>
                <w:highlight w:val="none"/>
              </w:rPr>
              <w:t>值</w:t>
            </w:r>
            <w:r>
              <w:rPr>
                <w:rFonts w:ascii="Times New Roman" w:hAnsi="Times New Roman" w:eastAsia="仿宋_GB2312" w:cs="Times New Roman"/>
                <w:highlight w:val="none"/>
              </w:rPr>
              <w:t>9-10</w:t>
            </w:r>
            <w:r>
              <w:rPr>
                <w:rFonts w:hint="eastAsia" w:ascii="Times New Roman" w:hAnsi="Times New Roman" w:eastAsia="仿宋_GB2312" w:cs="仿宋_GB2312"/>
                <w:highlight w:val="none"/>
              </w:rPr>
              <w:t>或</w:t>
            </w:r>
            <w:r>
              <w:rPr>
                <w:rFonts w:ascii="Times New Roman" w:hAnsi="Times New Roman" w:eastAsia="仿宋_GB2312" w:cs="Times New Roman"/>
                <w:highlight w:val="none"/>
              </w:rPr>
              <w:t>pH</w:t>
            </w:r>
            <w:r>
              <w:rPr>
                <w:rFonts w:hint="eastAsia" w:ascii="Times New Roman" w:hAnsi="Times New Roman" w:eastAsia="仿宋_GB2312" w:cs="仿宋_GB2312"/>
                <w:highlight w:val="none"/>
              </w:rPr>
              <w:t>值</w:t>
            </w:r>
            <w:r>
              <w:rPr>
                <w:rFonts w:ascii="Times New Roman" w:hAnsi="Times New Roman" w:eastAsia="仿宋_GB2312" w:cs="Times New Roman"/>
                <w:highlight w:val="none"/>
              </w:rPr>
              <w:t>5-6</w:t>
            </w:r>
            <w:r>
              <w:rPr>
                <w:rFonts w:hint="eastAsia" w:ascii="Times New Roman" w:hAnsi="Times New Roman" w:eastAsia="仿宋_GB2312" w:cs="仿宋_GB2312"/>
                <w:highlight w:val="none"/>
              </w:rPr>
              <w:t>）</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超标</w:t>
            </w:r>
            <w:r>
              <w:rPr>
                <w:rFonts w:ascii="Times New Roman" w:hAnsi="Times New Roman" w:eastAsia="仿宋_GB2312" w:cs="Times New Roman"/>
                <w:highlight w:val="none"/>
              </w:rPr>
              <w:t>1</w:t>
            </w:r>
            <w:r>
              <w:rPr>
                <w:rFonts w:hint="eastAsia" w:ascii="Times New Roman" w:hAnsi="Times New Roman" w:eastAsia="仿宋_GB2312" w:cs="仿宋_GB2312"/>
                <w:highlight w:val="none"/>
              </w:rPr>
              <w:t>倍以上</w:t>
            </w:r>
            <w:r>
              <w:rPr>
                <w:rFonts w:ascii="Times New Roman" w:hAnsi="Times New Roman" w:eastAsia="仿宋_GB2312" w:cs="Times New Roman"/>
                <w:highlight w:val="none"/>
              </w:rPr>
              <w:t>3</w:t>
            </w:r>
            <w:r>
              <w:rPr>
                <w:rFonts w:hint="eastAsia" w:ascii="Times New Roman" w:hAnsi="Times New Roman" w:eastAsia="仿宋_GB2312" w:cs="仿宋_GB2312"/>
                <w:highlight w:val="none"/>
              </w:rPr>
              <w:t>倍以下（</w:t>
            </w:r>
            <w:r>
              <w:rPr>
                <w:rFonts w:ascii="Times New Roman" w:hAnsi="Times New Roman" w:eastAsia="仿宋_GB2312" w:cs="Times New Roman"/>
                <w:highlight w:val="none"/>
              </w:rPr>
              <w:t>pH</w:t>
            </w:r>
            <w:r>
              <w:rPr>
                <w:rFonts w:hint="eastAsia" w:ascii="Times New Roman" w:hAnsi="Times New Roman" w:eastAsia="仿宋_GB2312" w:cs="仿宋_GB2312"/>
                <w:highlight w:val="none"/>
              </w:rPr>
              <w:t>值</w:t>
            </w:r>
            <w:r>
              <w:rPr>
                <w:rFonts w:ascii="Times New Roman" w:hAnsi="Times New Roman" w:eastAsia="仿宋_GB2312" w:cs="Times New Roman"/>
                <w:highlight w:val="none"/>
              </w:rPr>
              <w:t>10-11</w:t>
            </w:r>
            <w:r>
              <w:rPr>
                <w:rFonts w:hint="eastAsia" w:ascii="Times New Roman" w:hAnsi="Times New Roman" w:eastAsia="仿宋_GB2312" w:cs="仿宋_GB2312"/>
                <w:highlight w:val="none"/>
              </w:rPr>
              <w:t>或</w:t>
            </w:r>
            <w:r>
              <w:rPr>
                <w:rFonts w:ascii="Times New Roman" w:hAnsi="Times New Roman" w:eastAsia="仿宋_GB2312" w:cs="Times New Roman"/>
                <w:highlight w:val="none"/>
              </w:rPr>
              <w:t>pH</w:t>
            </w:r>
            <w:r>
              <w:rPr>
                <w:rFonts w:hint="eastAsia" w:ascii="Times New Roman" w:hAnsi="Times New Roman" w:eastAsia="仿宋_GB2312" w:cs="仿宋_GB2312"/>
                <w:highlight w:val="none"/>
              </w:rPr>
              <w:t>值</w:t>
            </w:r>
            <w:r>
              <w:rPr>
                <w:rFonts w:ascii="Times New Roman" w:hAnsi="Times New Roman" w:eastAsia="仿宋_GB2312" w:cs="Times New Roman"/>
                <w:highlight w:val="none"/>
              </w:rPr>
              <w:t>4-5</w:t>
            </w:r>
            <w:r>
              <w:rPr>
                <w:rFonts w:hint="eastAsia" w:ascii="Times New Roman" w:hAnsi="Times New Roman" w:eastAsia="仿宋_GB2312" w:cs="仿宋_GB2312"/>
                <w:highlight w:val="none"/>
              </w:rPr>
              <w:t>）</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超标</w:t>
            </w:r>
            <w:r>
              <w:rPr>
                <w:rFonts w:ascii="Times New Roman" w:hAnsi="Times New Roman" w:eastAsia="仿宋_GB2312" w:cs="Times New Roman"/>
                <w:highlight w:val="none"/>
              </w:rPr>
              <w:t>3</w:t>
            </w:r>
            <w:r>
              <w:rPr>
                <w:rFonts w:hint="eastAsia" w:ascii="Times New Roman" w:hAnsi="Times New Roman" w:eastAsia="仿宋_GB2312" w:cs="仿宋_GB2312"/>
                <w:highlight w:val="none"/>
              </w:rPr>
              <w:t>倍以上（</w:t>
            </w:r>
            <w:r>
              <w:rPr>
                <w:rFonts w:ascii="Times New Roman" w:hAnsi="Times New Roman" w:eastAsia="仿宋_GB2312" w:cs="Times New Roman"/>
                <w:highlight w:val="none"/>
              </w:rPr>
              <w:t>pH</w:t>
            </w:r>
            <w:r>
              <w:rPr>
                <w:rFonts w:hint="eastAsia" w:ascii="Times New Roman" w:hAnsi="Times New Roman" w:eastAsia="仿宋_GB2312" w:cs="仿宋_GB2312"/>
                <w:highlight w:val="none"/>
              </w:rPr>
              <w:t>值</w:t>
            </w:r>
            <w:r>
              <w:rPr>
                <w:rFonts w:ascii="Times New Roman" w:hAnsi="Times New Roman" w:eastAsia="仿宋_GB2312" w:cs="Times New Roman"/>
                <w:highlight w:val="none"/>
              </w:rPr>
              <w:t>11</w:t>
            </w:r>
            <w:r>
              <w:rPr>
                <w:rFonts w:hint="eastAsia" w:ascii="Times New Roman" w:hAnsi="Times New Roman" w:eastAsia="仿宋_GB2312" w:cs="Times New Roman"/>
                <w:highlight w:val="none"/>
              </w:rPr>
              <w:t>以上</w:t>
            </w:r>
            <w:r>
              <w:rPr>
                <w:rFonts w:hint="eastAsia" w:ascii="Times New Roman" w:hAnsi="Times New Roman" w:eastAsia="仿宋_GB2312" w:cs="仿宋_GB2312"/>
                <w:highlight w:val="none"/>
              </w:rPr>
              <w:t>或</w:t>
            </w:r>
            <w:r>
              <w:rPr>
                <w:rFonts w:ascii="Times New Roman" w:hAnsi="Times New Roman" w:eastAsia="仿宋_GB2312" w:cs="Times New Roman"/>
                <w:highlight w:val="none"/>
              </w:rPr>
              <w:t>pH</w:t>
            </w:r>
            <w:r>
              <w:rPr>
                <w:rFonts w:hint="eastAsia" w:ascii="Times New Roman" w:hAnsi="Times New Roman" w:eastAsia="仿宋_GB2312" w:cs="仿宋_GB2312"/>
                <w:highlight w:val="none"/>
              </w:rPr>
              <w:t>值</w:t>
            </w:r>
            <w:r>
              <w:rPr>
                <w:rFonts w:ascii="Times New Roman" w:hAnsi="Times New Roman" w:eastAsia="仿宋_GB2312" w:cs="Times New Roman"/>
                <w:highlight w:val="none"/>
              </w:rPr>
              <w:t>4</w:t>
            </w:r>
            <w:r>
              <w:rPr>
                <w:rFonts w:hint="eastAsia" w:ascii="Times New Roman" w:hAnsi="Times New Roman" w:eastAsia="仿宋_GB2312" w:cs="Times New Roman"/>
                <w:highlight w:val="none"/>
              </w:rPr>
              <w:t>以下</w:t>
            </w:r>
            <w:r>
              <w:rPr>
                <w:rFonts w:hint="eastAsia" w:ascii="Times New Roman" w:hAnsi="Times New Roman" w:eastAsia="仿宋_GB2312" w:cs="仿宋_GB2312"/>
                <w:highlight w:val="none"/>
              </w:rPr>
              <w:t>）</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widowControl/>
              <w:snapToGrid w:val="0"/>
              <w:jc w:val="center"/>
              <w:textAlignment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水日排放量</w:t>
            </w: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吨（一般排污单位）</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万吨（生活污水处理厂）</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2000</w:t>
            </w:r>
            <w:r>
              <w:rPr>
                <w:rFonts w:hint="eastAsia" w:ascii="Times New Roman" w:hAnsi="Times New Roman" w:eastAsia="仿宋_GB2312" w:cs="仿宋_GB2312"/>
                <w:color w:val="000000"/>
                <w:highlight w:val="none"/>
              </w:rPr>
              <w:t>吨（工业污水处理厂）</w:t>
            </w:r>
          </w:p>
        </w:tc>
        <w:tc>
          <w:tcPr>
            <w:tcW w:w="2693" w:type="dxa"/>
            <w:vAlign w:val="center"/>
          </w:tcPr>
          <w:p>
            <w:pPr>
              <w:widowControl/>
              <w:snapToGrid w:val="0"/>
              <w:jc w:val="center"/>
              <w:textAlignment w:val="center"/>
              <w:rPr>
                <w:rFonts w:ascii="Times New Roman" w:hAnsi="Times New Roman" w:cs="Times New Roman"/>
                <w:color w:val="000000"/>
                <w:highlight w:val="none"/>
              </w:rPr>
            </w:pPr>
            <w:r>
              <w:rPr>
                <w:rFonts w:ascii="Times New Roman" w:hAnsi="Times New Roman" w:cs="Times New Roman"/>
                <w:color w:val="000000"/>
                <w:kern w:val="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吨以上不足</w:t>
            </w:r>
            <w:r>
              <w:rPr>
                <w:rFonts w:ascii="Times New Roman" w:hAnsi="Times New Roman" w:eastAsia="仿宋_GB2312" w:cs="Times New Roman"/>
                <w:color w:val="000000"/>
                <w:highlight w:val="none"/>
              </w:rPr>
              <w:t>100</w:t>
            </w:r>
            <w:r>
              <w:rPr>
                <w:rFonts w:hint="eastAsia" w:ascii="Times New Roman" w:hAnsi="Times New Roman" w:eastAsia="仿宋_GB2312" w:cs="仿宋_GB2312"/>
                <w:color w:val="000000"/>
                <w:highlight w:val="none"/>
              </w:rPr>
              <w:t>吨（一般排污单位）</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万吨以上不足</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万吨（生活污水处理厂）</w:t>
            </w:r>
            <w:r>
              <w:rPr>
                <w:rFonts w:ascii="Times New Roman" w:hAnsi="Times New Roman" w:eastAsia="仿宋_GB2312" w:cs="Times New Roman"/>
                <w:color w:val="000000"/>
                <w:highlight w:val="none"/>
              </w:rPr>
              <w:t>/ 2000</w:t>
            </w:r>
            <w:r>
              <w:rPr>
                <w:rFonts w:hint="eastAsia" w:ascii="Times New Roman" w:hAnsi="Times New Roman" w:eastAsia="仿宋_GB2312" w:cs="仿宋_GB2312"/>
                <w:color w:val="000000"/>
                <w:highlight w:val="none"/>
              </w:rPr>
              <w:t>吨以上不足</w:t>
            </w:r>
            <w:r>
              <w:rPr>
                <w:rFonts w:ascii="Times New Roman" w:hAnsi="Times New Roman" w:eastAsia="仿宋_GB2312" w:cs="Times New Roman"/>
                <w:color w:val="000000"/>
                <w:highlight w:val="none"/>
              </w:rPr>
              <w:t>5000</w:t>
            </w:r>
            <w:r>
              <w:rPr>
                <w:rFonts w:hint="eastAsia" w:ascii="Times New Roman" w:hAnsi="Times New Roman" w:eastAsia="仿宋_GB2312" w:cs="仿宋_GB2312"/>
                <w:color w:val="000000"/>
                <w:highlight w:val="none"/>
              </w:rPr>
              <w:t>吨（工业污水处理厂）</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kern w:val="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100</w:t>
            </w:r>
            <w:r>
              <w:rPr>
                <w:rFonts w:hint="eastAsia" w:ascii="Times New Roman" w:hAnsi="Times New Roman" w:eastAsia="仿宋_GB2312" w:cs="仿宋_GB2312"/>
                <w:color w:val="000000"/>
                <w:highlight w:val="none"/>
              </w:rPr>
              <w:t>吨以上不足</w:t>
            </w:r>
            <w:r>
              <w:rPr>
                <w:rFonts w:ascii="Times New Roman" w:hAnsi="Times New Roman" w:eastAsia="仿宋_GB2312" w:cs="Times New Roman"/>
                <w:color w:val="000000"/>
                <w:highlight w:val="none"/>
              </w:rPr>
              <w:t>500</w:t>
            </w:r>
            <w:r>
              <w:rPr>
                <w:rFonts w:hint="eastAsia" w:ascii="Times New Roman" w:hAnsi="Times New Roman" w:eastAsia="仿宋_GB2312" w:cs="仿宋_GB2312"/>
                <w:color w:val="000000"/>
                <w:highlight w:val="none"/>
              </w:rPr>
              <w:t>吨（一般排污单位）</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万吨以上不足</w:t>
            </w: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万吨（生活污水处理厂）</w:t>
            </w:r>
            <w:r>
              <w:rPr>
                <w:rFonts w:ascii="Times New Roman" w:hAnsi="Times New Roman" w:eastAsia="仿宋_GB2312" w:cs="Times New Roman"/>
                <w:color w:val="000000"/>
                <w:highlight w:val="none"/>
              </w:rPr>
              <w:t>/5000</w:t>
            </w:r>
            <w:r>
              <w:rPr>
                <w:rFonts w:hint="eastAsia" w:ascii="Times New Roman" w:hAnsi="Times New Roman" w:eastAsia="仿宋_GB2312" w:cs="仿宋_GB2312"/>
                <w:color w:val="000000"/>
                <w:highlight w:val="none"/>
              </w:rPr>
              <w:t>吨以上不足</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万吨（工业污水处理厂）</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kern w:val="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500</w:t>
            </w:r>
            <w:r>
              <w:rPr>
                <w:rFonts w:hint="eastAsia" w:ascii="Times New Roman" w:hAnsi="Times New Roman" w:eastAsia="仿宋_GB2312" w:cs="仿宋_GB2312"/>
                <w:color w:val="000000"/>
                <w:highlight w:val="none"/>
              </w:rPr>
              <w:t>吨以上不足</w:t>
            </w:r>
            <w:r>
              <w:rPr>
                <w:rFonts w:ascii="Times New Roman" w:hAnsi="Times New Roman" w:eastAsia="仿宋_GB2312" w:cs="Times New Roman"/>
                <w:color w:val="000000"/>
                <w:highlight w:val="none"/>
              </w:rPr>
              <w:t>1000</w:t>
            </w:r>
            <w:r>
              <w:rPr>
                <w:rFonts w:hint="eastAsia" w:ascii="Times New Roman" w:hAnsi="Times New Roman" w:eastAsia="仿宋_GB2312" w:cs="仿宋_GB2312"/>
                <w:color w:val="000000"/>
                <w:highlight w:val="none"/>
              </w:rPr>
              <w:t>吨（一般排污单位）</w:t>
            </w: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万吨以上不足</w:t>
            </w:r>
            <w:r>
              <w:rPr>
                <w:rFonts w:ascii="Times New Roman" w:hAnsi="Times New Roman" w:eastAsia="仿宋_GB2312" w:cs="Times New Roman"/>
                <w:color w:val="000000"/>
                <w:highlight w:val="none"/>
              </w:rPr>
              <w:t>50</w:t>
            </w:r>
            <w:r>
              <w:rPr>
                <w:rFonts w:hint="eastAsia" w:ascii="Times New Roman" w:hAnsi="Times New Roman" w:eastAsia="仿宋_GB2312" w:cs="仿宋_GB2312"/>
                <w:color w:val="000000"/>
                <w:highlight w:val="none"/>
              </w:rPr>
              <w:t>万吨（生活污水处理厂）</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万吨以上不足</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万吨（工业污水处理厂）</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kern w:val="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1000</w:t>
            </w:r>
            <w:r>
              <w:rPr>
                <w:rFonts w:hint="eastAsia" w:ascii="Times New Roman" w:hAnsi="Times New Roman" w:eastAsia="仿宋_GB2312" w:cs="仿宋_GB2312"/>
                <w:color w:val="000000"/>
                <w:highlight w:val="none"/>
              </w:rPr>
              <w:t>吨以上（一般排污单位）</w:t>
            </w:r>
            <w:r>
              <w:rPr>
                <w:rFonts w:ascii="Times New Roman" w:hAnsi="Times New Roman" w:eastAsia="仿宋_GB2312" w:cs="Times New Roman"/>
                <w:color w:val="000000"/>
                <w:highlight w:val="none"/>
              </w:rPr>
              <w:t>/50</w:t>
            </w:r>
            <w:r>
              <w:rPr>
                <w:rFonts w:hint="eastAsia" w:ascii="Times New Roman" w:hAnsi="Times New Roman" w:eastAsia="仿宋_GB2312" w:cs="仿宋_GB2312"/>
                <w:color w:val="000000"/>
                <w:highlight w:val="none"/>
              </w:rPr>
              <w:t>万吨以上（生活污水处理厂）</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万吨以上（工业污水处理厂）</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kern w:val="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排放去向</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或区域</w:t>
            </w:r>
          </w:p>
        </w:tc>
        <w:tc>
          <w:tcPr>
            <w:tcW w:w="5245"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Ⅴ</w:t>
            </w:r>
            <w:r>
              <w:rPr>
                <w:rFonts w:hint="eastAsia" w:ascii="Times New Roman" w:hAnsi="Times New Roman" w:eastAsia="仿宋_GB2312" w:cs="仿宋_GB2312"/>
                <w:highlight w:val="none"/>
              </w:rPr>
              <w:t>类水体或污水集中处理设施</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Ⅳ</w:t>
            </w:r>
            <w:r>
              <w:rPr>
                <w:rFonts w:hint="eastAsia" w:ascii="Times New Roman" w:hAnsi="Times New Roman" w:eastAsia="仿宋_GB2312" w:cs="仿宋_GB2312"/>
                <w:highlight w:val="none"/>
              </w:rPr>
              <w:t>类水体</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Ⅲ</w:t>
            </w:r>
            <w:r>
              <w:rPr>
                <w:rFonts w:hint="eastAsia" w:ascii="Times New Roman" w:hAnsi="Times New Roman" w:eastAsia="仿宋_GB2312" w:cs="仿宋_GB2312"/>
                <w:highlight w:val="none"/>
              </w:rPr>
              <w:t>类水体</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Ⅱ</w:t>
            </w:r>
            <w:r>
              <w:rPr>
                <w:rFonts w:hint="eastAsia" w:ascii="Times New Roman" w:hAnsi="Times New Roman" w:eastAsia="仿宋_GB2312" w:cs="仿宋_GB2312"/>
                <w:highlight w:val="none"/>
              </w:rPr>
              <w:t>类水体</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Ⅰ</w:t>
            </w:r>
            <w:r>
              <w:rPr>
                <w:rFonts w:hint="eastAsia" w:ascii="Times New Roman" w:hAnsi="Times New Roman" w:eastAsia="仿宋_GB2312" w:cs="仿宋_GB2312"/>
                <w:highlight w:val="none"/>
              </w:rPr>
              <w:t>类水体</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cs="Times New Roman"/>
                <w:color w:val="000000"/>
                <w:highlight w:val="none"/>
              </w:rPr>
            </w:pPr>
          </w:p>
        </w:tc>
      </w:tr>
    </w:tbl>
    <w:p>
      <w:pPr>
        <w:widowControl/>
        <w:snapToGrid w:val="0"/>
        <w:jc w:val="left"/>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（三）水污染防治类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未按照规定进行预处理，向污水集中处理设施排放不符合处理工艺要求的工业废水的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2"/>
              <w:snapToGrid w:val="0"/>
              <w:spacing w:before="62" w:beforeLines="20" w:beforeAutospacing="0" w:after="0" w:afterAutospacing="0" w:line="288" w:lineRule="auto"/>
              <w:ind w:firstLine="420"/>
              <w:rPr>
                <w:rFonts w:ascii="Times New Roman" w:hAnsi="Times New Roman" w:eastAsia="仿宋_GB2312" w:cs="Times New Roman"/>
                <w:kern w:val="2"/>
                <w:sz w:val="21"/>
                <w:szCs w:val="21"/>
                <w:highlight w:val="none"/>
              </w:rPr>
            </w:pPr>
            <w:r>
              <w:rPr>
                <w:rFonts w:ascii="Times New Roman" w:hAnsi="Times New Roman" w:eastAsia="仿宋_GB2312" w:cs="Times New Roman"/>
                <w:b/>
                <w:bCs/>
                <w:kern w:val="2"/>
                <w:sz w:val="21"/>
                <w:szCs w:val="21"/>
                <w:highlight w:val="none"/>
              </w:rPr>
              <w:t>1.</w:t>
            </w:r>
            <w:r>
              <w:rPr>
                <w:rFonts w:hint="eastAsia" w:ascii="Times New Roman" w:hAnsi="Times New Roman" w:eastAsia="仿宋_GB2312" w:cs="仿宋_GB2312"/>
                <w:b/>
                <w:bCs/>
                <w:kern w:val="2"/>
                <w:sz w:val="21"/>
                <w:szCs w:val="21"/>
                <w:highlight w:val="none"/>
              </w:rPr>
              <w:t>《中华人民共和国水污染防治法》第四十五条第三款</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向污水集中处理设施排放工业废水的，应当按照国家有关规定进行预处理，达到集中处理设施处理工艺要求后方可排放。</w:t>
            </w:r>
          </w:p>
          <w:p>
            <w:pPr>
              <w:pStyle w:val="12"/>
              <w:snapToGrid w:val="0"/>
              <w:spacing w:before="0" w:beforeAutospacing="0" w:after="0" w:afterAutospacing="0" w:line="288" w:lineRule="auto"/>
              <w:ind w:firstLine="420"/>
              <w:rPr>
                <w:rFonts w:ascii="Times New Roman" w:hAnsi="Times New Roman" w:eastAsia="仿宋_GB2312" w:cs="Times New Roman"/>
                <w:kern w:val="2"/>
                <w:sz w:val="21"/>
                <w:szCs w:val="21"/>
                <w:highlight w:val="none"/>
              </w:rPr>
            </w:pPr>
            <w:r>
              <w:rPr>
                <w:rFonts w:ascii="Times New Roman" w:hAnsi="Times New Roman" w:eastAsia="仿宋_GB2312" w:cs="Times New Roman"/>
                <w:b/>
                <w:bCs/>
                <w:kern w:val="2"/>
                <w:sz w:val="21"/>
                <w:szCs w:val="21"/>
                <w:highlight w:val="none"/>
              </w:rPr>
              <w:t>2.</w:t>
            </w:r>
            <w:r>
              <w:rPr>
                <w:rFonts w:hint="eastAsia" w:ascii="Times New Roman" w:hAnsi="Times New Roman" w:eastAsia="仿宋_GB2312" w:cs="仿宋_GB2312"/>
                <w:b/>
                <w:bCs/>
                <w:kern w:val="2"/>
                <w:sz w:val="21"/>
                <w:szCs w:val="21"/>
                <w:highlight w:val="none"/>
              </w:rPr>
              <w:t>《山东省水污染防治条例》第三十九条第二款</w:t>
            </w:r>
            <w:r>
              <w:rPr>
                <w:rFonts w:ascii="Times New Roman" w:hAnsi="Times New Roman" w:eastAsia="仿宋_GB2312" w:cs="Times New Roman"/>
                <w:b/>
                <w:bCs/>
                <w:kern w:val="2"/>
                <w:sz w:val="21"/>
                <w:szCs w:val="21"/>
                <w:highlight w:val="none"/>
              </w:rPr>
              <w:t xml:space="preserve"> </w:t>
            </w:r>
            <w:r>
              <w:rPr>
                <w:rFonts w:hint="eastAsia" w:ascii="Times New Roman" w:hAnsi="Times New Roman" w:eastAsia="仿宋_GB2312" w:cs="仿宋_GB2312"/>
                <w:kern w:val="2"/>
                <w:sz w:val="21"/>
                <w:szCs w:val="21"/>
                <w:highlight w:val="none"/>
              </w:rPr>
              <w:t>入驻工业园区的工业企业排放的废水应当按照分类收集、分质处理的要求进行预处理，达到工业园区集中处理设施处理工艺要求后方可排放。</w:t>
            </w:r>
          </w:p>
          <w:p>
            <w:pPr>
              <w:pStyle w:val="12"/>
              <w:snapToGrid w:val="0"/>
              <w:spacing w:before="0" w:beforeAutospacing="0" w:after="0" w:afterAutospacing="0" w:line="288" w:lineRule="auto"/>
              <w:ind w:firstLine="420"/>
              <w:rPr>
                <w:rFonts w:ascii="Times New Roman" w:hAnsi="Times New Roman" w:eastAsia="仿宋_GB2312" w:cs="Times New Roman"/>
                <w:kern w:val="2"/>
                <w:sz w:val="21"/>
                <w:szCs w:val="21"/>
                <w:highlight w:val="none"/>
              </w:rPr>
            </w:pPr>
            <w:r>
              <w:rPr>
                <w:rFonts w:ascii="Times New Roman" w:hAnsi="Times New Roman" w:eastAsia="仿宋_GB2312" w:cs="Times New Roman"/>
                <w:b/>
                <w:bCs/>
                <w:kern w:val="2"/>
                <w:sz w:val="21"/>
                <w:szCs w:val="21"/>
                <w:highlight w:val="none"/>
              </w:rPr>
              <w:t>3.</w:t>
            </w:r>
            <w:r>
              <w:rPr>
                <w:rFonts w:hint="eastAsia" w:ascii="Times New Roman" w:hAnsi="Times New Roman" w:eastAsia="仿宋_GB2312" w:cs="仿宋_GB2312"/>
                <w:b/>
                <w:bCs/>
                <w:kern w:val="2"/>
                <w:sz w:val="21"/>
                <w:szCs w:val="21"/>
                <w:highlight w:val="none"/>
              </w:rPr>
              <w:t>《山东省水污染防治条例》第四十四条</w:t>
            </w:r>
            <w:r>
              <w:rPr>
                <w:rFonts w:ascii="Times New Roman" w:hAnsi="Times New Roman" w:eastAsia="仿宋_GB2312" w:cs="Times New Roman"/>
                <w:b/>
                <w:bCs/>
                <w:kern w:val="2"/>
                <w:sz w:val="21"/>
                <w:szCs w:val="21"/>
                <w:highlight w:val="none"/>
              </w:rPr>
              <w:t xml:space="preserve"> </w:t>
            </w:r>
            <w:r>
              <w:rPr>
                <w:rFonts w:hint="eastAsia" w:ascii="Times New Roman" w:hAnsi="Times New Roman" w:eastAsia="仿宋_GB2312" w:cs="仿宋_GB2312"/>
                <w:kern w:val="2"/>
                <w:sz w:val="21"/>
                <w:szCs w:val="21"/>
                <w:highlight w:val="none"/>
              </w:rPr>
              <w:t>向城镇污水集中处理设施排放水污染物的，应当达到国家和省规定的标准。有下列情形之一的，应当按照要求进行预处理：</w:t>
            </w:r>
          </w:p>
          <w:p>
            <w:pPr>
              <w:pStyle w:val="12"/>
              <w:snapToGrid w:val="0"/>
              <w:spacing w:before="0" w:beforeAutospacing="0" w:after="0" w:afterAutospacing="0" w:line="288" w:lineRule="auto"/>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（一）医疗卫生机构产生的含病原体的污水和含放射性物质的废水；</w:t>
            </w:r>
          </w:p>
          <w:p>
            <w:pPr>
              <w:pStyle w:val="12"/>
              <w:snapToGrid w:val="0"/>
              <w:spacing w:before="0" w:beforeAutospacing="0" w:after="0" w:afterAutospacing="0" w:line="288" w:lineRule="auto"/>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（二）含难以生物降解的有机污染物的废水；</w:t>
            </w:r>
          </w:p>
          <w:p>
            <w:pPr>
              <w:pStyle w:val="12"/>
              <w:snapToGrid w:val="0"/>
              <w:spacing w:before="0" w:beforeAutospacing="0" w:after="0" w:afterAutospacing="0" w:line="288" w:lineRule="auto"/>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（三）含高盐、高氟的工业废水；</w:t>
            </w:r>
          </w:p>
          <w:p>
            <w:pPr>
              <w:pStyle w:val="12"/>
              <w:snapToGrid w:val="0"/>
              <w:spacing w:before="0" w:beforeAutospacing="0" w:after="0" w:afterAutospacing="0" w:line="288" w:lineRule="auto"/>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（四）含重金属和不易生物降解有毒污染物的废水；</w:t>
            </w:r>
          </w:p>
          <w:p>
            <w:pPr>
              <w:pStyle w:val="12"/>
              <w:snapToGrid w:val="0"/>
              <w:spacing w:before="0" w:beforeAutospacing="0" w:after="0" w:afterAutospacing="0" w:line="288" w:lineRule="auto"/>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（五）超过或者不能稳定达到规定标准需要预处理的其他污水、废水。</w:t>
            </w:r>
          </w:p>
          <w:p>
            <w:pPr>
              <w:pStyle w:val="12"/>
              <w:snapToGrid w:val="0"/>
              <w:spacing w:before="0" w:beforeAutospacing="0" w:after="0" w:afterAutospacing="0" w:line="288" w:lineRule="auto"/>
              <w:ind w:firstLine="422" w:firstLineChars="200"/>
              <w:rPr>
                <w:rFonts w:ascii="Times New Roman" w:hAnsi="Times New Roman" w:eastAsia="仿宋_GB2312" w:cs="Times New Roman"/>
                <w:kern w:val="2"/>
                <w:sz w:val="21"/>
                <w:szCs w:val="21"/>
                <w:highlight w:val="none"/>
              </w:rPr>
            </w:pPr>
            <w:r>
              <w:rPr>
                <w:rFonts w:ascii="Times New Roman" w:hAnsi="Times New Roman" w:eastAsia="仿宋_GB2312" w:cs="Times New Roman"/>
                <w:b/>
                <w:bCs/>
                <w:kern w:val="2"/>
                <w:sz w:val="21"/>
                <w:szCs w:val="21"/>
                <w:highlight w:val="none"/>
              </w:rPr>
              <w:t>4.</w:t>
            </w:r>
            <w:r>
              <w:rPr>
                <w:rFonts w:hint="eastAsia" w:ascii="Times New Roman" w:hAnsi="Times New Roman" w:eastAsia="仿宋_GB2312" w:cs="仿宋_GB2312"/>
                <w:b/>
                <w:bCs/>
                <w:kern w:val="2"/>
                <w:sz w:val="21"/>
                <w:szCs w:val="21"/>
                <w:highlight w:val="none"/>
              </w:rPr>
              <w:t>《山东省南水北调工程沿线区域水污染防治条例》二十条第一款</w:t>
            </w:r>
            <w:r>
              <w:rPr>
                <w:rFonts w:ascii="Times New Roman" w:hAnsi="Times New Roman" w:eastAsia="仿宋_GB2312" w:cs="Times New Roman"/>
                <w:b/>
                <w:bCs/>
                <w:kern w:val="2"/>
                <w:sz w:val="21"/>
                <w:szCs w:val="21"/>
                <w:highlight w:val="none"/>
              </w:rPr>
              <w:t xml:space="preserve"> </w:t>
            </w:r>
            <w:r>
              <w:rPr>
                <w:rFonts w:hint="eastAsia" w:ascii="Times New Roman" w:hAnsi="Times New Roman" w:eastAsia="仿宋_GB2312" w:cs="仿宋_GB2312"/>
                <w:kern w:val="2"/>
                <w:sz w:val="21"/>
                <w:szCs w:val="21"/>
                <w:highlight w:val="none"/>
              </w:rPr>
              <w:t>城镇污水管网覆盖范围内产生的污水，应当全部排入城镇污水管网；排污单位应当对产生的污水进行预处理，达标后方可排入城镇污水管网。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1"/>
              <w:snapToGrid w:val="0"/>
              <w:spacing w:before="62" w:beforeLines="20" w:line="288" w:lineRule="auto"/>
              <w:ind w:firstLine="420"/>
              <w:rPr>
                <w:rFonts w:ascii="Times New Roman" w:hAnsi="Times New Roman" w:eastAsia="仿宋_GB2312" w:cs="Times New Roman"/>
                <w:kern w:val="2"/>
                <w:sz w:val="21"/>
                <w:szCs w:val="21"/>
                <w:highlight w:val="none"/>
              </w:rPr>
            </w:pPr>
            <w:r>
              <w:rPr>
                <w:rFonts w:ascii="Times New Roman" w:hAnsi="Times New Roman" w:eastAsia="仿宋_GB2312" w:cs="Times New Roman"/>
                <w:b/>
                <w:bCs/>
                <w:kern w:val="2"/>
                <w:sz w:val="21"/>
                <w:szCs w:val="21"/>
                <w:highlight w:val="none"/>
              </w:rPr>
              <w:t>1.</w:t>
            </w:r>
            <w:r>
              <w:rPr>
                <w:rFonts w:hint="eastAsia" w:ascii="Times New Roman" w:hAnsi="Times New Roman" w:eastAsia="仿宋_GB2312" w:cs="仿宋_GB2312"/>
                <w:b/>
                <w:bCs/>
                <w:kern w:val="2"/>
                <w:sz w:val="21"/>
                <w:szCs w:val="21"/>
                <w:highlight w:val="none"/>
              </w:rPr>
              <w:t>《中华人民共和国水污染防治法》第八十三条第（四）项</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违反本法规定，有下列行为之一的，由县级以上人民政府环境保护主管部门责令改正或者责令限制生产、停产整治，并处十万元以上一百万元以下的罚款；情节严重的，报经有批准权的人民政府批准，责令停业、关闭：</w:t>
            </w:r>
          </w:p>
          <w:p>
            <w:pPr>
              <w:pStyle w:val="11"/>
              <w:snapToGrid w:val="0"/>
              <w:spacing w:line="288" w:lineRule="auto"/>
              <w:ind w:firstLine="42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（四）未按照规定进行预处理，向污水集中处理设施排放不符合处理工艺要求的工业废水的。</w:t>
            </w:r>
          </w:p>
          <w:p>
            <w:pPr>
              <w:pStyle w:val="11"/>
              <w:snapToGrid w:val="0"/>
              <w:spacing w:line="288" w:lineRule="auto"/>
              <w:ind w:firstLine="420"/>
              <w:rPr>
                <w:rFonts w:ascii="Times New Roman" w:hAnsi="Times New Roman" w:eastAsia="仿宋_GB2312" w:cs="Times New Roman"/>
                <w:kern w:val="2"/>
                <w:sz w:val="21"/>
                <w:szCs w:val="21"/>
                <w:highlight w:val="none"/>
              </w:rPr>
            </w:pPr>
            <w:r>
              <w:rPr>
                <w:rFonts w:ascii="Times New Roman" w:hAnsi="Times New Roman" w:eastAsia="仿宋_GB2312" w:cs="Times New Roman"/>
                <w:b/>
                <w:bCs/>
                <w:kern w:val="2"/>
                <w:sz w:val="21"/>
                <w:szCs w:val="21"/>
                <w:highlight w:val="none"/>
              </w:rPr>
              <w:t>2.</w:t>
            </w:r>
            <w:r>
              <w:rPr>
                <w:rFonts w:hint="eastAsia" w:ascii="Times New Roman" w:hAnsi="Times New Roman" w:eastAsia="仿宋_GB2312" w:cs="仿宋_GB2312"/>
                <w:b/>
                <w:bCs/>
                <w:kern w:val="2"/>
                <w:sz w:val="21"/>
                <w:szCs w:val="21"/>
                <w:highlight w:val="none"/>
              </w:rPr>
              <w:t>《山东省水污染防治条例》第七十五条第（三）项</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违反本条例规定，有下列情形之一的，由县级以上人民政府环境保护主管部门责令改正或者责令限制生产、停产整治，并处十万元以上一百万元以下的罚款；情节严重的，报经有批准权的人民政府批准，责令停业、关闭：</w:t>
            </w:r>
          </w:p>
          <w:p>
            <w:pPr>
              <w:pStyle w:val="11"/>
              <w:snapToGrid w:val="0"/>
              <w:spacing w:line="288" w:lineRule="auto"/>
              <w:ind w:firstLine="42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（三）未按照规定进行预处理，向城镇污水集中处理设施和工业园区污水集中处理设施排放不符合要求的污水、废水的。</w:t>
            </w:r>
          </w:p>
          <w:p>
            <w:pPr>
              <w:pStyle w:val="12"/>
              <w:snapToGrid w:val="0"/>
              <w:spacing w:before="0" w:beforeAutospacing="0" w:after="0" w:afterAutospacing="0" w:line="288" w:lineRule="auto"/>
              <w:ind w:firstLine="422" w:firstLineChars="200"/>
              <w:rPr>
                <w:rFonts w:ascii="Times New Roman" w:hAnsi="Times New Roman" w:eastAsia="仿宋_GB2312" w:cs="Times New Roman"/>
                <w:kern w:val="2"/>
                <w:sz w:val="21"/>
                <w:szCs w:val="21"/>
                <w:highlight w:val="none"/>
              </w:rPr>
            </w:pPr>
            <w:r>
              <w:rPr>
                <w:rFonts w:ascii="Times New Roman" w:hAnsi="Times New Roman" w:eastAsia="仿宋_GB2312" w:cs="Times New Roman"/>
                <w:b/>
                <w:bCs/>
                <w:kern w:val="2"/>
                <w:sz w:val="21"/>
                <w:szCs w:val="21"/>
                <w:highlight w:val="none"/>
              </w:rPr>
              <w:t>3.</w:t>
            </w:r>
            <w:r>
              <w:rPr>
                <w:rFonts w:hint="eastAsia" w:ascii="Times New Roman" w:hAnsi="Times New Roman" w:eastAsia="仿宋_GB2312" w:cs="仿宋_GB2312"/>
                <w:b/>
                <w:bCs/>
                <w:kern w:val="2"/>
                <w:sz w:val="21"/>
                <w:szCs w:val="21"/>
                <w:highlight w:val="none"/>
              </w:rPr>
              <w:t>《山东省南水北调工程沿线区域水污染防治条例》第四十四条第（四）项</w:t>
            </w:r>
            <w:r>
              <w:rPr>
                <w:rFonts w:ascii="Times New Roman" w:hAnsi="Times New Roman" w:eastAsia="仿宋_GB2312" w:cs="Times New Roman"/>
                <w:b/>
                <w:bCs/>
                <w:kern w:val="2"/>
                <w:sz w:val="21"/>
                <w:szCs w:val="21"/>
                <w:highlight w:val="none"/>
              </w:rPr>
              <w:t xml:space="preserve"> </w:t>
            </w:r>
            <w:r>
              <w:rPr>
                <w:rFonts w:hint="eastAsia" w:ascii="Times New Roman" w:hAnsi="Times New Roman" w:eastAsia="仿宋_GB2312" w:cs="仿宋_GB2312"/>
                <w:kern w:val="2"/>
                <w:sz w:val="21"/>
                <w:szCs w:val="21"/>
                <w:highlight w:val="none"/>
              </w:rPr>
              <w:t>违反本条例规定，有下列情形之一的，由县级以上人民政府环境保护行政主管部门按照下列规定进行处罚；构成犯罪的，依法追究刑事责任：</w:t>
            </w:r>
          </w:p>
          <w:p>
            <w:pPr>
              <w:pStyle w:val="11"/>
              <w:snapToGrid w:val="0"/>
              <w:spacing w:line="288" w:lineRule="auto"/>
              <w:ind w:firstLine="42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四）排污单位未按照规定进行预处理，将超标污水排入城镇污水管网的，责令改正或者责令限制生产、停产整治，并处十万元以上一百万元以下的罚款；情节严重的，报经有批准权的人民政府批准，责令停业、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排污超标</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状况★</w:t>
            </w: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超标</w:t>
            </w:r>
            <w:r>
              <w:rPr>
                <w:rFonts w:ascii="Times New Roman" w:hAnsi="Times New Roman" w:eastAsia="仿宋_GB2312" w:cs="Times New Roman"/>
                <w:color w:val="000000"/>
                <w:highlight w:val="none"/>
              </w:rPr>
              <w:t>0.5</w:t>
            </w:r>
            <w:r>
              <w:rPr>
                <w:rFonts w:hint="eastAsia" w:ascii="Times New Roman" w:hAnsi="Times New Roman" w:eastAsia="仿宋_GB2312" w:cs="仿宋_GB2312"/>
                <w:color w:val="000000"/>
                <w:highlight w:val="none"/>
              </w:rPr>
              <w:t>倍以下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超标</w:t>
            </w:r>
            <w:r>
              <w:rPr>
                <w:rFonts w:ascii="Times New Roman" w:hAnsi="Times New Roman" w:eastAsia="仿宋_GB2312" w:cs="Times New Roman"/>
                <w:color w:val="000000"/>
                <w:highlight w:val="none"/>
              </w:rPr>
              <w:t>0.5</w:t>
            </w:r>
            <w:r>
              <w:rPr>
                <w:rFonts w:hint="eastAsia" w:ascii="Times New Roman" w:hAnsi="Times New Roman" w:eastAsia="仿宋_GB2312" w:cs="仿宋_GB2312"/>
                <w:color w:val="000000"/>
                <w:highlight w:val="none"/>
              </w:rPr>
              <w:t>倍以上</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倍以下（</w:t>
            </w:r>
            <w:r>
              <w:rPr>
                <w:rFonts w:ascii="Times New Roman" w:hAnsi="Times New Roman" w:eastAsia="仿宋_GB2312" w:cs="Times New Roman"/>
                <w:color w:val="000000"/>
                <w:highlight w:val="none"/>
              </w:rPr>
              <w:t>pH</w:t>
            </w:r>
            <w:r>
              <w:rPr>
                <w:rFonts w:hint="eastAsia" w:ascii="Times New Roman" w:hAnsi="Times New Roman" w:eastAsia="仿宋_GB2312" w:cs="仿宋_GB2312"/>
                <w:color w:val="000000"/>
                <w:highlight w:val="none"/>
              </w:rPr>
              <w:t>值</w:t>
            </w:r>
            <w:r>
              <w:rPr>
                <w:rFonts w:ascii="Times New Roman" w:hAnsi="Times New Roman" w:eastAsia="仿宋_GB2312" w:cs="Times New Roman"/>
                <w:color w:val="000000"/>
                <w:highlight w:val="none"/>
              </w:rPr>
              <w:t>9-10</w:t>
            </w:r>
            <w:r>
              <w:rPr>
                <w:rFonts w:hint="eastAsia" w:ascii="Times New Roman" w:hAnsi="Times New Roman" w:eastAsia="仿宋_GB2312" w:cs="仿宋_GB2312"/>
                <w:color w:val="000000"/>
                <w:highlight w:val="none"/>
              </w:rPr>
              <w:t>或</w:t>
            </w:r>
            <w:r>
              <w:rPr>
                <w:rFonts w:ascii="Times New Roman" w:hAnsi="Times New Roman" w:eastAsia="仿宋_GB2312" w:cs="Times New Roman"/>
                <w:color w:val="000000"/>
                <w:highlight w:val="none"/>
              </w:rPr>
              <w:t>pH</w:t>
            </w:r>
            <w:r>
              <w:rPr>
                <w:rFonts w:hint="eastAsia" w:ascii="Times New Roman" w:hAnsi="Times New Roman" w:eastAsia="仿宋_GB2312" w:cs="仿宋_GB2312"/>
                <w:color w:val="000000"/>
                <w:highlight w:val="none"/>
              </w:rPr>
              <w:t>值</w:t>
            </w:r>
            <w:r>
              <w:rPr>
                <w:rFonts w:ascii="Times New Roman" w:hAnsi="Times New Roman" w:eastAsia="仿宋_GB2312" w:cs="Times New Roman"/>
                <w:color w:val="000000"/>
                <w:highlight w:val="none"/>
              </w:rPr>
              <w:t>5-6</w:t>
            </w:r>
            <w:r>
              <w:rPr>
                <w:rFonts w:hint="eastAsia" w:ascii="Times New Roman" w:hAnsi="Times New Roman" w:eastAsia="仿宋_GB2312" w:cs="仿宋_GB2312"/>
                <w:color w:val="000000"/>
                <w:highlight w:val="none"/>
              </w:rPr>
              <w:t>）</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超标</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倍以上</w:t>
            </w: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倍以下（</w:t>
            </w:r>
            <w:r>
              <w:rPr>
                <w:rFonts w:ascii="Times New Roman" w:hAnsi="Times New Roman" w:eastAsia="仿宋_GB2312" w:cs="Times New Roman"/>
                <w:color w:val="000000"/>
                <w:highlight w:val="none"/>
              </w:rPr>
              <w:t>pH</w:t>
            </w:r>
            <w:r>
              <w:rPr>
                <w:rFonts w:hint="eastAsia" w:ascii="Times New Roman" w:hAnsi="Times New Roman" w:eastAsia="仿宋_GB2312" w:cs="仿宋_GB2312"/>
                <w:color w:val="000000"/>
                <w:highlight w:val="none"/>
              </w:rPr>
              <w:t>值</w:t>
            </w:r>
            <w:r>
              <w:rPr>
                <w:rFonts w:ascii="Times New Roman" w:hAnsi="Times New Roman" w:eastAsia="仿宋_GB2312" w:cs="Times New Roman"/>
                <w:color w:val="000000"/>
                <w:highlight w:val="none"/>
              </w:rPr>
              <w:t>10-11</w:t>
            </w:r>
            <w:r>
              <w:rPr>
                <w:rFonts w:hint="eastAsia" w:ascii="Times New Roman" w:hAnsi="Times New Roman" w:eastAsia="仿宋_GB2312" w:cs="仿宋_GB2312"/>
                <w:color w:val="000000"/>
                <w:highlight w:val="none"/>
              </w:rPr>
              <w:t>或</w:t>
            </w:r>
            <w:r>
              <w:rPr>
                <w:rFonts w:ascii="Times New Roman" w:hAnsi="Times New Roman" w:eastAsia="仿宋_GB2312" w:cs="Times New Roman"/>
                <w:color w:val="000000"/>
                <w:highlight w:val="none"/>
              </w:rPr>
              <w:t>pH</w:t>
            </w:r>
            <w:r>
              <w:rPr>
                <w:rFonts w:hint="eastAsia" w:ascii="Times New Roman" w:hAnsi="Times New Roman" w:eastAsia="仿宋_GB2312" w:cs="仿宋_GB2312"/>
                <w:color w:val="000000"/>
                <w:highlight w:val="none"/>
              </w:rPr>
              <w:t>值</w:t>
            </w:r>
            <w:r>
              <w:rPr>
                <w:rFonts w:ascii="Times New Roman" w:hAnsi="Times New Roman" w:eastAsia="仿宋_GB2312" w:cs="Times New Roman"/>
                <w:color w:val="000000"/>
                <w:highlight w:val="none"/>
              </w:rPr>
              <w:t>4-5</w:t>
            </w:r>
            <w:r>
              <w:rPr>
                <w:rFonts w:hint="eastAsia" w:ascii="Times New Roman" w:hAnsi="Times New Roman" w:eastAsia="仿宋_GB2312" w:cs="仿宋_GB2312"/>
                <w:color w:val="000000"/>
                <w:highlight w:val="none"/>
              </w:rPr>
              <w:t>）</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超标</w:t>
            </w: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倍以上</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倍以下（</w:t>
            </w:r>
            <w:r>
              <w:rPr>
                <w:rFonts w:ascii="Times New Roman" w:hAnsi="Times New Roman" w:eastAsia="仿宋_GB2312" w:cs="Times New Roman"/>
                <w:color w:val="000000"/>
                <w:highlight w:val="none"/>
              </w:rPr>
              <w:t>pH</w:t>
            </w:r>
            <w:r>
              <w:rPr>
                <w:rFonts w:hint="eastAsia" w:ascii="Times New Roman" w:hAnsi="Times New Roman" w:eastAsia="仿宋_GB2312" w:cs="仿宋_GB2312"/>
                <w:color w:val="000000"/>
                <w:highlight w:val="none"/>
              </w:rPr>
              <w:t>值</w:t>
            </w:r>
            <w:r>
              <w:rPr>
                <w:rFonts w:ascii="Times New Roman" w:hAnsi="Times New Roman" w:eastAsia="仿宋_GB2312" w:cs="Times New Roman"/>
                <w:color w:val="000000"/>
                <w:highlight w:val="none"/>
              </w:rPr>
              <w:t>11-12.5</w:t>
            </w:r>
            <w:r>
              <w:rPr>
                <w:rFonts w:hint="eastAsia" w:ascii="Times New Roman" w:hAnsi="Times New Roman" w:eastAsia="仿宋_GB2312" w:cs="仿宋_GB2312"/>
                <w:color w:val="000000"/>
                <w:highlight w:val="none"/>
              </w:rPr>
              <w:t>或</w:t>
            </w:r>
            <w:r>
              <w:rPr>
                <w:rFonts w:ascii="Times New Roman" w:hAnsi="Times New Roman" w:eastAsia="仿宋_GB2312" w:cs="Times New Roman"/>
                <w:color w:val="000000"/>
                <w:highlight w:val="none"/>
              </w:rPr>
              <w:t>pH</w:t>
            </w:r>
            <w:r>
              <w:rPr>
                <w:rFonts w:hint="eastAsia" w:ascii="Times New Roman" w:hAnsi="Times New Roman" w:eastAsia="仿宋_GB2312" w:cs="仿宋_GB2312"/>
                <w:color w:val="000000"/>
                <w:highlight w:val="none"/>
              </w:rPr>
              <w:t>值</w:t>
            </w:r>
            <w:r>
              <w:rPr>
                <w:rFonts w:ascii="Times New Roman" w:hAnsi="Times New Roman" w:eastAsia="仿宋_GB2312" w:cs="Times New Roman"/>
                <w:color w:val="000000"/>
                <w:highlight w:val="none"/>
              </w:rPr>
              <w:t>2-4</w:t>
            </w:r>
            <w:r>
              <w:rPr>
                <w:rFonts w:hint="eastAsia" w:ascii="Times New Roman" w:hAnsi="Times New Roman" w:eastAsia="仿宋_GB2312" w:cs="仿宋_GB2312"/>
                <w:color w:val="000000"/>
                <w:highlight w:val="none"/>
              </w:rPr>
              <w:t>）</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超标</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倍以上（</w:t>
            </w:r>
            <w:r>
              <w:rPr>
                <w:rFonts w:ascii="Times New Roman" w:hAnsi="Times New Roman" w:eastAsia="仿宋_GB2312" w:cs="Times New Roman"/>
                <w:color w:val="000000"/>
                <w:highlight w:val="none"/>
              </w:rPr>
              <w:t>pH</w:t>
            </w:r>
            <w:r>
              <w:rPr>
                <w:rFonts w:hint="eastAsia" w:ascii="Times New Roman" w:hAnsi="Times New Roman" w:eastAsia="仿宋_GB2312" w:cs="仿宋_GB2312"/>
                <w:color w:val="000000"/>
                <w:highlight w:val="none"/>
              </w:rPr>
              <w:t>值</w:t>
            </w:r>
            <w:r>
              <w:rPr>
                <w:rFonts w:ascii="Times New Roman" w:hAnsi="Times New Roman" w:eastAsia="仿宋_GB2312" w:cs="Times New Roman"/>
                <w:color w:val="000000"/>
                <w:highlight w:val="none"/>
              </w:rPr>
              <w:t>12.5</w:t>
            </w:r>
            <w:r>
              <w:rPr>
                <w:rFonts w:hint="eastAsia" w:ascii="Times New Roman" w:hAnsi="Times New Roman" w:eastAsia="仿宋_GB2312" w:cs="仿宋_GB2312"/>
                <w:color w:val="000000"/>
                <w:highlight w:val="none"/>
              </w:rPr>
              <w:t>以上或</w:t>
            </w:r>
            <w:r>
              <w:rPr>
                <w:rFonts w:ascii="Times New Roman" w:hAnsi="Times New Roman" w:eastAsia="仿宋_GB2312" w:cs="Times New Roman"/>
                <w:color w:val="000000"/>
                <w:highlight w:val="none"/>
              </w:rPr>
              <w:t>pH</w:t>
            </w:r>
            <w:r>
              <w:rPr>
                <w:rFonts w:hint="eastAsia" w:ascii="Times New Roman" w:hAnsi="Times New Roman" w:eastAsia="仿宋_GB2312" w:cs="仿宋_GB2312"/>
                <w:color w:val="000000"/>
                <w:highlight w:val="none"/>
              </w:rPr>
              <w:t>值</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cs="宋体"/>
                <w:b/>
                <w:bCs/>
                <w:color w:val="000000"/>
                <w:highlight w:val="none"/>
              </w:rPr>
              <w:t>水日排放量</w:t>
            </w: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吨</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吨以上不足</w:t>
            </w:r>
            <w:r>
              <w:rPr>
                <w:rFonts w:ascii="Times New Roman" w:hAnsi="Times New Roman" w:eastAsia="仿宋_GB2312" w:cs="Times New Roman"/>
                <w:color w:val="000000"/>
                <w:highlight w:val="none"/>
              </w:rPr>
              <w:t>100</w:t>
            </w:r>
            <w:r>
              <w:rPr>
                <w:rFonts w:hint="eastAsia" w:ascii="Times New Roman" w:hAnsi="Times New Roman" w:eastAsia="仿宋_GB2312" w:cs="仿宋_GB2312"/>
                <w:color w:val="000000"/>
                <w:highlight w:val="none"/>
              </w:rPr>
              <w:t>吨</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100</w:t>
            </w:r>
            <w:r>
              <w:rPr>
                <w:rFonts w:hint="eastAsia" w:ascii="Times New Roman" w:hAnsi="Times New Roman" w:eastAsia="仿宋_GB2312" w:cs="仿宋_GB2312"/>
                <w:color w:val="000000"/>
                <w:highlight w:val="none"/>
              </w:rPr>
              <w:t>吨以上不足</w:t>
            </w:r>
            <w:r>
              <w:rPr>
                <w:rFonts w:ascii="Times New Roman" w:hAnsi="Times New Roman" w:eastAsia="仿宋_GB2312" w:cs="Times New Roman"/>
                <w:color w:val="000000"/>
                <w:highlight w:val="none"/>
              </w:rPr>
              <w:t>500</w:t>
            </w:r>
            <w:r>
              <w:rPr>
                <w:rFonts w:hint="eastAsia" w:ascii="Times New Roman" w:hAnsi="Times New Roman" w:eastAsia="仿宋_GB2312" w:cs="仿宋_GB2312"/>
                <w:color w:val="000000"/>
                <w:highlight w:val="none"/>
              </w:rPr>
              <w:t>吨</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500</w:t>
            </w:r>
            <w:r>
              <w:rPr>
                <w:rFonts w:hint="eastAsia" w:ascii="Times New Roman" w:hAnsi="Times New Roman" w:eastAsia="仿宋_GB2312" w:cs="仿宋_GB2312"/>
                <w:color w:val="000000"/>
                <w:highlight w:val="none"/>
              </w:rPr>
              <w:t>吨以上不足</w:t>
            </w:r>
            <w:r>
              <w:rPr>
                <w:rFonts w:ascii="Times New Roman" w:hAnsi="Times New Roman" w:eastAsia="仿宋_GB2312" w:cs="Times New Roman"/>
                <w:color w:val="000000"/>
                <w:highlight w:val="none"/>
              </w:rPr>
              <w:t>1000</w:t>
            </w:r>
            <w:r>
              <w:rPr>
                <w:rFonts w:hint="eastAsia" w:ascii="Times New Roman" w:hAnsi="Times New Roman" w:eastAsia="仿宋_GB2312" w:cs="仿宋_GB2312"/>
                <w:color w:val="000000"/>
                <w:highlight w:val="none"/>
              </w:rPr>
              <w:t>吨</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1000</w:t>
            </w:r>
            <w:r>
              <w:rPr>
                <w:rFonts w:hint="eastAsia" w:ascii="Times New Roman" w:hAnsi="Times New Roman" w:eastAsia="仿宋_GB2312" w:cs="仿宋_GB2312"/>
                <w:color w:val="000000"/>
                <w:highlight w:val="none"/>
              </w:rPr>
              <w:t>吨以上</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废水类别</w:t>
            </w: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一般工业废水</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含其他有毒有害物质的废水、医疗废水</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含一类污染物或重金属、病原体、放射性物质的废水</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938" w:type="dxa"/>
            <w:gridSpan w:val="2"/>
            <w:vAlign w:val="center"/>
          </w:tcPr>
          <w:p>
            <w:pPr>
              <w:snapToGrid w:val="0"/>
              <w:ind w:firstLine="420"/>
              <w:jc w:val="center"/>
              <w:rPr>
                <w:rFonts w:ascii="Times New Roman" w:hAnsi="Times New Roman" w:cs="Times New Roman"/>
                <w:color w:val="000000"/>
                <w:highlight w:val="none"/>
              </w:rPr>
            </w:pPr>
          </w:p>
        </w:tc>
      </w:tr>
    </w:tbl>
    <w:p>
      <w:pPr>
        <w:widowControl/>
        <w:snapToGrid w:val="0"/>
        <w:ind w:firstLine="420" w:firstLineChars="200"/>
        <w:jc w:val="left"/>
        <w:rPr>
          <w:rFonts w:ascii="Times New Roman" w:hAnsi="Times New Roman" w:eastAsia="仿宋_GB2312" w:cs="Times New Roman"/>
          <w:color w:val="000000"/>
          <w:sz w:val="10"/>
          <w:szCs w:val="10"/>
          <w:highlight w:val="none"/>
        </w:rPr>
      </w:pPr>
      <w:r>
        <w:rPr>
          <w:rFonts w:ascii="Times New Roman" w:hAnsi="Times New Roman" w:cs="Times New Roman"/>
          <w:highlight w:val="none"/>
        </w:rPr>
        <w:br w:type="page"/>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5156"/>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2"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（三）水污染防治类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805"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kern w:val="0"/>
                <w:highlight w:val="none"/>
              </w:rPr>
            </w:pPr>
            <w:r>
              <w:rPr>
                <w:rFonts w:hint="eastAsia" w:ascii="Times New Roman" w:hAnsi="Times New Roman" w:cs="宋体"/>
                <w:b/>
                <w:bCs/>
                <w:kern w:val="0"/>
                <w:highlight w:val="none"/>
              </w:rPr>
              <w:t>违法行为</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20" w:firstLineChars="200"/>
              <w:jc w:val="center"/>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在非饮用水水源保护区，违反规定设置排污口的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2" w:beforeLines="20" w:line="288" w:lineRule="auto"/>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《中华人民共和国水污染防治法》第二十二条</w:t>
            </w:r>
            <w:r>
              <w:rPr>
                <w:rFonts w:ascii="Times New Roman" w:hAnsi="Times New Roman" w:eastAsia="仿宋_GB2312" w:cs="Times New Roman"/>
                <w:b/>
                <w:bCs/>
                <w:kern w:val="0"/>
                <w:highlight w:val="none"/>
              </w:rPr>
              <w:t xml:space="preserve"> </w:t>
            </w:r>
            <w:r>
              <w:rPr>
                <w:rFonts w:hint="eastAsia" w:ascii="Times New Roman" w:hAnsi="Times New Roman" w:eastAsia="仿宋_GB2312" w:cs="仿宋_GB2312"/>
                <w:kern w:val="0"/>
                <w:highlight w:val="none"/>
              </w:rPr>
              <w:t>向水体排放污染物的企业事业单位和其他生产经营者，应当按照法律、行政法规和国务院环境保护主管部门的规定设置排污口；在江河、湖泊设置排污口的，还应当遵守国务院水行政主管部门的规定。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805" w:type="dxa"/>
            <w:gridSpan w:val="2"/>
            <w:vAlign w:val="center"/>
          </w:tcPr>
          <w:p>
            <w:pPr>
              <w:widowControl/>
              <w:snapToGrid w:val="0"/>
              <w:spacing w:line="288" w:lineRule="auto"/>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《中华人民共和国水污染防治法》第八十四条第二款</w:t>
            </w:r>
            <w:r>
              <w:rPr>
                <w:rFonts w:ascii="Times New Roman" w:hAnsi="Times New Roman" w:eastAsia="仿宋_GB2312" w:cs="Times New Roman"/>
                <w:b/>
                <w:bCs/>
                <w:kern w:val="0"/>
                <w:highlight w:val="none"/>
              </w:rPr>
              <w:t xml:space="preserve"> </w:t>
            </w:r>
            <w:r>
              <w:rPr>
                <w:rFonts w:hint="eastAsia" w:ascii="Times New Roman" w:hAnsi="Times New Roman" w:eastAsia="仿宋_GB2312" w:cs="仿宋_GB2312"/>
                <w:kern w:val="0"/>
                <w:highlight w:val="none"/>
              </w:rPr>
              <w:t>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15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49"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排污口正在建设中</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排污口已建成，尚未投入使用</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排污口已投入使用</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排放去向</w:t>
            </w: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color w:val="000000"/>
                <w:highlight w:val="none"/>
              </w:rPr>
              <w:t>Ⅴ</w:t>
            </w:r>
            <w:r>
              <w:rPr>
                <w:rFonts w:hint="eastAsia" w:ascii="Times New Roman" w:hAnsi="Times New Roman" w:eastAsia="仿宋_GB2312" w:cs="仿宋_GB2312"/>
                <w:color w:val="000000"/>
                <w:highlight w:val="none"/>
              </w:rPr>
              <w:t>类水体</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color w:val="000000"/>
                <w:highlight w:val="none"/>
              </w:rPr>
              <w:t>Ⅳ</w:t>
            </w:r>
            <w:r>
              <w:rPr>
                <w:rFonts w:hint="eastAsia" w:ascii="Times New Roman" w:hAnsi="Times New Roman" w:eastAsia="仿宋_GB2312" w:cs="仿宋_GB2312"/>
                <w:color w:val="000000"/>
                <w:highlight w:val="none"/>
              </w:rPr>
              <w:t>类水体</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color w:val="000000"/>
                <w:highlight w:val="none"/>
              </w:rPr>
              <w:t>Ⅲ</w:t>
            </w:r>
            <w:r>
              <w:rPr>
                <w:rFonts w:hint="eastAsia" w:ascii="Times New Roman" w:hAnsi="Times New Roman" w:eastAsia="仿宋_GB2312" w:cs="仿宋_GB2312"/>
                <w:color w:val="000000"/>
                <w:highlight w:val="none"/>
              </w:rPr>
              <w:t>类水体</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color w:val="000000"/>
                <w:highlight w:val="none"/>
              </w:rPr>
              <w:t>Ⅱ</w:t>
            </w:r>
            <w:r>
              <w:rPr>
                <w:rFonts w:hint="eastAsia" w:ascii="Times New Roman" w:hAnsi="Times New Roman" w:eastAsia="仿宋_GB2312" w:cs="仿宋_GB2312"/>
                <w:color w:val="000000"/>
                <w:highlight w:val="none"/>
              </w:rPr>
              <w:t>类水体</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color w:val="000000"/>
                <w:highlight w:val="none"/>
              </w:rPr>
              <w:t>Ⅰ</w:t>
            </w:r>
            <w:r>
              <w:rPr>
                <w:rFonts w:hint="eastAsia" w:ascii="Times New Roman" w:hAnsi="Times New Roman" w:eastAsia="仿宋_GB2312" w:cs="仿宋_GB2312"/>
                <w:color w:val="000000"/>
                <w:highlight w:val="none"/>
              </w:rPr>
              <w:t>类水体</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废水类别</w:t>
            </w: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生活废水</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服务业废水</w:t>
            </w:r>
          </w:p>
        </w:tc>
        <w:tc>
          <w:tcPr>
            <w:tcW w:w="264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一般工业废水</w:t>
            </w:r>
          </w:p>
        </w:tc>
        <w:tc>
          <w:tcPr>
            <w:tcW w:w="264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含其他有毒有害物质的废水、医疗废水</w:t>
            </w:r>
          </w:p>
        </w:tc>
        <w:tc>
          <w:tcPr>
            <w:tcW w:w="264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含一类污染物或重金属、病原体、放射性物质的废水</w:t>
            </w:r>
          </w:p>
        </w:tc>
        <w:tc>
          <w:tcPr>
            <w:tcW w:w="264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超过限期</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拆除时间</w:t>
            </w: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天</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天</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个月以上</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805" w:type="dxa"/>
            <w:gridSpan w:val="2"/>
            <w:vAlign w:val="center"/>
          </w:tcPr>
          <w:p>
            <w:pPr>
              <w:snapToGrid w:val="0"/>
              <w:ind w:firstLine="420"/>
              <w:jc w:val="center"/>
              <w:rPr>
                <w:rFonts w:ascii="Times New Roman" w:hAnsi="Times New Roman" w:cs="Times New Roman"/>
                <w:color w:val="000000"/>
                <w:highlight w:val="none"/>
              </w:rPr>
            </w:pPr>
          </w:p>
        </w:tc>
      </w:tr>
    </w:tbl>
    <w:p>
      <w:pPr>
        <w:widowControl/>
        <w:snapToGrid w:val="0"/>
        <w:ind w:firstLine="640" w:firstLineChars="200"/>
        <w:jc w:val="left"/>
        <w:rPr>
          <w:rFonts w:ascii="Times New Roman" w:hAnsi="Times New Roman" w:eastAsia="仿宋_GB2312" w:cs="Times New Roman"/>
          <w:color w:val="000000"/>
          <w:sz w:val="10"/>
          <w:szCs w:val="10"/>
          <w:highlight w:val="none"/>
        </w:rPr>
      </w:pPr>
      <w:r>
        <w:rPr>
          <w:rFonts w:ascii="Times New Roman" w:hAnsi="Times New Roman" w:eastAsia="仿宋_GB2312" w:cs="Times New Roman"/>
          <w:color w:val="000000"/>
          <w:sz w:val="32"/>
          <w:szCs w:val="32"/>
          <w:highlight w:val="none"/>
        </w:rPr>
        <w:br w:type="page"/>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5793"/>
        <w:gridCol w:w="2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2"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（三）水污染防治类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805"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kern w:val="0"/>
                <w:highlight w:val="none"/>
              </w:rPr>
            </w:pPr>
            <w:r>
              <w:rPr>
                <w:rFonts w:hint="eastAsia" w:ascii="Times New Roman" w:hAnsi="Times New Roman" w:cs="宋体"/>
                <w:b/>
                <w:bCs/>
                <w:kern w:val="0"/>
                <w:highlight w:val="none"/>
              </w:rPr>
              <w:t>违法行为</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20" w:firstLineChars="200"/>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向水体排放油类、酸液、碱液的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2" w:beforeLines="20"/>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《中华人民共和国水污染防治法》第三十三条第一款</w:t>
            </w:r>
            <w:r>
              <w:rPr>
                <w:rFonts w:ascii="Times New Roman" w:hAnsi="Times New Roman" w:eastAsia="仿宋_GB2312" w:cs="Times New Roman"/>
                <w:kern w:val="0"/>
                <w:highlight w:val="none"/>
              </w:rPr>
              <w:t xml:space="preserve"> </w:t>
            </w:r>
            <w:r>
              <w:rPr>
                <w:rFonts w:hint="eastAsia" w:ascii="Times New Roman" w:hAnsi="Times New Roman" w:eastAsia="仿宋_GB2312" w:cs="仿宋_GB2312"/>
                <w:kern w:val="0"/>
                <w:highlight w:val="none"/>
              </w:rPr>
              <w:t>禁止向水体排放油类、酸液、碱液或者剧毒废液。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805" w:type="dxa"/>
            <w:gridSpan w:val="2"/>
            <w:vAlign w:val="center"/>
          </w:tcPr>
          <w:p>
            <w:pPr>
              <w:widowControl/>
              <w:snapToGrid w:val="0"/>
              <w:spacing w:before="62" w:beforeLines="20"/>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《中华人民共和国水污染防治法》第八十五条第一款第（一）项、第二款</w:t>
            </w:r>
            <w:r>
              <w:rPr>
                <w:rFonts w:ascii="Times New Roman" w:hAnsi="Times New Roman" w:eastAsia="仿宋_GB2312" w:cs="Times New Roman"/>
                <w:b/>
                <w:bCs/>
                <w:kern w:val="0"/>
                <w:highlight w:val="none"/>
              </w:rPr>
              <w:t xml:space="preserve"> </w:t>
            </w:r>
            <w:r>
              <w:rPr>
                <w:rFonts w:hint="eastAsia" w:ascii="Times New Roman" w:hAnsi="Times New Roman" w:eastAsia="仿宋_GB2312" w:cs="仿宋_GB2312"/>
                <w:kern w:val="0"/>
                <w:highlight w:val="none"/>
              </w:rPr>
              <w:t>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widowControl/>
              <w:snapToGrid w:val="0"/>
              <w:ind w:firstLine="420"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（一）向水体排放油类、酸液、碱液的。</w:t>
            </w:r>
          </w:p>
          <w:p>
            <w:pPr>
              <w:widowControl/>
              <w:snapToGrid w:val="0"/>
              <w:ind w:firstLine="420"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7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012"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污染物</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类别★</w:t>
            </w:r>
          </w:p>
        </w:tc>
        <w:tc>
          <w:tcPr>
            <w:tcW w:w="57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pH</w:t>
            </w:r>
            <w:r>
              <w:rPr>
                <w:rFonts w:hint="eastAsia" w:ascii="Times New Roman" w:hAnsi="Times New Roman" w:eastAsia="仿宋_GB2312" w:cs="仿宋_GB2312"/>
                <w:color w:val="000000"/>
                <w:highlight w:val="none"/>
              </w:rPr>
              <w:t>值</w:t>
            </w:r>
            <w:r>
              <w:rPr>
                <w:rFonts w:ascii="Times New Roman" w:hAnsi="Times New Roman" w:eastAsia="仿宋_GB2312" w:cs="Times New Roman"/>
                <w:color w:val="000000"/>
                <w:highlight w:val="none"/>
              </w:rPr>
              <w:t>9-11</w:t>
            </w:r>
            <w:r>
              <w:rPr>
                <w:rFonts w:hint="eastAsia" w:ascii="Times New Roman" w:hAnsi="Times New Roman" w:eastAsia="仿宋_GB2312" w:cs="仿宋_GB2312"/>
                <w:color w:val="000000"/>
                <w:highlight w:val="none"/>
              </w:rPr>
              <w:t>碱液或</w:t>
            </w:r>
            <w:r>
              <w:rPr>
                <w:rFonts w:ascii="Times New Roman" w:hAnsi="Times New Roman" w:eastAsia="仿宋_GB2312" w:cs="Times New Roman"/>
                <w:color w:val="000000"/>
                <w:highlight w:val="none"/>
              </w:rPr>
              <w:t>pH</w:t>
            </w:r>
            <w:r>
              <w:rPr>
                <w:rFonts w:hint="eastAsia" w:ascii="Times New Roman" w:hAnsi="Times New Roman" w:eastAsia="仿宋_GB2312" w:cs="仿宋_GB2312"/>
                <w:color w:val="000000"/>
                <w:highlight w:val="none"/>
              </w:rPr>
              <w:t>值</w:t>
            </w:r>
            <w:r>
              <w:rPr>
                <w:rFonts w:ascii="Times New Roman" w:hAnsi="Times New Roman" w:eastAsia="仿宋_GB2312" w:cs="Times New Roman"/>
                <w:color w:val="000000"/>
                <w:highlight w:val="none"/>
              </w:rPr>
              <w:t>4-6</w:t>
            </w:r>
            <w:r>
              <w:rPr>
                <w:rFonts w:hint="eastAsia" w:ascii="Times New Roman" w:hAnsi="Times New Roman" w:eastAsia="仿宋_GB2312" w:cs="仿宋_GB2312"/>
                <w:color w:val="000000"/>
                <w:highlight w:val="none"/>
              </w:rPr>
              <w:t>酸液</w:t>
            </w:r>
          </w:p>
        </w:tc>
        <w:tc>
          <w:tcPr>
            <w:tcW w:w="2012"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7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pH</w:t>
            </w:r>
            <w:r>
              <w:rPr>
                <w:rFonts w:hint="eastAsia" w:ascii="Times New Roman" w:hAnsi="Times New Roman" w:eastAsia="仿宋_GB2312" w:cs="仿宋_GB2312"/>
                <w:color w:val="000000"/>
                <w:highlight w:val="none"/>
              </w:rPr>
              <w:t>值</w:t>
            </w:r>
            <w:r>
              <w:rPr>
                <w:rFonts w:ascii="Times New Roman" w:hAnsi="Times New Roman" w:eastAsia="仿宋_GB2312" w:cs="Times New Roman"/>
                <w:color w:val="000000"/>
                <w:highlight w:val="none"/>
              </w:rPr>
              <w:t>11-12.5</w:t>
            </w:r>
            <w:r>
              <w:rPr>
                <w:rFonts w:hint="eastAsia" w:ascii="Times New Roman" w:hAnsi="Times New Roman" w:eastAsia="仿宋_GB2312" w:cs="仿宋_GB2312"/>
                <w:color w:val="000000"/>
                <w:highlight w:val="none"/>
              </w:rPr>
              <w:t>碱液或</w:t>
            </w:r>
            <w:r>
              <w:rPr>
                <w:rFonts w:ascii="Times New Roman" w:hAnsi="Times New Roman" w:eastAsia="仿宋_GB2312" w:cs="Times New Roman"/>
                <w:color w:val="000000"/>
                <w:highlight w:val="none"/>
              </w:rPr>
              <w:t>pH</w:t>
            </w:r>
            <w:r>
              <w:rPr>
                <w:rFonts w:hint="eastAsia" w:ascii="Times New Roman" w:hAnsi="Times New Roman" w:eastAsia="仿宋_GB2312" w:cs="仿宋_GB2312"/>
                <w:color w:val="000000"/>
                <w:highlight w:val="none"/>
              </w:rPr>
              <w:t>值</w:t>
            </w:r>
            <w:r>
              <w:rPr>
                <w:rFonts w:ascii="Times New Roman" w:hAnsi="Times New Roman" w:eastAsia="仿宋_GB2312" w:cs="Times New Roman"/>
                <w:color w:val="000000"/>
                <w:highlight w:val="none"/>
              </w:rPr>
              <w:t>2-4</w:t>
            </w:r>
            <w:r>
              <w:rPr>
                <w:rFonts w:hint="eastAsia" w:ascii="Times New Roman" w:hAnsi="Times New Roman" w:eastAsia="仿宋_GB2312" w:cs="仿宋_GB2312"/>
                <w:color w:val="000000"/>
                <w:highlight w:val="none"/>
              </w:rPr>
              <w:t>酸液，一般油类</w:t>
            </w:r>
          </w:p>
        </w:tc>
        <w:tc>
          <w:tcPr>
            <w:tcW w:w="2012"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7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pH</w:t>
            </w:r>
            <w:r>
              <w:rPr>
                <w:rFonts w:hint="eastAsia" w:ascii="Times New Roman" w:hAnsi="Times New Roman" w:eastAsia="仿宋_GB2312" w:cs="仿宋_GB2312"/>
                <w:color w:val="000000"/>
                <w:highlight w:val="none"/>
              </w:rPr>
              <w:t>值</w:t>
            </w:r>
            <w:r>
              <w:rPr>
                <w:rFonts w:ascii="Times New Roman" w:hAnsi="Times New Roman" w:eastAsia="仿宋_GB2312" w:cs="Times New Roman"/>
                <w:color w:val="000000"/>
                <w:highlight w:val="none"/>
              </w:rPr>
              <w:t>12.5</w:t>
            </w:r>
            <w:r>
              <w:rPr>
                <w:rFonts w:hint="eastAsia" w:ascii="Times New Roman" w:hAnsi="Times New Roman" w:eastAsia="仿宋_GB2312" w:cs="仿宋_GB2312"/>
                <w:color w:val="000000"/>
                <w:highlight w:val="none"/>
              </w:rPr>
              <w:t>以上碱液或</w:t>
            </w:r>
            <w:r>
              <w:rPr>
                <w:rFonts w:ascii="Times New Roman" w:hAnsi="Times New Roman" w:eastAsia="仿宋_GB2312" w:cs="Times New Roman"/>
                <w:color w:val="000000"/>
                <w:highlight w:val="none"/>
              </w:rPr>
              <w:t>pH</w:t>
            </w:r>
            <w:r>
              <w:rPr>
                <w:rFonts w:hint="eastAsia" w:ascii="Times New Roman" w:hAnsi="Times New Roman" w:eastAsia="仿宋_GB2312" w:cs="仿宋_GB2312"/>
                <w:color w:val="000000"/>
                <w:highlight w:val="none"/>
              </w:rPr>
              <w:t>值</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以下酸液，含重金属或有毒有害物质油类</w:t>
            </w:r>
          </w:p>
        </w:tc>
        <w:tc>
          <w:tcPr>
            <w:tcW w:w="2012"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水体类别</w:t>
            </w:r>
          </w:p>
        </w:tc>
        <w:tc>
          <w:tcPr>
            <w:tcW w:w="5793"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Ⅴ</w:t>
            </w:r>
            <w:r>
              <w:rPr>
                <w:rFonts w:hint="eastAsia" w:ascii="Times New Roman" w:hAnsi="Times New Roman" w:eastAsia="仿宋_GB2312" w:cs="仿宋_GB2312"/>
                <w:highlight w:val="none"/>
              </w:rPr>
              <w:t>类水体</w:t>
            </w:r>
          </w:p>
        </w:tc>
        <w:tc>
          <w:tcPr>
            <w:tcW w:w="2012"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793"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Ⅳ</w:t>
            </w:r>
            <w:r>
              <w:rPr>
                <w:rFonts w:hint="eastAsia" w:ascii="Times New Roman" w:hAnsi="Times New Roman" w:eastAsia="仿宋_GB2312" w:cs="仿宋_GB2312"/>
                <w:highlight w:val="none"/>
              </w:rPr>
              <w:t>类水体</w:t>
            </w:r>
          </w:p>
        </w:tc>
        <w:tc>
          <w:tcPr>
            <w:tcW w:w="2012"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793"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Ⅲ</w:t>
            </w:r>
            <w:r>
              <w:rPr>
                <w:rFonts w:hint="eastAsia" w:ascii="Times New Roman" w:hAnsi="Times New Roman" w:eastAsia="仿宋_GB2312" w:cs="仿宋_GB2312"/>
                <w:highlight w:val="none"/>
              </w:rPr>
              <w:t>类水体</w:t>
            </w:r>
          </w:p>
        </w:tc>
        <w:tc>
          <w:tcPr>
            <w:tcW w:w="2012"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793"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Ⅱ</w:t>
            </w:r>
            <w:r>
              <w:rPr>
                <w:rFonts w:hint="eastAsia" w:ascii="Times New Roman" w:hAnsi="Times New Roman" w:eastAsia="仿宋_GB2312" w:cs="仿宋_GB2312"/>
                <w:highlight w:val="none"/>
              </w:rPr>
              <w:t>类水体</w:t>
            </w:r>
          </w:p>
        </w:tc>
        <w:tc>
          <w:tcPr>
            <w:tcW w:w="2012"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793"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Ⅰ</w:t>
            </w:r>
            <w:r>
              <w:rPr>
                <w:rFonts w:hint="eastAsia" w:ascii="Times New Roman" w:hAnsi="Times New Roman" w:eastAsia="仿宋_GB2312" w:cs="仿宋_GB2312"/>
                <w:highlight w:val="none"/>
              </w:rPr>
              <w:t>类水体</w:t>
            </w:r>
          </w:p>
        </w:tc>
        <w:tc>
          <w:tcPr>
            <w:tcW w:w="2012"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污染物</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排放量</w:t>
            </w:r>
          </w:p>
        </w:tc>
        <w:tc>
          <w:tcPr>
            <w:tcW w:w="57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0.5</w:t>
            </w:r>
            <w:r>
              <w:rPr>
                <w:rFonts w:hint="eastAsia" w:ascii="Times New Roman" w:hAnsi="Times New Roman" w:eastAsia="仿宋_GB2312" w:cs="仿宋_GB2312"/>
                <w:highlight w:val="none"/>
              </w:rPr>
              <w:t>吨以下</w:t>
            </w:r>
          </w:p>
        </w:tc>
        <w:tc>
          <w:tcPr>
            <w:tcW w:w="2012"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7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0.5</w:t>
            </w:r>
            <w:r>
              <w:rPr>
                <w:rFonts w:hint="eastAsia" w:ascii="Times New Roman" w:hAnsi="Times New Roman" w:eastAsia="仿宋_GB2312" w:cs="仿宋_GB2312"/>
                <w:color w:val="000000"/>
                <w:highlight w:val="none"/>
              </w:rPr>
              <w:t>吨以下</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吨以上</w:t>
            </w:r>
          </w:p>
        </w:tc>
        <w:tc>
          <w:tcPr>
            <w:tcW w:w="2012"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7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r>
              <w:rPr>
                <w:rFonts w:hint="eastAsia" w:ascii="Times New Roman" w:hAnsi="Times New Roman" w:eastAsia="仿宋_GB2312" w:cs="仿宋_GB2312"/>
                <w:highlight w:val="none"/>
              </w:rPr>
              <w:t>吨以上</w:t>
            </w:r>
            <w:r>
              <w:rPr>
                <w:rFonts w:ascii="Times New Roman" w:hAnsi="Times New Roman" w:eastAsia="仿宋_GB2312" w:cs="Times New Roman"/>
                <w:highlight w:val="none"/>
              </w:rPr>
              <w:t>2</w:t>
            </w:r>
            <w:r>
              <w:rPr>
                <w:rFonts w:hint="eastAsia" w:ascii="Times New Roman" w:hAnsi="Times New Roman" w:eastAsia="仿宋_GB2312" w:cs="仿宋_GB2312"/>
                <w:highlight w:val="none"/>
              </w:rPr>
              <w:t>吨以下</w:t>
            </w:r>
          </w:p>
        </w:tc>
        <w:tc>
          <w:tcPr>
            <w:tcW w:w="2012"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7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r>
              <w:rPr>
                <w:rFonts w:hint="eastAsia" w:ascii="Times New Roman" w:hAnsi="Times New Roman" w:eastAsia="仿宋_GB2312" w:cs="仿宋_GB2312"/>
                <w:highlight w:val="none"/>
              </w:rPr>
              <w:t>吨以上</w:t>
            </w:r>
            <w:r>
              <w:rPr>
                <w:rFonts w:ascii="Times New Roman" w:hAnsi="Times New Roman" w:eastAsia="仿宋_GB2312" w:cs="Times New Roman"/>
                <w:highlight w:val="none"/>
              </w:rPr>
              <w:t>5</w:t>
            </w:r>
            <w:r>
              <w:rPr>
                <w:rFonts w:hint="eastAsia" w:ascii="Times New Roman" w:hAnsi="Times New Roman" w:eastAsia="仿宋_GB2312" w:cs="仿宋_GB2312"/>
                <w:highlight w:val="none"/>
              </w:rPr>
              <w:t>吨以下</w:t>
            </w:r>
          </w:p>
        </w:tc>
        <w:tc>
          <w:tcPr>
            <w:tcW w:w="2012"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7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r>
              <w:rPr>
                <w:rFonts w:hint="eastAsia" w:ascii="Times New Roman" w:hAnsi="Times New Roman" w:eastAsia="仿宋_GB2312" w:cs="仿宋_GB2312"/>
                <w:highlight w:val="none"/>
              </w:rPr>
              <w:t>吨以上</w:t>
            </w:r>
          </w:p>
        </w:tc>
        <w:tc>
          <w:tcPr>
            <w:tcW w:w="2012"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805"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eastAsia="仿宋_GB2312" w:cs="Times New Roman"/>
          <w:b/>
          <w:bCs/>
          <w:color w:val="FF0000"/>
          <w:sz w:val="10"/>
          <w:szCs w:val="10"/>
          <w:highlight w:val="none"/>
        </w:rPr>
      </w:pPr>
      <w:r>
        <w:rPr>
          <w:rFonts w:ascii="Times New Roman" w:hAnsi="Times New Roman" w:eastAsia="仿宋_GB2312" w:cs="Times New Roman"/>
          <w:b/>
          <w:bCs/>
          <w:color w:val="FF0000"/>
          <w:sz w:val="32"/>
          <w:szCs w:val="32"/>
          <w:highlight w:val="none"/>
        </w:rPr>
        <w:br w:type="page"/>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5156"/>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072" w:type="dxa"/>
            <w:gridSpan w:val="3"/>
            <w:vAlign w:val="center"/>
          </w:tcPr>
          <w:p>
            <w:pPr>
              <w:snapToGrid w:val="0"/>
              <w:jc w:val="center"/>
              <w:rPr>
                <w:rFonts w:ascii="Times New Roman" w:hAnsi="Times New Roman" w:cs="Times New Roman"/>
                <w:highlight w:val="none"/>
              </w:rPr>
            </w:pPr>
            <w:bookmarkStart w:id="48" w:name="OLE_LINK18"/>
            <w:bookmarkStart w:id="49" w:name="OLE_LINK17"/>
            <w:bookmarkStart w:id="50" w:name="OLE_LINK16"/>
            <w:r>
              <w:rPr>
                <w:rFonts w:hint="eastAsia" w:ascii="Times New Roman" w:hAnsi="Times New Roman" w:eastAsia="仿宋_GB2312" w:cs="仿宋_GB2312"/>
                <w:b/>
                <w:bCs/>
                <w:sz w:val="32"/>
                <w:szCs w:val="32"/>
                <w:highlight w:val="none"/>
              </w:rPr>
              <w:t>（三）水污染防治类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805"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Align w:val="center"/>
          </w:tcPr>
          <w:p>
            <w:pPr>
              <w:snapToGrid w:val="0"/>
              <w:spacing w:line="288" w:lineRule="auto"/>
              <w:jc w:val="center"/>
              <w:rPr>
                <w:rFonts w:ascii="Times New Roman" w:hAnsi="Times New Roman" w:cs="Times New Roman"/>
                <w:b/>
                <w:bCs/>
                <w:kern w:val="0"/>
                <w:highlight w:val="none"/>
              </w:rPr>
            </w:pPr>
            <w:r>
              <w:rPr>
                <w:rFonts w:hint="eastAsia" w:ascii="Times New Roman" w:hAnsi="Times New Roman" w:cs="宋体"/>
                <w:b/>
                <w:bCs/>
                <w:kern w:val="0"/>
                <w:highlight w:val="none"/>
              </w:rPr>
              <w:t>违法行为</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20" w:firstLineChars="200"/>
              <w:rPr>
                <w:rFonts w:ascii="Times New Roman" w:hAnsi="Times New Roman" w:eastAsia="仿宋_GB2312" w:cs="Times New Roman"/>
                <w:color w:val="000000"/>
                <w:kern w:val="0"/>
                <w:highlight w:val="none"/>
              </w:rPr>
            </w:pPr>
            <w:r>
              <w:rPr>
                <w:rFonts w:hint="eastAsia" w:ascii="Times New Roman" w:hAnsi="Times New Roman" w:eastAsia="仿宋_GB2312" w:cs="仿宋_GB2312"/>
                <w:color w:val="000000"/>
                <w:kern w:val="0"/>
                <w:highlight w:val="none"/>
              </w:rPr>
              <w:t>向水体排放剧毒废液，或者将含有汞、镉、砷、铬、铅、氰化物、黄磷等的可溶性剧毒废渣向水体排放、倾倒或者直接埋入地下的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2" w:beforeLines="20"/>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《中华人民共和国水污染防治法》第三十三条第一款</w:t>
            </w:r>
            <w:r>
              <w:rPr>
                <w:rFonts w:ascii="Times New Roman" w:hAnsi="Times New Roman" w:eastAsia="仿宋_GB2312" w:cs="Times New Roman"/>
                <w:kern w:val="0"/>
                <w:highlight w:val="none"/>
              </w:rPr>
              <w:t xml:space="preserve"> </w:t>
            </w:r>
            <w:r>
              <w:rPr>
                <w:rFonts w:hint="eastAsia" w:ascii="Times New Roman" w:hAnsi="Times New Roman" w:eastAsia="仿宋_GB2312" w:cs="仿宋_GB2312"/>
                <w:kern w:val="0"/>
                <w:highlight w:val="none"/>
              </w:rPr>
              <w:t>禁止向水体排放油类、酸液、碱液或者剧毒废液。</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22" w:firstLineChars="200"/>
              <w:jc w:val="left"/>
              <w:rPr>
                <w:rFonts w:ascii="Times New Roman" w:hAnsi="Times New Roman" w:eastAsia="仿宋_GB2312" w:cs="Times New Roman"/>
                <w:b/>
                <w:bCs/>
                <w:kern w:val="0"/>
                <w:highlight w:val="none"/>
              </w:rPr>
            </w:pPr>
            <w:r>
              <w:rPr>
                <w:rFonts w:hint="eastAsia" w:ascii="Times New Roman" w:hAnsi="Times New Roman" w:eastAsia="仿宋_GB2312" w:cs="仿宋_GB2312"/>
                <w:b/>
                <w:bCs/>
                <w:kern w:val="0"/>
                <w:highlight w:val="none"/>
              </w:rPr>
              <w:t>第三十七条第二款</w:t>
            </w:r>
            <w:r>
              <w:rPr>
                <w:rFonts w:ascii="Times New Roman" w:hAnsi="Times New Roman" w:eastAsia="仿宋_GB2312" w:cs="Times New Roman"/>
                <w:b/>
                <w:bCs/>
                <w:kern w:val="0"/>
                <w:highlight w:val="none"/>
              </w:rPr>
              <w:t xml:space="preserve"> </w:t>
            </w:r>
            <w:r>
              <w:rPr>
                <w:rFonts w:hint="eastAsia" w:ascii="Times New Roman" w:hAnsi="Times New Roman" w:eastAsia="仿宋_GB2312" w:cs="仿宋_GB2312"/>
                <w:kern w:val="0"/>
                <w:highlight w:val="none"/>
              </w:rPr>
              <w:t>禁止将含有汞、镉、砷、铬、铅、氰化物、黄磷等的可溶性剧毒废渣向水体排放、倾倒或者直接排入地下。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805" w:type="dxa"/>
            <w:gridSpan w:val="2"/>
            <w:vAlign w:val="center"/>
          </w:tcPr>
          <w:p>
            <w:pPr>
              <w:widowControl/>
              <w:snapToGrid w:val="0"/>
              <w:spacing w:before="62" w:beforeLines="20"/>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《中华人民共和国水污染防治法》第八十五条第一款第（二）项、第二款</w:t>
            </w:r>
            <w:r>
              <w:rPr>
                <w:rFonts w:ascii="Times New Roman" w:hAnsi="Times New Roman" w:eastAsia="仿宋_GB2312" w:cs="Times New Roman"/>
                <w:b/>
                <w:bCs/>
                <w:kern w:val="0"/>
                <w:highlight w:val="none"/>
              </w:rPr>
              <w:t xml:space="preserve"> </w:t>
            </w:r>
            <w:r>
              <w:rPr>
                <w:rFonts w:hint="eastAsia" w:ascii="Times New Roman" w:hAnsi="Times New Roman" w:eastAsia="仿宋_GB2312" w:cs="仿宋_GB2312"/>
                <w:kern w:val="0"/>
                <w:highlight w:val="none"/>
              </w:rPr>
              <w:t>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widowControl/>
              <w:snapToGrid w:val="0"/>
              <w:ind w:firstLine="420"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（二）向水体排放剧毒废液，或者将含有汞、镉、砷、铬、铅、氰化物、黄磷等的可溶性剧毒废渣向水体排放、倾倒或者直接埋入地下的。</w:t>
            </w:r>
          </w:p>
          <w:p>
            <w:pPr>
              <w:widowControl/>
              <w:snapToGrid w:val="0"/>
              <w:ind w:firstLine="420"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15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4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废液或者废渣数量★</w:t>
            </w: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不足0.</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吨</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0.1</w:t>
            </w:r>
            <w:r>
              <w:rPr>
                <w:rFonts w:hint="eastAsia" w:ascii="Times New Roman" w:hAnsi="Times New Roman" w:eastAsia="仿宋_GB2312" w:cs="Times New Roman"/>
                <w:color w:val="000000"/>
                <w:highlight w:val="none"/>
              </w:rPr>
              <w:t>吨</w:t>
            </w:r>
            <w:r>
              <w:rPr>
                <w:rFonts w:hint="eastAsia" w:ascii="Times New Roman" w:hAnsi="Times New Roman" w:eastAsia="仿宋_GB2312" w:cs="仿宋_GB2312"/>
                <w:color w:val="000000"/>
                <w:highlight w:val="none"/>
              </w:rPr>
              <w:t>以上0</w:t>
            </w:r>
            <w:r>
              <w:rPr>
                <w:rFonts w:ascii="Times New Roman" w:hAnsi="Times New Roman" w:eastAsia="仿宋_GB2312" w:cs="仿宋_GB2312"/>
                <w:color w:val="000000"/>
                <w:highlight w:val="none"/>
              </w:rPr>
              <w:t>.5</w:t>
            </w:r>
            <w:r>
              <w:rPr>
                <w:rFonts w:hint="eastAsia" w:ascii="Times New Roman" w:hAnsi="Times New Roman" w:eastAsia="仿宋_GB2312" w:cs="仿宋_GB2312"/>
                <w:color w:val="000000"/>
                <w:highlight w:val="none"/>
              </w:rPr>
              <w:t>吨</w:t>
            </w:r>
            <w:r>
              <w:rPr>
                <w:rFonts w:ascii="Times New Roman" w:hAnsi="Times New Roman" w:eastAsia="仿宋_GB2312" w:cs="仿宋_GB2312"/>
                <w:color w:val="000000"/>
                <w:highlight w:val="none"/>
              </w:rPr>
              <w:t>以下</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0.5</w:t>
            </w:r>
            <w:r>
              <w:rPr>
                <w:rFonts w:hint="eastAsia" w:ascii="Times New Roman" w:hAnsi="Times New Roman" w:eastAsia="仿宋_GB2312" w:cs="Times New Roman"/>
                <w:color w:val="000000"/>
                <w:highlight w:val="none"/>
              </w:rPr>
              <w:t>吨</w:t>
            </w:r>
            <w:r>
              <w:rPr>
                <w:rFonts w:hint="eastAsia" w:ascii="Times New Roman" w:hAnsi="Times New Roman" w:eastAsia="仿宋_GB2312" w:cs="仿宋_GB2312"/>
                <w:color w:val="000000"/>
                <w:highlight w:val="none"/>
              </w:rPr>
              <w:t>以上1吨</w:t>
            </w:r>
            <w:r>
              <w:rPr>
                <w:rFonts w:ascii="Times New Roman" w:hAnsi="Times New Roman" w:eastAsia="仿宋_GB2312" w:cs="仿宋_GB2312"/>
                <w:color w:val="000000"/>
                <w:highlight w:val="none"/>
              </w:rPr>
              <w:t>以下</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r>
              <w:rPr>
                <w:rFonts w:hint="eastAsia" w:ascii="Times New Roman" w:hAnsi="Times New Roman" w:eastAsia="仿宋_GB2312" w:cs="Times New Roman"/>
                <w:color w:val="000000"/>
                <w:highlight w:val="none"/>
              </w:rPr>
              <w:t>吨</w:t>
            </w:r>
            <w:r>
              <w:rPr>
                <w:rFonts w:hint="eastAsia" w:ascii="Times New Roman" w:hAnsi="Times New Roman" w:eastAsia="仿宋_GB2312" w:cs="仿宋_GB2312"/>
                <w:color w:val="000000"/>
                <w:highlight w:val="none"/>
              </w:rPr>
              <w:t>以上2吨</w:t>
            </w:r>
            <w:r>
              <w:rPr>
                <w:rFonts w:ascii="Times New Roman" w:hAnsi="Times New Roman" w:eastAsia="仿宋_GB2312" w:cs="仿宋_GB2312"/>
                <w:color w:val="000000"/>
                <w:highlight w:val="none"/>
              </w:rPr>
              <w:t>以下</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w:t>
            </w:r>
            <w:r>
              <w:rPr>
                <w:rFonts w:hint="eastAsia" w:ascii="Times New Roman" w:hAnsi="Times New Roman" w:eastAsia="仿宋_GB2312" w:cs="Times New Roman"/>
                <w:color w:val="000000"/>
                <w:highlight w:val="none"/>
              </w:rPr>
              <w:t>吨</w:t>
            </w:r>
            <w:r>
              <w:rPr>
                <w:rFonts w:ascii="Times New Roman" w:hAnsi="Times New Roman" w:eastAsia="仿宋_GB2312" w:cs="Times New Roman"/>
                <w:color w:val="000000"/>
                <w:highlight w:val="none"/>
              </w:rPr>
              <w:t>以上</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restart"/>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cs="宋体"/>
                <w:b/>
                <w:bCs/>
                <w:color w:val="000000"/>
                <w:highlight w:val="none"/>
              </w:rPr>
              <w:t>排放方式</w:t>
            </w: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排放</w:t>
            </w:r>
          </w:p>
        </w:tc>
        <w:tc>
          <w:tcPr>
            <w:tcW w:w="264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倾倒</w:t>
            </w:r>
          </w:p>
        </w:tc>
        <w:tc>
          <w:tcPr>
            <w:tcW w:w="2649"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仿宋_GB2312"/>
                <w:color w:val="000000"/>
                <w:highlight w:val="none"/>
              </w:rPr>
              <w:t>埋地下</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水体类别</w:t>
            </w: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color w:val="000000"/>
                <w:highlight w:val="none"/>
              </w:rPr>
              <w:t>Ⅴ</w:t>
            </w:r>
            <w:r>
              <w:rPr>
                <w:rFonts w:hint="eastAsia" w:ascii="Times New Roman" w:hAnsi="Times New Roman" w:eastAsia="仿宋_GB2312" w:cs="仿宋_GB2312"/>
                <w:color w:val="000000"/>
                <w:highlight w:val="none"/>
              </w:rPr>
              <w:t>类水体</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color w:val="000000"/>
                <w:highlight w:val="none"/>
              </w:rPr>
              <w:t>Ⅳ</w:t>
            </w:r>
            <w:r>
              <w:rPr>
                <w:rFonts w:hint="eastAsia" w:ascii="Times New Roman" w:hAnsi="Times New Roman" w:eastAsia="仿宋_GB2312" w:cs="仿宋_GB2312"/>
                <w:color w:val="000000"/>
                <w:highlight w:val="none"/>
              </w:rPr>
              <w:t>类水体</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color w:val="000000"/>
                <w:highlight w:val="none"/>
              </w:rPr>
              <w:t>Ⅲ</w:t>
            </w:r>
            <w:r>
              <w:rPr>
                <w:rFonts w:hint="eastAsia" w:ascii="Times New Roman" w:hAnsi="Times New Roman" w:eastAsia="仿宋_GB2312" w:cs="仿宋_GB2312"/>
                <w:color w:val="000000"/>
                <w:highlight w:val="none"/>
              </w:rPr>
              <w:t>类水体</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highlight w:val="none"/>
              </w:rPr>
              <w:t>Ⅱ</w:t>
            </w:r>
            <w:r>
              <w:rPr>
                <w:rFonts w:hint="eastAsia" w:ascii="Times New Roman" w:hAnsi="Times New Roman" w:eastAsia="仿宋_GB2312" w:cs="仿宋_GB2312"/>
                <w:highlight w:val="none"/>
              </w:rPr>
              <w:t>类水体</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highlight w:val="none"/>
              </w:rPr>
              <w:t>Ⅰ</w:t>
            </w:r>
            <w:r>
              <w:rPr>
                <w:rFonts w:hint="eastAsia" w:ascii="Times New Roman" w:hAnsi="Times New Roman" w:eastAsia="仿宋_GB2312" w:cs="仿宋_GB2312"/>
                <w:highlight w:val="none"/>
              </w:rPr>
              <w:t>类水体</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区域影响</w:t>
            </w: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县级行政区域内</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跨县级行政区域</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跨市级行政区域</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跨省级行政区域</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805" w:type="dxa"/>
            <w:gridSpan w:val="2"/>
            <w:vAlign w:val="center"/>
          </w:tcPr>
          <w:p>
            <w:pPr>
              <w:snapToGrid w:val="0"/>
              <w:ind w:firstLine="420"/>
              <w:jc w:val="center"/>
              <w:rPr>
                <w:rFonts w:ascii="Times New Roman" w:hAnsi="Times New Roman" w:cs="Times New Roman"/>
                <w:highlight w:val="none"/>
              </w:rPr>
            </w:pPr>
          </w:p>
        </w:tc>
      </w:tr>
      <w:bookmarkEnd w:id="48"/>
      <w:bookmarkEnd w:id="49"/>
      <w:bookmarkEnd w:id="50"/>
    </w:tbl>
    <w:p>
      <w:pPr>
        <w:snapToGrid w:val="0"/>
        <w:rPr>
          <w:rFonts w:ascii="Times New Roman" w:hAnsi="Times New Roman" w:eastAsia="仿宋_GB2312" w:cs="Times New Roman"/>
          <w:b/>
          <w:bCs/>
          <w:color w:val="FF0000"/>
          <w:sz w:val="10"/>
          <w:szCs w:val="10"/>
          <w:highlight w:val="none"/>
        </w:rPr>
      </w:pPr>
      <w:r>
        <w:rPr>
          <w:rFonts w:ascii="Times New Roman" w:hAnsi="Times New Roman" w:eastAsia="仿宋_GB2312" w:cs="Times New Roman"/>
          <w:b/>
          <w:bCs/>
          <w:color w:val="FF0000"/>
          <w:sz w:val="32"/>
          <w:szCs w:val="32"/>
          <w:highlight w:val="none"/>
        </w:rPr>
        <w:br w:type="page"/>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5156"/>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2"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（三）水污染防治类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805"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color w:val="000000"/>
                <w:kern w:val="0"/>
                <w:highlight w:val="none"/>
              </w:rPr>
            </w:pPr>
            <w:r>
              <w:rPr>
                <w:rFonts w:hint="eastAsia" w:ascii="Times New Roman" w:hAnsi="Times New Roman" w:cs="宋体"/>
                <w:b/>
                <w:bCs/>
                <w:color w:val="000000"/>
                <w:kern w:val="0"/>
                <w:highlight w:val="none"/>
              </w:rPr>
              <w:t>违法行为</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20" w:firstLineChars="200"/>
              <w:rPr>
                <w:rFonts w:ascii="Times New Roman" w:hAnsi="Times New Roman" w:eastAsia="仿宋_GB2312" w:cs="Times New Roman"/>
                <w:color w:val="000000"/>
                <w:kern w:val="0"/>
                <w:highlight w:val="none"/>
              </w:rPr>
            </w:pPr>
            <w:bookmarkStart w:id="51" w:name="OLE_LINK19"/>
            <w:bookmarkStart w:id="52" w:name="OLE_LINK20"/>
            <w:r>
              <w:rPr>
                <w:rFonts w:hint="eastAsia" w:ascii="Times New Roman" w:hAnsi="Times New Roman" w:eastAsia="仿宋_GB2312" w:cs="仿宋_GB2312"/>
                <w:color w:val="000000"/>
                <w:kern w:val="0"/>
                <w:highlight w:val="none"/>
              </w:rPr>
              <w:t>在水体清洗装贮过油类、有毒污染物的车辆或者容器的</w:t>
            </w:r>
            <w:bookmarkEnd w:id="51"/>
            <w:bookmarkEnd w:id="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2" w:beforeLines="20" w:line="288" w:lineRule="auto"/>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《中华人民共和国水污染防治法》第三十三条第二款</w:t>
            </w:r>
            <w:r>
              <w:rPr>
                <w:rFonts w:ascii="Times New Roman" w:hAnsi="Times New Roman" w:eastAsia="仿宋_GB2312" w:cs="Times New Roman"/>
                <w:kern w:val="0"/>
                <w:highlight w:val="none"/>
              </w:rPr>
              <w:t xml:space="preserve"> </w:t>
            </w:r>
            <w:r>
              <w:rPr>
                <w:rFonts w:hint="eastAsia" w:ascii="Times New Roman" w:hAnsi="Times New Roman" w:eastAsia="仿宋_GB2312" w:cs="仿宋_GB2312"/>
                <w:kern w:val="0"/>
                <w:highlight w:val="none"/>
              </w:rPr>
              <w:t>禁止在水体清洗装贮过油类或者有毒污染物的车辆和容器。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805" w:type="dxa"/>
            <w:gridSpan w:val="2"/>
            <w:vAlign w:val="center"/>
          </w:tcPr>
          <w:p>
            <w:pPr>
              <w:widowControl/>
              <w:snapToGrid w:val="0"/>
              <w:spacing w:before="62" w:beforeLines="20" w:line="288" w:lineRule="auto"/>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《中华人民共和国水污染防治法》第八十五条第一款第（三）项、第二款</w:t>
            </w:r>
            <w:r>
              <w:rPr>
                <w:rFonts w:ascii="Times New Roman" w:hAnsi="Times New Roman" w:eastAsia="仿宋_GB2312" w:cs="Times New Roman"/>
                <w:b/>
                <w:bCs/>
                <w:kern w:val="0"/>
                <w:highlight w:val="none"/>
              </w:rPr>
              <w:t xml:space="preserve"> </w:t>
            </w:r>
            <w:r>
              <w:rPr>
                <w:rFonts w:hint="eastAsia" w:ascii="Times New Roman" w:hAnsi="Times New Roman" w:eastAsia="仿宋_GB2312" w:cs="仿宋_GB2312"/>
                <w:kern w:val="0"/>
                <w:highlight w:val="none"/>
              </w:rPr>
              <w:t>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widowControl/>
              <w:snapToGrid w:val="0"/>
              <w:spacing w:line="288" w:lineRule="auto"/>
              <w:ind w:firstLine="420"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（三）在水体清洗装贮过油类、有毒污染物的车辆或者容器的。</w:t>
            </w:r>
          </w:p>
          <w:p>
            <w:pPr>
              <w:widowControl/>
              <w:snapToGrid w:val="0"/>
              <w:spacing w:line="288" w:lineRule="auto"/>
              <w:ind w:firstLine="420"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15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4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在水体清洗装贮过油类的车辆或者容器的</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在水体清洗装贮过有毒污染物的车辆或者容器的</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车辆或容器容积</w:t>
            </w:r>
          </w:p>
        </w:tc>
        <w:tc>
          <w:tcPr>
            <w:tcW w:w="5156"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100m</w:t>
            </w:r>
            <w:r>
              <w:rPr>
                <w:rFonts w:ascii="Times New Roman" w:hAnsi="Times New Roman" w:eastAsia="仿宋_GB2312" w:cs="Times New Roman"/>
                <w:highlight w:val="none"/>
                <w:vertAlign w:val="superscript"/>
              </w:rPr>
              <w:t>3</w:t>
            </w:r>
            <w:r>
              <w:rPr>
                <w:rFonts w:hint="eastAsia" w:ascii="Times New Roman" w:hAnsi="Times New Roman" w:eastAsia="仿宋_GB2312" w:cs="仿宋_GB2312"/>
                <w:highlight w:val="none"/>
              </w:rPr>
              <w:t>以下的</w:t>
            </w:r>
          </w:p>
        </w:tc>
        <w:tc>
          <w:tcPr>
            <w:tcW w:w="264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100m</w:t>
            </w:r>
            <w:r>
              <w:rPr>
                <w:rFonts w:ascii="Times New Roman" w:hAnsi="Times New Roman" w:eastAsia="仿宋_GB2312" w:cs="Times New Roman"/>
                <w:highlight w:val="none"/>
                <w:vertAlign w:val="superscript"/>
              </w:rPr>
              <w:t>3</w:t>
            </w:r>
            <w:r>
              <w:rPr>
                <w:rFonts w:hint="eastAsia" w:ascii="Times New Roman" w:hAnsi="Times New Roman" w:eastAsia="仿宋_GB2312" w:cs="仿宋_GB2312"/>
                <w:highlight w:val="none"/>
              </w:rPr>
              <w:t>以上</w:t>
            </w:r>
            <w:r>
              <w:rPr>
                <w:rFonts w:ascii="Times New Roman" w:hAnsi="Times New Roman" w:eastAsia="仿宋_GB2312" w:cs="Times New Roman"/>
                <w:highlight w:val="none"/>
              </w:rPr>
              <w:t>500m</w:t>
            </w:r>
            <w:r>
              <w:rPr>
                <w:rFonts w:ascii="Times New Roman" w:hAnsi="Times New Roman" w:eastAsia="仿宋_GB2312" w:cs="Times New Roman"/>
                <w:highlight w:val="none"/>
                <w:vertAlign w:val="superscript"/>
              </w:rPr>
              <w:t>3</w:t>
            </w:r>
            <w:r>
              <w:rPr>
                <w:rFonts w:hint="eastAsia" w:ascii="Times New Roman" w:hAnsi="Times New Roman" w:eastAsia="仿宋_GB2312" w:cs="仿宋_GB2312"/>
                <w:highlight w:val="none"/>
              </w:rPr>
              <w:t>以内的</w:t>
            </w:r>
          </w:p>
        </w:tc>
        <w:tc>
          <w:tcPr>
            <w:tcW w:w="264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500m</w:t>
            </w:r>
            <w:r>
              <w:rPr>
                <w:rFonts w:ascii="Times New Roman" w:hAnsi="Times New Roman" w:eastAsia="仿宋_GB2312" w:cs="Times New Roman"/>
                <w:highlight w:val="none"/>
                <w:vertAlign w:val="superscript"/>
              </w:rPr>
              <w:t>3</w:t>
            </w:r>
            <w:r>
              <w:rPr>
                <w:rFonts w:hint="eastAsia" w:ascii="Times New Roman" w:hAnsi="Times New Roman" w:eastAsia="仿宋_GB2312" w:cs="仿宋_GB2312"/>
                <w:highlight w:val="none"/>
              </w:rPr>
              <w:t>以上的</w:t>
            </w:r>
          </w:p>
        </w:tc>
        <w:tc>
          <w:tcPr>
            <w:tcW w:w="264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排放去向</w:t>
            </w:r>
          </w:p>
        </w:tc>
        <w:tc>
          <w:tcPr>
            <w:tcW w:w="5156"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Ⅴ</w:t>
            </w:r>
            <w:r>
              <w:rPr>
                <w:rFonts w:hint="eastAsia" w:ascii="Times New Roman" w:hAnsi="Times New Roman" w:eastAsia="仿宋_GB2312" w:cs="仿宋_GB2312"/>
                <w:highlight w:val="none"/>
              </w:rPr>
              <w:t>类水体</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Ⅳ</w:t>
            </w:r>
            <w:r>
              <w:rPr>
                <w:rFonts w:hint="eastAsia" w:ascii="Times New Roman" w:hAnsi="Times New Roman" w:eastAsia="仿宋_GB2312" w:cs="仿宋_GB2312"/>
                <w:highlight w:val="none"/>
              </w:rPr>
              <w:t>类水体</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Ⅲ</w:t>
            </w:r>
            <w:r>
              <w:rPr>
                <w:rFonts w:hint="eastAsia" w:ascii="Times New Roman" w:hAnsi="Times New Roman" w:eastAsia="仿宋_GB2312" w:cs="仿宋_GB2312"/>
                <w:highlight w:val="none"/>
              </w:rPr>
              <w:t>类水体</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Ⅱ</w:t>
            </w:r>
            <w:r>
              <w:rPr>
                <w:rFonts w:hint="eastAsia" w:ascii="Times New Roman" w:hAnsi="Times New Roman" w:eastAsia="仿宋_GB2312" w:cs="仿宋_GB2312"/>
                <w:highlight w:val="none"/>
              </w:rPr>
              <w:t>类水体</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Ⅰ</w:t>
            </w:r>
            <w:r>
              <w:rPr>
                <w:rFonts w:hint="eastAsia" w:ascii="Times New Roman" w:hAnsi="Times New Roman" w:eastAsia="仿宋_GB2312" w:cs="仿宋_GB2312"/>
                <w:highlight w:val="none"/>
              </w:rPr>
              <w:t>类水体</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区域影响</w:t>
            </w: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县级行政区域内</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跨县级行政区域</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跨市级行政区域</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跨省级行政区域</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805"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eastAsia="仿宋_GB2312" w:cs="Times New Roman"/>
          <w:b/>
          <w:bCs/>
          <w:color w:val="FF0000"/>
          <w:sz w:val="10"/>
          <w:szCs w:val="10"/>
          <w:highlight w:val="none"/>
        </w:rPr>
      </w:pPr>
      <w:r>
        <w:rPr>
          <w:rFonts w:ascii="Times New Roman" w:hAnsi="Times New Roman" w:eastAsia="仿宋_GB2312" w:cs="Times New Roman"/>
          <w:b/>
          <w:bCs/>
          <w:color w:val="FF0000"/>
          <w:sz w:val="32"/>
          <w:szCs w:val="32"/>
          <w:highlight w:val="none"/>
        </w:rPr>
        <w:br w:type="page"/>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5156"/>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9072"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（三）水污染防治类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805"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67" w:type="dxa"/>
            <w:vAlign w:val="center"/>
          </w:tcPr>
          <w:p>
            <w:pPr>
              <w:snapToGrid w:val="0"/>
              <w:jc w:val="center"/>
              <w:rPr>
                <w:rFonts w:ascii="Times New Roman" w:hAnsi="Times New Roman" w:cs="Times New Roman"/>
                <w:b/>
                <w:bCs/>
                <w:kern w:val="0"/>
                <w:highlight w:val="none"/>
              </w:rPr>
            </w:pPr>
            <w:r>
              <w:rPr>
                <w:rFonts w:hint="eastAsia" w:ascii="Times New Roman" w:hAnsi="Times New Roman" w:cs="宋体"/>
                <w:b/>
                <w:bCs/>
                <w:kern w:val="0"/>
                <w:highlight w:val="none"/>
              </w:rPr>
              <w:t>违法行为</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20" w:firstLineChars="200"/>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向水体排放、倾倒工业废渣、城镇垃圾或者其他废弃物，或者在江河、湖泊、运河、渠道、水库最高水位线以下的滩地、岸坡堆放、存贮固体废弃物或者其他污染物的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《中华人民共和国水污染防治法》第三十七条第一款</w:t>
            </w:r>
            <w:r>
              <w:rPr>
                <w:rFonts w:ascii="Times New Roman" w:hAnsi="Times New Roman" w:eastAsia="仿宋_GB2312" w:cs="Times New Roman"/>
                <w:kern w:val="0"/>
                <w:highlight w:val="none"/>
              </w:rPr>
              <w:t xml:space="preserve"> </w:t>
            </w:r>
            <w:r>
              <w:rPr>
                <w:rFonts w:hint="eastAsia" w:ascii="Times New Roman" w:hAnsi="Times New Roman" w:eastAsia="仿宋_GB2312" w:cs="仿宋_GB2312"/>
                <w:kern w:val="0"/>
                <w:highlight w:val="none"/>
              </w:rPr>
              <w:t>禁止向水体排放、倾倒工业废渣、城镇垃圾和其他废弃物。</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第三十八条</w:t>
            </w:r>
            <w:r>
              <w:rPr>
                <w:rFonts w:ascii="Times New Roman" w:hAnsi="Times New Roman" w:eastAsia="仿宋_GB2312" w:cs="Times New Roman"/>
                <w:b/>
                <w:bCs/>
                <w:kern w:val="0"/>
                <w:highlight w:val="none"/>
              </w:rPr>
              <w:t xml:space="preserve"> </w:t>
            </w:r>
            <w:r>
              <w:rPr>
                <w:rFonts w:hint="eastAsia" w:ascii="Times New Roman" w:hAnsi="Times New Roman" w:eastAsia="仿宋_GB2312" w:cs="仿宋_GB2312"/>
                <w:kern w:val="0"/>
                <w:highlight w:val="none"/>
              </w:rPr>
              <w:t>禁止在江河、湖泊、运河、渠道、水库最高水位线以下的滩地和岸坡堆放、存贮固体废弃物和其他污染物。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805" w:type="dxa"/>
            <w:gridSpan w:val="2"/>
            <w:vAlign w:val="center"/>
          </w:tcPr>
          <w:p>
            <w:pPr>
              <w:widowControl/>
              <w:snapToGrid w:val="0"/>
              <w:spacing w:before="62" w:beforeLines="20"/>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《中华人民共和国水污染防治法》第八十五条第一款第（四）项、第二款</w:t>
            </w:r>
            <w:r>
              <w:rPr>
                <w:rFonts w:ascii="Times New Roman" w:hAnsi="Times New Roman" w:eastAsia="仿宋_GB2312" w:cs="Times New Roman"/>
                <w:kern w:val="0"/>
                <w:highlight w:val="none"/>
              </w:rPr>
              <w:t xml:space="preserve"> </w:t>
            </w:r>
            <w:r>
              <w:rPr>
                <w:rFonts w:hint="eastAsia" w:ascii="Times New Roman" w:hAnsi="Times New Roman" w:eastAsia="仿宋_GB2312" w:cs="仿宋_GB2312"/>
                <w:kern w:val="0"/>
                <w:highlight w:val="none"/>
              </w:rPr>
              <w:t>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widowControl/>
              <w:snapToGrid w:val="0"/>
              <w:ind w:firstLine="420"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（四）向水体排放、倾倒工业废渣、城镇垃圾或者其他废弃物，或者在江河、湖泊、运河、渠道、水库最高水位线以下的滩地、岸坡堆放、存贮固体废弃物或者其他污染物的。</w:t>
            </w:r>
          </w:p>
          <w:p>
            <w:pPr>
              <w:widowControl/>
              <w:snapToGrid w:val="0"/>
              <w:ind w:firstLine="420"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15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4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jc w:val="center"/>
              <w:rPr>
                <w:rFonts w:ascii="Times New Roman" w:hAnsi="Times New Roman" w:cs="宋体"/>
                <w:b/>
                <w:bCs/>
                <w:color w:val="000000"/>
                <w:highlight w:val="none"/>
              </w:rPr>
            </w:pPr>
            <w:r>
              <w:rPr>
                <w:rFonts w:hint="eastAsia" w:ascii="Times New Roman" w:hAnsi="Times New Roman" w:cs="宋体"/>
                <w:b/>
                <w:bCs/>
                <w:color w:val="000000"/>
                <w:highlight w:val="none"/>
              </w:rPr>
              <w:t>水体类别★</w:t>
            </w:r>
          </w:p>
        </w:tc>
        <w:tc>
          <w:tcPr>
            <w:tcW w:w="5156"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Ⅴ</w:t>
            </w:r>
            <w:r>
              <w:rPr>
                <w:rFonts w:hint="eastAsia" w:ascii="Times New Roman" w:hAnsi="Times New Roman" w:eastAsia="仿宋_GB2312" w:cs="仿宋_GB2312"/>
                <w:highlight w:val="none"/>
              </w:rPr>
              <w:t>类水体</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宋体"/>
                <w:b/>
                <w:bCs/>
                <w:color w:val="000000"/>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Ⅳ</w:t>
            </w:r>
            <w:r>
              <w:rPr>
                <w:rFonts w:hint="eastAsia" w:ascii="Times New Roman" w:hAnsi="Times New Roman" w:eastAsia="仿宋_GB2312" w:cs="仿宋_GB2312"/>
                <w:highlight w:val="none"/>
              </w:rPr>
              <w:t>类水体</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宋体"/>
                <w:b/>
                <w:bCs/>
                <w:color w:val="000000"/>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Ⅲ</w:t>
            </w:r>
            <w:r>
              <w:rPr>
                <w:rFonts w:hint="eastAsia" w:ascii="Times New Roman" w:hAnsi="Times New Roman" w:eastAsia="仿宋_GB2312" w:cs="仿宋_GB2312"/>
                <w:highlight w:val="none"/>
              </w:rPr>
              <w:t>类水体</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67" w:type="dxa"/>
            <w:vMerge w:val="continue"/>
            <w:vAlign w:val="center"/>
          </w:tcPr>
          <w:p>
            <w:pPr>
              <w:snapToGrid w:val="0"/>
              <w:jc w:val="center"/>
              <w:rPr>
                <w:rFonts w:ascii="Times New Roman" w:hAnsi="Times New Roman" w:cs="宋体"/>
                <w:b/>
                <w:bCs/>
                <w:color w:val="000000"/>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Ⅱ</w:t>
            </w:r>
            <w:r>
              <w:rPr>
                <w:rFonts w:hint="eastAsia" w:ascii="Times New Roman" w:hAnsi="Times New Roman" w:eastAsia="仿宋_GB2312" w:cs="仿宋_GB2312"/>
                <w:highlight w:val="none"/>
              </w:rPr>
              <w:t>类水体</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宋体"/>
                <w:b/>
                <w:bCs/>
                <w:color w:val="000000"/>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Ⅰ</w:t>
            </w:r>
            <w:r>
              <w:rPr>
                <w:rFonts w:hint="eastAsia" w:ascii="Times New Roman" w:hAnsi="Times New Roman" w:eastAsia="仿宋_GB2312" w:cs="仿宋_GB2312"/>
                <w:highlight w:val="none"/>
              </w:rPr>
              <w:t>类水体</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污染物</w:t>
            </w:r>
          </w:p>
          <w:p>
            <w:pPr>
              <w:snapToGrid w:val="0"/>
              <w:jc w:val="center"/>
              <w:rPr>
                <w:rFonts w:ascii="Times New Roman" w:hAnsi="Times New Roman" w:cs="宋体"/>
                <w:b/>
                <w:bCs/>
                <w:color w:val="000000"/>
                <w:highlight w:val="none"/>
              </w:rPr>
            </w:pPr>
            <w:r>
              <w:rPr>
                <w:rFonts w:hint="eastAsia" w:ascii="Times New Roman" w:hAnsi="Times New Roman" w:cs="宋体"/>
                <w:b/>
                <w:bCs/>
                <w:color w:val="000000"/>
                <w:highlight w:val="none"/>
              </w:rPr>
              <w:t>类别★</w:t>
            </w: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其他废弃物</w:t>
            </w:r>
          </w:p>
        </w:tc>
        <w:tc>
          <w:tcPr>
            <w:tcW w:w="2649"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宋体"/>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建筑垃圾</w:t>
            </w:r>
          </w:p>
        </w:tc>
        <w:tc>
          <w:tcPr>
            <w:tcW w:w="2649"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宋体"/>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生活垃圾</w:t>
            </w:r>
          </w:p>
        </w:tc>
        <w:tc>
          <w:tcPr>
            <w:tcW w:w="2649"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67" w:type="dxa"/>
            <w:vMerge w:val="continue"/>
            <w:vAlign w:val="center"/>
          </w:tcPr>
          <w:p>
            <w:pPr>
              <w:snapToGrid w:val="0"/>
              <w:jc w:val="center"/>
              <w:rPr>
                <w:rFonts w:ascii="Times New Roman" w:hAnsi="Times New Roman" w:cs="宋体"/>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工业固体废物</w:t>
            </w:r>
          </w:p>
        </w:tc>
        <w:tc>
          <w:tcPr>
            <w:tcW w:w="2649"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宋体"/>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危险废物</w:t>
            </w:r>
          </w:p>
        </w:tc>
        <w:tc>
          <w:tcPr>
            <w:tcW w:w="2649"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67"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污染物</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数量</w:t>
            </w:r>
          </w:p>
        </w:tc>
        <w:tc>
          <w:tcPr>
            <w:tcW w:w="5156"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r>
              <w:rPr>
                <w:rFonts w:hint="eastAsia" w:ascii="Times New Roman" w:hAnsi="Times New Roman" w:eastAsia="仿宋_GB2312" w:cs="仿宋_GB2312"/>
                <w:highlight w:val="none"/>
              </w:rPr>
              <w:t>吨以下</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r>
              <w:rPr>
                <w:rFonts w:hint="eastAsia" w:ascii="Times New Roman" w:hAnsi="Times New Roman" w:eastAsia="仿宋_GB2312" w:cs="仿宋_GB2312"/>
                <w:highlight w:val="none"/>
              </w:rPr>
              <w:t>吨以上</w:t>
            </w:r>
            <w:r>
              <w:rPr>
                <w:rFonts w:ascii="Times New Roman" w:hAnsi="Times New Roman" w:eastAsia="仿宋_GB2312" w:cs="Times New Roman"/>
                <w:highlight w:val="none"/>
              </w:rPr>
              <w:t>5</w:t>
            </w:r>
            <w:r>
              <w:rPr>
                <w:rFonts w:hint="eastAsia" w:ascii="Times New Roman" w:hAnsi="Times New Roman" w:eastAsia="仿宋_GB2312" w:cs="仿宋_GB2312"/>
                <w:highlight w:val="none"/>
              </w:rPr>
              <w:t>吨以下</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r>
              <w:rPr>
                <w:rFonts w:hint="eastAsia" w:ascii="Times New Roman" w:hAnsi="Times New Roman" w:eastAsia="仿宋_GB2312" w:cs="仿宋_GB2312"/>
                <w:highlight w:val="none"/>
              </w:rPr>
              <w:t>吨以上</w:t>
            </w:r>
            <w:r>
              <w:rPr>
                <w:rFonts w:ascii="Times New Roman" w:hAnsi="Times New Roman" w:eastAsia="仿宋_GB2312" w:cs="Times New Roman"/>
                <w:highlight w:val="none"/>
              </w:rPr>
              <w:t>10</w:t>
            </w:r>
            <w:r>
              <w:rPr>
                <w:rFonts w:hint="eastAsia" w:ascii="Times New Roman" w:hAnsi="Times New Roman" w:eastAsia="仿宋_GB2312" w:cs="仿宋_GB2312"/>
                <w:highlight w:val="none"/>
              </w:rPr>
              <w:t>吨以下</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10</w:t>
            </w:r>
            <w:r>
              <w:rPr>
                <w:rFonts w:hint="eastAsia" w:ascii="Times New Roman" w:hAnsi="Times New Roman" w:eastAsia="仿宋_GB2312" w:cs="仿宋_GB2312"/>
                <w:highlight w:val="none"/>
              </w:rPr>
              <w:t>吨以上</w:t>
            </w:r>
            <w:r>
              <w:rPr>
                <w:rFonts w:ascii="Times New Roman" w:hAnsi="Times New Roman" w:eastAsia="仿宋_GB2312" w:cs="Times New Roman"/>
                <w:highlight w:val="none"/>
              </w:rPr>
              <w:t>20</w:t>
            </w:r>
            <w:r>
              <w:rPr>
                <w:rFonts w:hint="eastAsia" w:ascii="Times New Roman" w:hAnsi="Times New Roman" w:eastAsia="仿宋_GB2312" w:cs="仿宋_GB2312"/>
                <w:highlight w:val="none"/>
              </w:rPr>
              <w:t>吨以下</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20</w:t>
            </w:r>
            <w:r>
              <w:rPr>
                <w:rFonts w:hint="eastAsia" w:ascii="Times New Roman" w:hAnsi="Times New Roman" w:eastAsia="仿宋_GB2312" w:cs="仿宋_GB2312"/>
                <w:highlight w:val="none"/>
              </w:rPr>
              <w:t>吨以上</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805"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eastAsia="仿宋_GB2312" w:cs="Times New Roman"/>
          <w:b/>
          <w:bCs/>
          <w:color w:val="FF0000"/>
          <w:sz w:val="10"/>
          <w:szCs w:val="10"/>
          <w:highlight w:val="none"/>
        </w:rPr>
      </w:pPr>
      <w:r>
        <w:rPr>
          <w:rFonts w:ascii="Times New Roman" w:hAnsi="Times New Roman" w:eastAsia="仿宋_GB2312" w:cs="Times New Roman"/>
          <w:b/>
          <w:bCs/>
          <w:color w:val="FF0000"/>
          <w:highlight w:val="none"/>
        </w:rPr>
        <w:br w:type="page"/>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5156"/>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2"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（三）水污染防治类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805"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kern w:val="0"/>
                <w:highlight w:val="none"/>
              </w:rPr>
            </w:pPr>
            <w:r>
              <w:rPr>
                <w:rFonts w:hint="eastAsia" w:ascii="Times New Roman" w:hAnsi="Times New Roman" w:cs="宋体"/>
                <w:b/>
                <w:bCs/>
                <w:kern w:val="0"/>
                <w:highlight w:val="none"/>
              </w:rPr>
              <w:t>违法行为</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20" w:firstLineChars="200"/>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向水体排放、倾倒放射性固体废物或者含有高放射性、中放射性物质的废水的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2" w:beforeLines="20"/>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《中华人民共和国水污染防治法》第三十四条第一款</w:t>
            </w:r>
            <w:r>
              <w:rPr>
                <w:rFonts w:ascii="Times New Roman" w:hAnsi="Times New Roman" w:eastAsia="仿宋_GB2312" w:cs="Times New Roman"/>
                <w:kern w:val="0"/>
                <w:highlight w:val="none"/>
              </w:rPr>
              <w:t xml:space="preserve"> </w:t>
            </w:r>
            <w:r>
              <w:rPr>
                <w:rFonts w:hint="eastAsia" w:ascii="Times New Roman" w:hAnsi="Times New Roman" w:eastAsia="仿宋_GB2312" w:cs="仿宋_GB2312"/>
                <w:kern w:val="0"/>
                <w:highlight w:val="none"/>
              </w:rPr>
              <w:t>禁止向水体排放、倾倒放射性固体废物或者含有高放射性和中放射性物质的废水。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805" w:type="dxa"/>
            <w:gridSpan w:val="2"/>
            <w:vAlign w:val="center"/>
          </w:tcPr>
          <w:p>
            <w:pPr>
              <w:widowControl/>
              <w:snapToGrid w:val="0"/>
              <w:spacing w:before="62" w:beforeLines="20"/>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《中华人民共和国水污染防治法》第八十五条第一款第（五）项、第二款</w:t>
            </w:r>
            <w:r>
              <w:rPr>
                <w:rFonts w:ascii="Times New Roman" w:hAnsi="Times New Roman" w:eastAsia="仿宋_GB2312" w:cs="Times New Roman"/>
                <w:b/>
                <w:bCs/>
                <w:kern w:val="0"/>
                <w:highlight w:val="none"/>
              </w:rPr>
              <w:t xml:space="preserve"> </w:t>
            </w:r>
            <w:r>
              <w:rPr>
                <w:rFonts w:hint="eastAsia" w:ascii="Times New Roman" w:hAnsi="Times New Roman" w:eastAsia="仿宋_GB2312" w:cs="仿宋_GB2312"/>
                <w:kern w:val="0"/>
                <w:highlight w:val="none"/>
              </w:rPr>
              <w:t>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widowControl/>
              <w:snapToGrid w:val="0"/>
              <w:ind w:firstLine="420"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（五）向水体排放、倾倒放射性固体废物或者含有高放射性、中放射性物质的废水的。</w:t>
            </w:r>
          </w:p>
          <w:p>
            <w:pPr>
              <w:widowControl/>
              <w:snapToGrid w:val="0"/>
              <w:ind w:firstLine="420"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15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4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向水体排放、倾倒放射性固体废物的</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向水体排放、倾倒含有中放射性物质的废水的</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向水体排放、倾倒含有高放射性物质的废水的</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污染物</w:t>
            </w:r>
          </w:p>
          <w:p>
            <w:pPr>
              <w:snapToGrid w:val="0"/>
              <w:jc w:val="center"/>
              <w:rPr>
                <w:rFonts w:ascii="Times New Roman" w:hAnsi="Times New Roman" w:cs="Times New Roman"/>
                <w:b/>
                <w:bCs/>
                <w:highlight w:val="none"/>
              </w:rPr>
            </w:pPr>
            <w:r>
              <w:rPr>
                <w:rFonts w:hint="eastAsia" w:ascii="Times New Roman" w:hAnsi="Times New Roman" w:cs="宋体"/>
                <w:b/>
                <w:bCs/>
                <w:color w:val="000000"/>
                <w:highlight w:val="none"/>
              </w:rPr>
              <w:t>数量</w:t>
            </w: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千克</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千克以上不足</w:t>
            </w: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千克</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千克以上不足</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千克</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千克以上不足</w:t>
            </w:r>
            <w:r>
              <w:rPr>
                <w:rFonts w:ascii="Times New Roman" w:hAnsi="Times New Roman" w:eastAsia="仿宋_GB2312" w:cs="Times New Roman"/>
                <w:color w:val="000000"/>
                <w:highlight w:val="none"/>
              </w:rPr>
              <w:t>100</w:t>
            </w:r>
            <w:r>
              <w:rPr>
                <w:rFonts w:hint="eastAsia" w:ascii="Times New Roman" w:hAnsi="Times New Roman" w:eastAsia="仿宋_GB2312" w:cs="仿宋_GB2312"/>
                <w:color w:val="000000"/>
                <w:highlight w:val="none"/>
              </w:rPr>
              <w:t>千克</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100</w:t>
            </w:r>
            <w:r>
              <w:rPr>
                <w:rFonts w:hint="eastAsia" w:ascii="Times New Roman" w:hAnsi="Times New Roman" w:eastAsia="仿宋_GB2312" w:cs="仿宋_GB2312"/>
                <w:color w:val="000000"/>
                <w:highlight w:val="none"/>
              </w:rPr>
              <w:t>千克以上</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67"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水体类别</w:t>
            </w:r>
          </w:p>
        </w:tc>
        <w:tc>
          <w:tcPr>
            <w:tcW w:w="5156"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Ⅴ</w:t>
            </w:r>
            <w:r>
              <w:rPr>
                <w:rFonts w:hint="eastAsia" w:ascii="Times New Roman" w:hAnsi="Times New Roman" w:eastAsia="仿宋_GB2312" w:cs="仿宋_GB2312"/>
                <w:highlight w:val="none"/>
              </w:rPr>
              <w:t>类水体</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Ⅳ</w:t>
            </w:r>
            <w:r>
              <w:rPr>
                <w:rFonts w:hint="eastAsia" w:ascii="Times New Roman" w:hAnsi="Times New Roman" w:eastAsia="仿宋_GB2312" w:cs="仿宋_GB2312"/>
                <w:highlight w:val="none"/>
              </w:rPr>
              <w:t>类水体</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Ⅲ</w:t>
            </w:r>
            <w:r>
              <w:rPr>
                <w:rFonts w:hint="eastAsia" w:ascii="Times New Roman" w:hAnsi="Times New Roman" w:eastAsia="仿宋_GB2312" w:cs="仿宋_GB2312"/>
                <w:highlight w:val="none"/>
              </w:rPr>
              <w:t>类水体</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Ⅱ</w:t>
            </w:r>
            <w:r>
              <w:rPr>
                <w:rFonts w:hint="eastAsia" w:ascii="Times New Roman" w:hAnsi="Times New Roman" w:eastAsia="仿宋_GB2312" w:cs="仿宋_GB2312"/>
                <w:highlight w:val="none"/>
              </w:rPr>
              <w:t>类水体</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Ⅰ</w:t>
            </w:r>
            <w:r>
              <w:rPr>
                <w:rFonts w:hint="eastAsia" w:ascii="Times New Roman" w:hAnsi="Times New Roman" w:eastAsia="仿宋_GB2312" w:cs="仿宋_GB2312"/>
                <w:highlight w:val="none"/>
              </w:rPr>
              <w:t>类水体</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805"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eastAsia="仿宋_GB2312" w:cs="Times New Roman"/>
          <w:b/>
          <w:bCs/>
          <w:color w:val="FF0000"/>
          <w:sz w:val="10"/>
          <w:szCs w:val="10"/>
          <w:highlight w:val="none"/>
        </w:rPr>
      </w:pPr>
      <w:r>
        <w:rPr>
          <w:rFonts w:ascii="Times New Roman" w:hAnsi="Times New Roman" w:eastAsia="仿宋_GB2312" w:cs="Times New Roman"/>
          <w:b/>
          <w:bCs/>
          <w:color w:val="FF0000"/>
          <w:highlight w:val="none"/>
        </w:rPr>
        <w:br w:type="page"/>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5156"/>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072"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（三）水污染防治类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805"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Align w:val="center"/>
          </w:tcPr>
          <w:p>
            <w:pPr>
              <w:snapToGrid w:val="0"/>
              <w:jc w:val="center"/>
              <w:rPr>
                <w:rFonts w:ascii="Times New Roman" w:hAnsi="Times New Roman" w:cs="Times New Roman"/>
                <w:b/>
                <w:bCs/>
                <w:kern w:val="0"/>
                <w:highlight w:val="none"/>
              </w:rPr>
            </w:pPr>
            <w:r>
              <w:rPr>
                <w:rFonts w:hint="eastAsia" w:ascii="Times New Roman" w:hAnsi="Times New Roman" w:cs="宋体"/>
                <w:b/>
                <w:bCs/>
                <w:kern w:val="0"/>
                <w:highlight w:val="none"/>
              </w:rPr>
              <w:t>违法行为</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20" w:firstLineChars="200"/>
              <w:rPr>
                <w:rFonts w:ascii="Times New Roman" w:hAnsi="Times New Roman" w:eastAsia="仿宋_GB2312" w:cs="Times New Roman"/>
                <w:color w:val="000000"/>
                <w:kern w:val="0"/>
                <w:highlight w:val="none"/>
              </w:rPr>
            </w:pPr>
            <w:r>
              <w:rPr>
                <w:rFonts w:hint="eastAsia" w:ascii="Times New Roman" w:hAnsi="Times New Roman" w:eastAsia="仿宋_GB2312" w:cs="仿宋_GB2312"/>
                <w:color w:val="000000"/>
                <w:kern w:val="0"/>
                <w:highlight w:val="none"/>
              </w:rPr>
              <w:t>违反国家有关规定或者标准，向水体排放含低放射性物质的废水、热废水或者含病原体的污水的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2" w:beforeLines="20"/>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《中华人民共和国水污染防治法》第三十四条第二款</w:t>
            </w:r>
            <w:r>
              <w:rPr>
                <w:rFonts w:ascii="Times New Roman" w:hAnsi="Times New Roman" w:eastAsia="仿宋_GB2312" w:cs="Times New Roman"/>
                <w:kern w:val="0"/>
                <w:highlight w:val="none"/>
              </w:rPr>
              <w:t xml:space="preserve"> </w:t>
            </w:r>
            <w:r>
              <w:rPr>
                <w:rFonts w:hint="eastAsia" w:ascii="Times New Roman" w:hAnsi="Times New Roman" w:eastAsia="仿宋_GB2312" w:cs="仿宋_GB2312"/>
                <w:kern w:val="0"/>
                <w:highlight w:val="none"/>
              </w:rPr>
              <w:t>向水体排放含低放射性物质的废水，应当符合国家有关放射性污染防治的规定和标准。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第三十五条</w:t>
            </w:r>
            <w:r>
              <w:rPr>
                <w:rFonts w:ascii="Times New Roman" w:hAnsi="Times New Roman" w:eastAsia="仿宋_GB2312" w:cs="Times New Roman"/>
                <w:b/>
                <w:bCs/>
                <w:kern w:val="0"/>
                <w:highlight w:val="none"/>
              </w:rPr>
              <w:t xml:space="preserve"> </w:t>
            </w:r>
            <w:r>
              <w:rPr>
                <w:rFonts w:hint="eastAsia" w:ascii="Times New Roman" w:hAnsi="Times New Roman" w:eastAsia="仿宋_GB2312" w:cs="仿宋_GB2312"/>
                <w:kern w:val="0"/>
                <w:highlight w:val="none"/>
              </w:rPr>
              <w:t>向水体排放含热废水，应当采取措施，保证水体的水温符合水环境质量标准。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22" w:firstLineChars="200"/>
              <w:jc w:val="left"/>
              <w:rPr>
                <w:rFonts w:ascii="Times New Roman" w:hAnsi="Times New Roman" w:eastAsia="仿宋_GB2312" w:cs="Times New Roman"/>
                <w:b/>
                <w:bCs/>
                <w:kern w:val="0"/>
                <w:highlight w:val="none"/>
              </w:rPr>
            </w:pPr>
            <w:r>
              <w:rPr>
                <w:rFonts w:hint="eastAsia" w:ascii="Times New Roman" w:hAnsi="Times New Roman" w:eastAsia="仿宋_GB2312" w:cs="仿宋_GB2312"/>
                <w:b/>
                <w:bCs/>
                <w:kern w:val="0"/>
                <w:highlight w:val="none"/>
              </w:rPr>
              <w:t>第三十六条</w:t>
            </w:r>
            <w:r>
              <w:rPr>
                <w:rFonts w:ascii="Times New Roman" w:hAnsi="Times New Roman" w:eastAsia="仿宋_GB2312" w:cs="Times New Roman"/>
                <w:b/>
                <w:bCs/>
                <w:kern w:val="0"/>
                <w:highlight w:val="none"/>
              </w:rPr>
              <w:t xml:space="preserve"> </w:t>
            </w:r>
            <w:r>
              <w:rPr>
                <w:rFonts w:hint="eastAsia" w:ascii="Times New Roman" w:hAnsi="Times New Roman" w:eastAsia="仿宋_GB2312" w:cs="仿宋_GB2312"/>
                <w:kern w:val="0"/>
                <w:highlight w:val="none"/>
              </w:rPr>
              <w:t>含病原体的污水应当经过消毒处理；符合国家有关标准后，方可排放。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805" w:type="dxa"/>
            <w:gridSpan w:val="2"/>
            <w:vAlign w:val="center"/>
          </w:tcPr>
          <w:p>
            <w:pPr>
              <w:widowControl/>
              <w:snapToGrid w:val="0"/>
              <w:spacing w:before="62" w:beforeLines="20" w:line="264" w:lineRule="auto"/>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《中华人民共和国水污染防治法》第八十五条第一款第（六）项、第二款</w:t>
            </w:r>
            <w:r>
              <w:rPr>
                <w:rFonts w:ascii="Times New Roman" w:hAnsi="Times New Roman" w:eastAsia="仿宋_GB2312" w:cs="Times New Roman"/>
                <w:b/>
                <w:bCs/>
                <w:kern w:val="0"/>
                <w:highlight w:val="none"/>
              </w:rPr>
              <w:t xml:space="preserve"> </w:t>
            </w:r>
            <w:r>
              <w:rPr>
                <w:rFonts w:hint="eastAsia" w:ascii="Times New Roman" w:hAnsi="Times New Roman" w:eastAsia="仿宋_GB2312" w:cs="仿宋_GB2312"/>
                <w:kern w:val="0"/>
                <w:highlight w:val="none"/>
              </w:rPr>
              <w:t>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widowControl/>
              <w:snapToGrid w:val="0"/>
              <w:spacing w:line="264" w:lineRule="auto"/>
              <w:ind w:firstLine="420"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（六）违反国家有关规定或者标准，向水体排放含低放射性物质的废水、热废水或者含病原体的污水的。</w:t>
            </w:r>
          </w:p>
          <w:p>
            <w:pPr>
              <w:widowControl/>
              <w:snapToGrid w:val="0"/>
              <w:spacing w:line="264" w:lineRule="auto"/>
              <w:ind w:firstLine="420"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15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4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jc w:val="center"/>
              <w:rPr>
                <w:rFonts w:ascii="Times New Roman" w:hAnsi="Times New Roman" w:cs="宋体"/>
                <w:b/>
                <w:bCs/>
                <w:color w:val="000000"/>
                <w:highlight w:val="none"/>
              </w:rPr>
            </w:pPr>
            <w:r>
              <w:rPr>
                <w:rFonts w:hint="eastAsia" w:ascii="Times New Roman" w:hAnsi="Times New Roman" w:cs="宋体"/>
                <w:b/>
                <w:bCs/>
                <w:color w:val="000000"/>
                <w:highlight w:val="none"/>
              </w:rPr>
              <w:t>排放物质★</w:t>
            </w:r>
          </w:p>
        </w:tc>
        <w:tc>
          <w:tcPr>
            <w:tcW w:w="5156" w:type="dxa"/>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未规范采取措施处理</w:t>
            </w:r>
            <w:r>
              <w:rPr>
                <w:rFonts w:hint="eastAsia" w:ascii="Times New Roman" w:hAnsi="Times New Roman" w:eastAsia="仿宋_GB2312" w:cs="仿宋_GB2312"/>
                <w:color w:val="000000"/>
                <w:highlight w:val="none"/>
              </w:rPr>
              <w:t>含低放射性物质的废水、热废水</w:t>
            </w:r>
            <w:r>
              <w:rPr>
                <w:rFonts w:hint="eastAsia" w:ascii="Times New Roman" w:hAnsi="Times New Roman" w:eastAsia="仿宋_GB2312" w:cs="仿宋_GB2312"/>
                <w:highlight w:val="none"/>
              </w:rPr>
              <w:t>后排放水体的</w:t>
            </w:r>
          </w:p>
        </w:tc>
        <w:tc>
          <w:tcPr>
            <w:tcW w:w="2649"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宋体"/>
                <w:b/>
                <w:bCs/>
                <w:highlight w:val="none"/>
              </w:rPr>
            </w:pPr>
          </w:p>
        </w:tc>
        <w:tc>
          <w:tcPr>
            <w:tcW w:w="5156" w:type="dxa"/>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未采取措施处理</w:t>
            </w:r>
            <w:r>
              <w:rPr>
                <w:rFonts w:hint="eastAsia" w:ascii="Times New Roman" w:hAnsi="Times New Roman" w:eastAsia="仿宋_GB2312" w:cs="仿宋_GB2312"/>
                <w:color w:val="000000"/>
                <w:highlight w:val="none"/>
              </w:rPr>
              <w:t>含低放射性物质的废水、热废水</w:t>
            </w:r>
            <w:r>
              <w:rPr>
                <w:rFonts w:hint="eastAsia" w:ascii="Times New Roman" w:hAnsi="Times New Roman" w:eastAsia="仿宋_GB2312" w:cs="仿宋_GB2312"/>
                <w:highlight w:val="none"/>
              </w:rPr>
              <w:t>后排放水体的</w:t>
            </w:r>
          </w:p>
        </w:tc>
        <w:tc>
          <w:tcPr>
            <w:tcW w:w="2649" w:type="dxa"/>
            <w:vAlign w:val="center"/>
          </w:tcPr>
          <w:p>
            <w:pPr>
              <w:snapToGrid w:val="0"/>
              <w:jc w:val="center"/>
              <w:rPr>
                <w:rFonts w:ascii="Times New Roman" w:hAnsi="Times New Roman" w:cs="Times New Roman"/>
                <w:highlight w:val="none"/>
              </w:rPr>
            </w:pPr>
            <w:r>
              <w:rPr>
                <w:rFonts w:hint="eastAsia"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Merge w:val="continue"/>
            <w:vAlign w:val="center"/>
          </w:tcPr>
          <w:p>
            <w:pPr>
              <w:snapToGrid w:val="0"/>
              <w:jc w:val="center"/>
              <w:rPr>
                <w:rFonts w:ascii="Times New Roman" w:hAnsi="Times New Roman" w:cs="宋体"/>
                <w:b/>
                <w:bCs/>
                <w:highlight w:val="none"/>
              </w:rPr>
            </w:pPr>
          </w:p>
        </w:tc>
        <w:tc>
          <w:tcPr>
            <w:tcW w:w="5156"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highlight w:val="none"/>
              </w:rPr>
              <w:t>未规范采取措施处理</w:t>
            </w:r>
            <w:r>
              <w:rPr>
                <w:rFonts w:hint="eastAsia" w:ascii="Times New Roman" w:hAnsi="Times New Roman" w:eastAsia="仿宋_GB2312" w:cs="仿宋_GB2312"/>
                <w:color w:val="000000"/>
                <w:highlight w:val="none"/>
              </w:rPr>
              <w:t>含病原体的污水</w:t>
            </w:r>
            <w:r>
              <w:rPr>
                <w:rFonts w:hint="eastAsia" w:ascii="Times New Roman" w:hAnsi="Times New Roman" w:eastAsia="仿宋_GB2312" w:cs="仿宋_GB2312"/>
                <w:highlight w:val="none"/>
              </w:rPr>
              <w:t>后排放水体的</w:t>
            </w:r>
          </w:p>
        </w:tc>
        <w:tc>
          <w:tcPr>
            <w:tcW w:w="2649"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Merge w:val="continue"/>
            <w:vAlign w:val="center"/>
          </w:tcPr>
          <w:p>
            <w:pPr>
              <w:snapToGrid w:val="0"/>
              <w:jc w:val="center"/>
              <w:rPr>
                <w:rFonts w:ascii="Times New Roman" w:hAnsi="Times New Roman" w:cs="宋体"/>
                <w:b/>
                <w:bCs/>
                <w:highlight w:val="none"/>
              </w:rPr>
            </w:pPr>
          </w:p>
        </w:tc>
        <w:tc>
          <w:tcPr>
            <w:tcW w:w="5156" w:type="dxa"/>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未采取措施处理</w:t>
            </w:r>
            <w:r>
              <w:rPr>
                <w:rFonts w:hint="eastAsia" w:ascii="Times New Roman" w:hAnsi="Times New Roman" w:eastAsia="仿宋_GB2312" w:cs="仿宋_GB2312"/>
                <w:color w:val="000000"/>
                <w:highlight w:val="none"/>
              </w:rPr>
              <w:t>含病原体的污水</w:t>
            </w:r>
            <w:r>
              <w:rPr>
                <w:rFonts w:hint="eastAsia" w:ascii="Times New Roman" w:hAnsi="Times New Roman" w:eastAsia="仿宋_GB2312" w:cs="仿宋_GB2312"/>
                <w:highlight w:val="none"/>
              </w:rPr>
              <w:t>后排放水体的</w:t>
            </w:r>
          </w:p>
        </w:tc>
        <w:tc>
          <w:tcPr>
            <w:tcW w:w="2649"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废水</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排放量</w:t>
            </w:r>
          </w:p>
        </w:tc>
        <w:tc>
          <w:tcPr>
            <w:tcW w:w="5156"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r>
              <w:rPr>
                <w:rFonts w:hint="eastAsia" w:ascii="Times New Roman" w:hAnsi="Times New Roman" w:eastAsia="仿宋_GB2312" w:cs="仿宋_GB2312"/>
                <w:highlight w:val="none"/>
              </w:rPr>
              <w:t>吨以下</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r>
              <w:rPr>
                <w:rFonts w:hint="eastAsia" w:ascii="Times New Roman" w:hAnsi="Times New Roman" w:eastAsia="仿宋_GB2312" w:cs="仿宋_GB2312"/>
                <w:highlight w:val="none"/>
              </w:rPr>
              <w:t>吨以上</w:t>
            </w:r>
            <w:r>
              <w:rPr>
                <w:rFonts w:ascii="Times New Roman" w:hAnsi="Times New Roman" w:eastAsia="仿宋_GB2312" w:cs="Times New Roman"/>
                <w:highlight w:val="none"/>
              </w:rPr>
              <w:t>5</w:t>
            </w:r>
            <w:r>
              <w:rPr>
                <w:rFonts w:hint="eastAsia" w:ascii="Times New Roman" w:hAnsi="Times New Roman" w:eastAsia="仿宋_GB2312" w:cs="仿宋_GB2312"/>
                <w:highlight w:val="none"/>
              </w:rPr>
              <w:t>吨以下</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r>
              <w:rPr>
                <w:rFonts w:hint="eastAsia" w:ascii="Times New Roman" w:hAnsi="Times New Roman" w:eastAsia="仿宋_GB2312" w:cs="仿宋_GB2312"/>
                <w:highlight w:val="none"/>
              </w:rPr>
              <w:t>吨以上</w:t>
            </w:r>
            <w:r>
              <w:rPr>
                <w:rFonts w:ascii="Times New Roman" w:hAnsi="Times New Roman" w:eastAsia="仿宋_GB2312" w:cs="Times New Roman"/>
                <w:highlight w:val="none"/>
              </w:rPr>
              <w:t>10</w:t>
            </w:r>
            <w:r>
              <w:rPr>
                <w:rFonts w:hint="eastAsia" w:ascii="Times New Roman" w:hAnsi="Times New Roman" w:eastAsia="仿宋_GB2312" w:cs="仿宋_GB2312"/>
                <w:highlight w:val="none"/>
              </w:rPr>
              <w:t>吨以下</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10</w:t>
            </w:r>
            <w:r>
              <w:rPr>
                <w:rFonts w:hint="eastAsia" w:ascii="Times New Roman" w:hAnsi="Times New Roman" w:eastAsia="仿宋_GB2312" w:cs="仿宋_GB2312"/>
                <w:highlight w:val="none"/>
              </w:rPr>
              <w:t>吨以上</w:t>
            </w:r>
            <w:r>
              <w:rPr>
                <w:rFonts w:ascii="Times New Roman" w:hAnsi="Times New Roman" w:eastAsia="仿宋_GB2312" w:cs="Times New Roman"/>
                <w:highlight w:val="none"/>
              </w:rPr>
              <w:t>20</w:t>
            </w:r>
            <w:r>
              <w:rPr>
                <w:rFonts w:hint="eastAsia" w:ascii="Times New Roman" w:hAnsi="Times New Roman" w:eastAsia="仿宋_GB2312" w:cs="仿宋_GB2312"/>
                <w:highlight w:val="none"/>
              </w:rPr>
              <w:t>吨以下</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20</w:t>
            </w:r>
            <w:r>
              <w:rPr>
                <w:rFonts w:hint="eastAsia" w:ascii="Times New Roman" w:hAnsi="Times New Roman" w:eastAsia="仿宋_GB2312" w:cs="仿宋_GB2312"/>
                <w:highlight w:val="none"/>
              </w:rPr>
              <w:t>吨以上</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水体类别</w:t>
            </w:r>
          </w:p>
        </w:tc>
        <w:tc>
          <w:tcPr>
            <w:tcW w:w="5156"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Ⅴ</w:t>
            </w:r>
            <w:r>
              <w:rPr>
                <w:rFonts w:hint="eastAsia" w:ascii="Times New Roman" w:hAnsi="Times New Roman" w:eastAsia="仿宋_GB2312" w:cs="仿宋_GB2312"/>
                <w:highlight w:val="none"/>
              </w:rPr>
              <w:t>类水体</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Ⅳ</w:t>
            </w:r>
            <w:r>
              <w:rPr>
                <w:rFonts w:hint="eastAsia" w:ascii="Times New Roman" w:hAnsi="Times New Roman" w:eastAsia="仿宋_GB2312" w:cs="仿宋_GB2312"/>
                <w:highlight w:val="none"/>
              </w:rPr>
              <w:t>类水体</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Ⅲ</w:t>
            </w:r>
            <w:r>
              <w:rPr>
                <w:rFonts w:hint="eastAsia" w:ascii="Times New Roman" w:hAnsi="Times New Roman" w:eastAsia="仿宋_GB2312" w:cs="仿宋_GB2312"/>
                <w:highlight w:val="none"/>
              </w:rPr>
              <w:t>类水体</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Ⅱ</w:t>
            </w:r>
            <w:r>
              <w:rPr>
                <w:rFonts w:hint="eastAsia" w:ascii="Times New Roman" w:hAnsi="Times New Roman" w:eastAsia="仿宋_GB2312" w:cs="仿宋_GB2312"/>
                <w:highlight w:val="none"/>
              </w:rPr>
              <w:t>类水体</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Merge w:val="continue"/>
            <w:tcBorders>
              <w:bottom w:val="single" w:color="auto" w:sz="4" w:space="0"/>
            </w:tcBorders>
            <w:vAlign w:val="center"/>
          </w:tcPr>
          <w:p>
            <w:pPr>
              <w:snapToGrid w:val="0"/>
              <w:jc w:val="center"/>
              <w:rPr>
                <w:rFonts w:ascii="Times New Roman" w:hAnsi="Times New Roman" w:cs="Times New Roman"/>
                <w:b/>
                <w:bCs/>
                <w:highlight w:val="none"/>
              </w:rPr>
            </w:pPr>
          </w:p>
        </w:tc>
        <w:tc>
          <w:tcPr>
            <w:tcW w:w="5156" w:type="dxa"/>
            <w:tcBorders>
              <w:bottom w:val="single" w:color="auto" w:sz="4" w:space="0"/>
            </w:tcBorders>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Ⅰ</w:t>
            </w:r>
            <w:r>
              <w:rPr>
                <w:rFonts w:hint="eastAsia" w:ascii="Times New Roman" w:hAnsi="Times New Roman" w:eastAsia="仿宋_GB2312" w:cs="仿宋_GB2312"/>
                <w:highlight w:val="none"/>
              </w:rPr>
              <w:t>类水体</w:t>
            </w:r>
          </w:p>
        </w:tc>
        <w:tc>
          <w:tcPr>
            <w:tcW w:w="2649" w:type="dxa"/>
            <w:tcBorders>
              <w:bottom w:val="single" w:color="auto" w:sz="4" w:space="0"/>
            </w:tcBorders>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805"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eastAsia="仿宋_GB2312" w:cs="Times New Roman"/>
          <w:b/>
          <w:bCs/>
          <w:color w:val="FF0000"/>
          <w:sz w:val="10"/>
          <w:szCs w:val="10"/>
          <w:highlight w:val="none"/>
        </w:rPr>
      </w:pPr>
      <w:r>
        <w:rPr>
          <w:rFonts w:ascii="Times New Roman" w:hAnsi="Times New Roman" w:eastAsia="仿宋_GB2312" w:cs="Times New Roman"/>
          <w:b/>
          <w:bCs/>
          <w:color w:val="FF0000"/>
          <w:highlight w:val="none"/>
        </w:rPr>
        <w:br w:type="page"/>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5368"/>
        <w:gridCol w:w="2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072"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（三）水污染防治类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805"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Align w:val="center"/>
          </w:tcPr>
          <w:p>
            <w:pPr>
              <w:snapToGrid w:val="0"/>
              <w:jc w:val="center"/>
              <w:rPr>
                <w:rFonts w:ascii="Times New Roman" w:hAnsi="Times New Roman" w:cs="Times New Roman"/>
                <w:b/>
                <w:bCs/>
                <w:kern w:val="0"/>
                <w:highlight w:val="none"/>
              </w:rPr>
            </w:pPr>
            <w:r>
              <w:rPr>
                <w:rFonts w:hint="eastAsia" w:ascii="Times New Roman" w:hAnsi="Times New Roman" w:cs="宋体"/>
                <w:b/>
                <w:bCs/>
                <w:kern w:val="0"/>
                <w:highlight w:val="none"/>
              </w:rPr>
              <w:t>违法行为</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20" w:firstLineChars="200"/>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未采取防渗漏等措施，或者未建设地下水水质监测井进行监测的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2" w:beforeLines="20"/>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《中华人民共和国水污染防治法》第四十条第一款</w:t>
            </w:r>
            <w:r>
              <w:rPr>
                <w:rFonts w:ascii="Times New Roman" w:hAnsi="Times New Roman" w:eastAsia="仿宋_GB2312" w:cs="Times New Roman"/>
                <w:kern w:val="0"/>
                <w:highlight w:val="none"/>
              </w:rPr>
              <w:t xml:space="preserve"> </w:t>
            </w:r>
            <w:r>
              <w:rPr>
                <w:rFonts w:hint="eastAsia" w:ascii="Times New Roman" w:hAnsi="Times New Roman" w:eastAsia="仿宋_GB2312" w:cs="仿宋_GB2312"/>
                <w:kern w:val="0"/>
                <w:highlight w:val="none"/>
              </w:rPr>
              <w:t>化学品生产企业以及工业集聚区、矿山开采区、尾矿库、危险废物处置场、垃圾填埋场等的运营、管理单位，应当采取防渗漏等措施，并建设地下水水质监测井进行监测，防止地下水污染。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805" w:type="dxa"/>
            <w:gridSpan w:val="2"/>
            <w:vAlign w:val="center"/>
          </w:tcPr>
          <w:p>
            <w:pPr>
              <w:widowControl/>
              <w:snapToGrid w:val="0"/>
              <w:spacing w:before="62" w:beforeLines="20" w:line="264" w:lineRule="auto"/>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《中华人民共和国水污染防治法》第八十五条第一款第（七）项、第二款</w:t>
            </w:r>
            <w:r>
              <w:rPr>
                <w:rFonts w:ascii="Times New Roman" w:hAnsi="Times New Roman" w:eastAsia="仿宋_GB2312" w:cs="Times New Roman"/>
                <w:b/>
                <w:bCs/>
                <w:kern w:val="0"/>
                <w:highlight w:val="none"/>
              </w:rPr>
              <w:t xml:space="preserve"> </w:t>
            </w:r>
            <w:r>
              <w:rPr>
                <w:rFonts w:hint="eastAsia" w:ascii="Times New Roman" w:hAnsi="Times New Roman" w:eastAsia="仿宋_GB2312" w:cs="仿宋_GB2312"/>
                <w:kern w:val="0"/>
                <w:highlight w:val="none"/>
              </w:rPr>
              <w:t>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widowControl/>
              <w:snapToGrid w:val="0"/>
              <w:spacing w:line="264" w:lineRule="auto"/>
              <w:ind w:firstLine="420"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（七）未采取防渗漏等措施，或者未建设地下水水质监测井进行监测的。</w:t>
            </w:r>
          </w:p>
          <w:p>
            <w:pPr>
              <w:widowControl/>
              <w:snapToGrid w:val="0"/>
              <w:spacing w:line="264" w:lineRule="auto"/>
              <w:ind w:firstLine="420"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368"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43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368"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已采取防渗漏措施，未规范建设地下水水质监测井进行监测的</w:t>
            </w:r>
          </w:p>
        </w:tc>
        <w:tc>
          <w:tcPr>
            <w:tcW w:w="243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368"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已采取防渗漏措施，未建设地下水水质监测井进行监测的</w:t>
            </w:r>
          </w:p>
        </w:tc>
        <w:tc>
          <w:tcPr>
            <w:tcW w:w="243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368"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未规范采取防渗漏措施的</w:t>
            </w:r>
          </w:p>
        </w:tc>
        <w:tc>
          <w:tcPr>
            <w:tcW w:w="243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368"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未采取防渗漏措施的</w:t>
            </w:r>
          </w:p>
        </w:tc>
        <w:tc>
          <w:tcPr>
            <w:tcW w:w="243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水体类别</w:t>
            </w:r>
          </w:p>
        </w:tc>
        <w:tc>
          <w:tcPr>
            <w:tcW w:w="5368"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Ⅴ</w:t>
            </w:r>
            <w:r>
              <w:rPr>
                <w:rFonts w:hint="eastAsia" w:ascii="Times New Roman" w:hAnsi="Times New Roman" w:eastAsia="仿宋_GB2312" w:cs="仿宋_GB2312"/>
                <w:highlight w:val="none"/>
              </w:rPr>
              <w:t>类水体</w:t>
            </w:r>
          </w:p>
        </w:tc>
        <w:tc>
          <w:tcPr>
            <w:tcW w:w="243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368"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Ⅳ</w:t>
            </w:r>
            <w:r>
              <w:rPr>
                <w:rFonts w:hint="eastAsia" w:ascii="Times New Roman" w:hAnsi="Times New Roman" w:eastAsia="仿宋_GB2312" w:cs="仿宋_GB2312"/>
                <w:highlight w:val="none"/>
              </w:rPr>
              <w:t>类水体</w:t>
            </w:r>
          </w:p>
        </w:tc>
        <w:tc>
          <w:tcPr>
            <w:tcW w:w="243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368"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Ⅲ</w:t>
            </w:r>
            <w:r>
              <w:rPr>
                <w:rFonts w:hint="eastAsia" w:ascii="Times New Roman" w:hAnsi="Times New Roman" w:eastAsia="仿宋_GB2312" w:cs="仿宋_GB2312"/>
                <w:highlight w:val="none"/>
              </w:rPr>
              <w:t>类水体</w:t>
            </w:r>
          </w:p>
        </w:tc>
        <w:tc>
          <w:tcPr>
            <w:tcW w:w="243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368"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Ⅱ</w:t>
            </w:r>
            <w:r>
              <w:rPr>
                <w:rFonts w:hint="eastAsia" w:ascii="Times New Roman" w:hAnsi="Times New Roman" w:eastAsia="仿宋_GB2312" w:cs="仿宋_GB2312"/>
                <w:highlight w:val="none"/>
              </w:rPr>
              <w:t>类水体</w:t>
            </w:r>
          </w:p>
        </w:tc>
        <w:tc>
          <w:tcPr>
            <w:tcW w:w="243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368"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Ⅰ</w:t>
            </w:r>
            <w:r>
              <w:rPr>
                <w:rFonts w:hint="eastAsia" w:ascii="Times New Roman" w:hAnsi="Times New Roman" w:eastAsia="仿宋_GB2312" w:cs="仿宋_GB2312"/>
                <w:highlight w:val="none"/>
              </w:rPr>
              <w:t>类水体</w:t>
            </w:r>
          </w:p>
        </w:tc>
        <w:tc>
          <w:tcPr>
            <w:tcW w:w="243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场所类别</w:t>
            </w:r>
          </w:p>
        </w:tc>
        <w:tc>
          <w:tcPr>
            <w:tcW w:w="5368"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矿山开采区</w:t>
            </w:r>
          </w:p>
        </w:tc>
        <w:tc>
          <w:tcPr>
            <w:tcW w:w="2437"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368"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尾矿库</w:t>
            </w:r>
          </w:p>
        </w:tc>
        <w:tc>
          <w:tcPr>
            <w:tcW w:w="2437"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368"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垃圾填埋场</w:t>
            </w:r>
          </w:p>
        </w:tc>
        <w:tc>
          <w:tcPr>
            <w:tcW w:w="2437"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368"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化学品生产企业以及工业集聚区</w:t>
            </w:r>
          </w:p>
        </w:tc>
        <w:tc>
          <w:tcPr>
            <w:tcW w:w="2437"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368"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危险废物处置场</w:t>
            </w:r>
          </w:p>
        </w:tc>
        <w:tc>
          <w:tcPr>
            <w:tcW w:w="2437"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805"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eastAsia="仿宋_GB2312" w:cs="Times New Roman"/>
          <w:b/>
          <w:bCs/>
          <w:color w:val="FF0000"/>
          <w:sz w:val="10"/>
          <w:szCs w:val="10"/>
          <w:highlight w:val="none"/>
        </w:rPr>
      </w:pPr>
      <w:r>
        <w:rPr>
          <w:rFonts w:ascii="Times New Roman" w:hAnsi="Times New Roman" w:eastAsia="仿宋_GB2312" w:cs="Times New Roman"/>
          <w:b/>
          <w:bCs/>
          <w:color w:val="FF0000"/>
          <w:highlight w:val="none"/>
        </w:rPr>
        <w:br w:type="page"/>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5156"/>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072"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（三）水污染防治类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805"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kern w:val="0"/>
                <w:highlight w:val="none"/>
              </w:rPr>
            </w:pPr>
            <w:r>
              <w:rPr>
                <w:rFonts w:hint="eastAsia" w:ascii="Times New Roman" w:hAnsi="Times New Roman" w:cs="宋体"/>
                <w:b/>
                <w:bCs/>
                <w:kern w:val="0"/>
                <w:highlight w:val="none"/>
              </w:rPr>
              <w:t>违法行为</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20"/>
              <w:rPr>
                <w:rFonts w:ascii="Times New Roman" w:hAnsi="Times New Roman" w:eastAsia="仿宋_GB2312" w:cs="Times New Roman"/>
                <w:kern w:val="0"/>
                <w:highlight w:val="none"/>
              </w:rPr>
            </w:pPr>
            <w:bookmarkStart w:id="53" w:name="OLE_LINK21"/>
            <w:bookmarkStart w:id="54" w:name="OLE_LINK22"/>
            <w:r>
              <w:rPr>
                <w:rFonts w:hint="eastAsia" w:ascii="Times New Roman" w:hAnsi="Times New Roman" w:eastAsia="仿宋_GB2312" w:cs="仿宋_GB2312"/>
                <w:kern w:val="0"/>
                <w:highlight w:val="none"/>
              </w:rPr>
              <w:t>加油站等的地下油罐未使用双层罐或者采取建设防渗池等其他有效措施，或者未进行防渗漏监测的</w:t>
            </w:r>
            <w:bookmarkEnd w:id="53"/>
            <w:bookmarkEnd w:id="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《中华人民共和国水污染防治法》第四十条第二款</w:t>
            </w:r>
            <w:r>
              <w:rPr>
                <w:rFonts w:ascii="Times New Roman" w:hAnsi="Times New Roman" w:eastAsia="仿宋_GB2312" w:cs="Times New Roman"/>
                <w:kern w:val="0"/>
                <w:highlight w:val="none"/>
              </w:rPr>
              <w:t xml:space="preserve"> </w:t>
            </w:r>
            <w:r>
              <w:rPr>
                <w:rFonts w:hint="eastAsia" w:ascii="Times New Roman" w:hAnsi="Times New Roman" w:eastAsia="仿宋_GB2312" w:cs="仿宋_GB2312"/>
                <w:kern w:val="0"/>
                <w:highlight w:val="none"/>
              </w:rPr>
              <w:t>加油站等的地下油罐应当使用双层罐或者采取建造防渗池等其他有效措施，并进行防渗漏监测，防止地下水污染。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805" w:type="dxa"/>
            <w:gridSpan w:val="2"/>
            <w:vAlign w:val="center"/>
          </w:tcPr>
          <w:p>
            <w:pPr>
              <w:widowControl/>
              <w:snapToGrid w:val="0"/>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《中华人民共和国水污染防治法》第八十五条第一款第（八）项、第二款</w:t>
            </w:r>
            <w:r>
              <w:rPr>
                <w:rFonts w:ascii="Times New Roman" w:hAnsi="Times New Roman" w:eastAsia="仿宋_GB2312" w:cs="Times New Roman"/>
                <w:b/>
                <w:bCs/>
                <w:kern w:val="0"/>
                <w:highlight w:val="none"/>
              </w:rPr>
              <w:t xml:space="preserve"> </w:t>
            </w:r>
            <w:r>
              <w:rPr>
                <w:rFonts w:hint="eastAsia" w:ascii="Times New Roman" w:hAnsi="Times New Roman" w:eastAsia="仿宋_GB2312" w:cs="仿宋_GB2312"/>
                <w:kern w:val="0"/>
                <w:highlight w:val="none"/>
              </w:rPr>
              <w:t>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widowControl/>
              <w:snapToGrid w:val="0"/>
              <w:ind w:firstLine="420"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（八）加油站等的地下油罐未使用双层罐或者采取建设防渗池等其他有效措施，或者未进行防渗漏监测的。</w:t>
            </w:r>
          </w:p>
          <w:p>
            <w:pPr>
              <w:widowControl/>
              <w:snapToGrid w:val="0"/>
              <w:ind w:firstLine="420"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15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4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已使用双层罐或者采取建设防渗池等其他有效措施，但是未规范进行防渗漏监测的</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已使用双层罐或者采取建设防渗池等其他有效措施，但是未进行防渗漏监测的</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未规范使用双层罐或者采取建设防渗池等其他有效措施的</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未使用双层罐或者采取建设防渗池等其他有效措施的</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地下油罐容积</w:t>
            </w:r>
          </w:p>
        </w:tc>
        <w:tc>
          <w:tcPr>
            <w:tcW w:w="5156"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100m</w:t>
            </w:r>
            <w:r>
              <w:rPr>
                <w:rFonts w:ascii="Times New Roman" w:hAnsi="Times New Roman" w:eastAsia="仿宋_GB2312" w:cs="Times New Roman"/>
                <w:highlight w:val="none"/>
                <w:vertAlign w:val="superscript"/>
              </w:rPr>
              <w:t>3</w:t>
            </w:r>
            <w:r>
              <w:rPr>
                <w:rFonts w:hint="eastAsia" w:ascii="Times New Roman" w:hAnsi="Times New Roman" w:eastAsia="仿宋_GB2312" w:cs="仿宋_GB2312"/>
                <w:highlight w:val="none"/>
              </w:rPr>
              <w:t>以下的</w:t>
            </w:r>
          </w:p>
        </w:tc>
        <w:tc>
          <w:tcPr>
            <w:tcW w:w="264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100m</w:t>
            </w:r>
            <w:r>
              <w:rPr>
                <w:rFonts w:ascii="Times New Roman" w:hAnsi="Times New Roman" w:eastAsia="仿宋_GB2312" w:cs="Times New Roman"/>
                <w:highlight w:val="none"/>
                <w:vertAlign w:val="superscript"/>
              </w:rPr>
              <w:t>3</w:t>
            </w:r>
            <w:r>
              <w:rPr>
                <w:rFonts w:hint="eastAsia" w:ascii="Times New Roman" w:hAnsi="Times New Roman" w:eastAsia="仿宋_GB2312" w:cs="仿宋_GB2312"/>
                <w:highlight w:val="none"/>
              </w:rPr>
              <w:t>以上</w:t>
            </w:r>
            <w:r>
              <w:rPr>
                <w:rFonts w:ascii="Times New Roman" w:hAnsi="Times New Roman" w:eastAsia="仿宋_GB2312" w:cs="Times New Roman"/>
                <w:highlight w:val="none"/>
              </w:rPr>
              <w:t>500m</w:t>
            </w:r>
            <w:r>
              <w:rPr>
                <w:rFonts w:ascii="Times New Roman" w:hAnsi="Times New Roman" w:eastAsia="仿宋_GB2312" w:cs="Times New Roman"/>
                <w:highlight w:val="none"/>
                <w:vertAlign w:val="superscript"/>
              </w:rPr>
              <w:t>3</w:t>
            </w:r>
            <w:r>
              <w:rPr>
                <w:rFonts w:hint="eastAsia" w:ascii="Times New Roman" w:hAnsi="Times New Roman" w:eastAsia="仿宋_GB2312" w:cs="仿宋_GB2312"/>
                <w:highlight w:val="none"/>
              </w:rPr>
              <w:t>以内的</w:t>
            </w:r>
          </w:p>
        </w:tc>
        <w:tc>
          <w:tcPr>
            <w:tcW w:w="264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500m</w:t>
            </w:r>
            <w:r>
              <w:rPr>
                <w:rFonts w:ascii="Times New Roman" w:hAnsi="Times New Roman" w:eastAsia="仿宋_GB2312" w:cs="Times New Roman"/>
                <w:highlight w:val="none"/>
                <w:vertAlign w:val="superscript"/>
              </w:rPr>
              <w:t>3</w:t>
            </w:r>
            <w:r>
              <w:rPr>
                <w:rFonts w:hint="eastAsia" w:ascii="Times New Roman" w:hAnsi="Times New Roman" w:eastAsia="仿宋_GB2312" w:cs="仿宋_GB2312"/>
                <w:highlight w:val="none"/>
              </w:rPr>
              <w:t>以上的</w:t>
            </w:r>
          </w:p>
        </w:tc>
        <w:tc>
          <w:tcPr>
            <w:tcW w:w="264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加油站</w:t>
            </w:r>
          </w:p>
          <w:p>
            <w:pPr>
              <w:snapToGrid w:val="0"/>
              <w:jc w:val="center"/>
              <w:rPr>
                <w:rFonts w:ascii="Times New Roman" w:hAnsi="Times New Roman" w:eastAsia="仿宋_GB2312" w:cs="Times New Roman"/>
                <w:color w:val="000000"/>
                <w:highlight w:val="none"/>
              </w:rPr>
            </w:pPr>
            <w:r>
              <w:rPr>
                <w:rFonts w:hint="eastAsia" w:ascii="Times New Roman" w:hAnsi="Times New Roman" w:cs="宋体"/>
                <w:b/>
                <w:bCs/>
                <w:color w:val="000000"/>
                <w:highlight w:val="none"/>
              </w:rPr>
              <w:t>年销售量</w:t>
            </w: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1000</w:t>
            </w:r>
            <w:r>
              <w:rPr>
                <w:rFonts w:hint="eastAsia" w:ascii="Times New Roman" w:hAnsi="Times New Roman" w:eastAsia="仿宋_GB2312" w:cs="仿宋_GB2312"/>
                <w:color w:val="000000"/>
                <w:highlight w:val="none"/>
              </w:rPr>
              <w:t>吨</w:t>
            </w:r>
          </w:p>
        </w:tc>
        <w:tc>
          <w:tcPr>
            <w:tcW w:w="2649" w:type="dxa"/>
            <w:vAlign w:val="center"/>
          </w:tcPr>
          <w:p>
            <w:pPr>
              <w:widowControl/>
              <w:snapToGrid w:val="0"/>
              <w:jc w:val="center"/>
              <w:textAlignment w:val="center"/>
              <w:rPr>
                <w:rFonts w:ascii="Times New Roman" w:hAnsi="Times New Roman" w:eastAsia="仿宋_GB2312" w:cs="Times New Roman"/>
                <w:color w:val="000000"/>
                <w:highlight w:val="none"/>
              </w:rPr>
            </w:pPr>
            <w:r>
              <w:rPr>
                <w:rFonts w:ascii="Times New Roman" w:hAnsi="Times New Roman" w:cs="Times New Roman"/>
                <w:color w:val="000000"/>
                <w:kern w:val="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1000</w:t>
            </w:r>
            <w:r>
              <w:rPr>
                <w:rFonts w:hint="eastAsia" w:ascii="Times New Roman" w:hAnsi="Times New Roman" w:eastAsia="仿宋_GB2312" w:cs="仿宋_GB2312"/>
                <w:color w:val="000000"/>
                <w:highlight w:val="none"/>
              </w:rPr>
              <w:t>吨以上不足</w:t>
            </w:r>
            <w:r>
              <w:rPr>
                <w:rFonts w:ascii="Times New Roman" w:hAnsi="Times New Roman" w:eastAsia="仿宋_GB2312" w:cs="Times New Roman"/>
                <w:color w:val="000000"/>
                <w:highlight w:val="none"/>
              </w:rPr>
              <w:t>5000</w:t>
            </w:r>
            <w:r>
              <w:rPr>
                <w:rFonts w:hint="eastAsia" w:ascii="Times New Roman" w:hAnsi="Times New Roman" w:eastAsia="仿宋_GB2312" w:cs="仿宋_GB2312"/>
                <w:color w:val="000000"/>
                <w:highlight w:val="none"/>
              </w:rPr>
              <w:t>吨</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kern w:val="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5000</w:t>
            </w:r>
            <w:r>
              <w:rPr>
                <w:rFonts w:hint="eastAsia" w:ascii="Times New Roman" w:hAnsi="Times New Roman" w:eastAsia="仿宋_GB2312" w:cs="仿宋_GB2312"/>
                <w:color w:val="000000"/>
                <w:highlight w:val="none"/>
              </w:rPr>
              <w:t>吨以上不足</w:t>
            </w:r>
            <w:r>
              <w:rPr>
                <w:rFonts w:ascii="Times New Roman" w:hAnsi="Times New Roman" w:eastAsia="仿宋_GB2312" w:cs="Times New Roman"/>
                <w:color w:val="000000"/>
                <w:highlight w:val="none"/>
              </w:rPr>
              <w:t>10000</w:t>
            </w:r>
            <w:r>
              <w:rPr>
                <w:rFonts w:hint="eastAsia" w:ascii="Times New Roman" w:hAnsi="Times New Roman" w:eastAsia="仿宋_GB2312" w:cs="仿宋_GB2312"/>
                <w:color w:val="000000"/>
                <w:highlight w:val="none"/>
              </w:rPr>
              <w:t>吨</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kern w:val="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10000</w:t>
            </w:r>
            <w:r>
              <w:rPr>
                <w:rFonts w:hint="eastAsia" w:ascii="Times New Roman" w:hAnsi="Times New Roman" w:eastAsia="仿宋_GB2312" w:cs="仿宋_GB2312"/>
                <w:color w:val="000000"/>
                <w:highlight w:val="none"/>
              </w:rPr>
              <w:t>吨以上不足</w:t>
            </w:r>
            <w:r>
              <w:rPr>
                <w:rFonts w:ascii="Times New Roman" w:hAnsi="Times New Roman" w:eastAsia="仿宋_GB2312" w:cs="Times New Roman"/>
                <w:color w:val="000000"/>
                <w:highlight w:val="none"/>
              </w:rPr>
              <w:t>20000</w:t>
            </w:r>
            <w:r>
              <w:rPr>
                <w:rFonts w:hint="eastAsia" w:ascii="Times New Roman" w:hAnsi="Times New Roman" w:eastAsia="仿宋_GB2312" w:cs="仿宋_GB2312"/>
                <w:color w:val="000000"/>
                <w:highlight w:val="none"/>
              </w:rPr>
              <w:t>吨</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kern w:val="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20000</w:t>
            </w:r>
            <w:r>
              <w:rPr>
                <w:rFonts w:hint="eastAsia" w:ascii="Times New Roman" w:hAnsi="Times New Roman" w:eastAsia="仿宋_GB2312" w:cs="仿宋_GB2312"/>
                <w:color w:val="000000"/>
                <w:highlight w:val="none"/>
              </w:rPr>
              <w:t>吨以上</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kern w:val="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水体类别</w:t>
            </w:r>
          </w:p>
        </w:tc>
        <w:tc>
          <w:tcPr>
            <w:tcW w:w="5156"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Ⅴ</w:t>
            </w:r>
            <w:r>
              <w:rPr>
                <w:rFonts w:hint="eastAsia" w:ascii="Times New Roman" w:hAnsi="Times New Roman" w:eastAsia="仿宋_GB2312" w:cs="仿宋_GB2312"/>
                <w:highlight w:val="none"/>
              </w:rPr>
              <w:t>类水体</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Ⅳ</w:t>
            </w:r>
            <w:r>
              <w:rPr>
                <w:rFonts w:hint="eastAsia" w:ascii="Times New Roman" w:hAnsi="Times New Roman" w:eastAsia="仿宋_GB2312" w:cs="仿宋_GB2312"/>
                <w:highlight w:val="none"/>
              </w:rPr>
              <w:t>类水体</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Ⅲ</w:t>
            </w:r>
            <w:r>
              <w:rPr>
                <w:rFonts w:hint="eastAsia" w:ascii="Times New Roman" w:hAnsi="Times New Roman" w:eastAsia="仿宋_GB2312" w:cs="仿宋_GB2312"/>
                <w:highlight w:val="none"/>
              </w:rPr>
              <w:t>类水体</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Ⅱ</w:t>
            </w:r>
            <w:r>
              <w:rPr>
                <w:rFonts w:hint="eastAsia" w:ascii="Times New Roman" w:hAnsi="Times New Roman" w:eastAsia="仿宋_GB2312" w:cs="仿宋_GB2312"/>
                <w:highlight w:val="none"/>
              </w:rPr>
              <w:t>类水体</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Ⅰ</w:t>
            </w:r>
            <w:r>
              <w:rPr>
                <w:rFonts w:hint="eastAsia" w:ascii="Times New Roman" w:hAnsi="Times New Roman" w:eastAsia="仿宋_GB2312" w:cs="仿宋_GB2312"/>
                <w:highlight w:val="none"/>
              </w:rPr>
              <w:t>类水体</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805"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eastAsia="仿宋_GB2312" w:cs="Times New Roman"/>
          <w:b/>
          <w:bCs/>
          <w:color w:val="FF0000"/>
          <w:sz w:val="10"/>
          <w:szCs w:val="10"/>
          <w:highlight w:val="none"/>
        </w:rPr>
      </w:pPr>
      <w:r>
        <w:rPr>
          <w:rFonts w:ascii="Times New Roman" w:hAnsi="Times New Roman" w:eastAsia="仿宋_GB2312" w:cs="Times New Roman"/>
          <w:b/>
          <w:bCs/>
          <w:color w:val="FF0000"/>
          <w:highlight w:val="none"/>
        </w:rPr>
        <w:br w:type="page"/>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5156"/>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2"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（三）水污染防治类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805"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Align w:val="center"/>
          </w:tcPr>
          <w:p>
            <w:pPr>
              <w:snapToGrid w:val="0"/>
              <w:spacing w:line="288" w:lineRule="auto"/>
              <w:jc w:val="center"/>
              <w:rPr>
                <w:rFonts w:ascii="Times New Roman" w:hAnsi="Times New Roman" w:cs="Times New Roman"/>
                <w:b/>
                <w:bCs/>
                <w:kern w:val="0"/>
                <w:highlight w:val="none"/>
              </w:rPr>
            </w:pPr>
            <w:r>
              <w:rPr>
                <w:rFonts w:hint="eastAsia" w:ascii="Times New Roman" w:hAnsi="Times New Roman" w:cs="宋体"/>
                <w:b/>
                <w:bCs/>
                <w:kern w:val="0"/>
                <w:highlight w:val="none"/>
              </w:rPr>
              <w:t>违法行为</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2" w:beforeLines="20"/>
              <w:ind w:firstLine="420" w:firstLineChars="200"/>
              <w:rPr>
                <w:rFonts w:ascii="Times New Roman" w:hAnsi="Times New Roman" w:eastAsia="仿宋_GB2312" w:cs="Times New Roman"/>
                <w:color w:val="000000"/>
                <w:kern w:val="0"/>
                <w:highlight w:val="none"/>
              </w:rPr>
            </w:pPr>
            <w:r>
              <w:rPr>
                <w:rFonts w:hint="eastAsia" w:ascii="Times New Roman" w:hAnsi="Times New Roman" w:eastAsia="仿宋_GB2312" w:cs="仿宋_GB2312"/>
                <w:color w:val="000000"/>
                <w:kern w:val="0"/>
                <w:highlight w:val="none"/>
              </w:rPr>
              <w:t>未按照规定采取防护性措施，或者利用无防渗漏措施的沟渠、坑塘等输送或者存贮含有毒污染物的废水、含病原体的污水或者其他废弃物的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2" w:beforeLines="20"/>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《中华人民共和国水污染防治法》第四十条第三款</w:t>
            </w:r>
            <w:r>
              <w:rPr>
                <w:rFonts w:ascii="Times New Roman" w:hAnsi="Times New Roman" w:eastAsia="仿宋_GB2312" w:cs="Times New Roman"/>
                <w:kern w:val="0"/>
                <w:highlight w:val="none"/>
              </w:rPr>
              <w:t xml:space="preserve"> </w:t>
            </w:r>
            <w:r>
              <w:rPr>
                <w:rFonts w:hint="eastAsia" w:ascii="Times New Roman" w:hAnsi="Times New Roman" w:eastAsia="仿宋_GB2312" w:cs="仿宋_GB2312"/>
                <w:kern w:val="0"/>
                <w:highlight w:val="none"/>
              </w:rPr>
              <w:t>禁止利用无防渗漏措施的沟渠、坑塘等输送或者存贮含有毒污染物的废水、含病原体的污水和其他废弃物。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805" w:type="dxa"/>
            <w:gridSpan w:val="2"/>
            <w:vAlign w:val="center"/>
          </w:tcPr>
          <w:p>
            <w:pPr>
              <w:widowControl/>
              <w:snapToGrid w:val="0"/>
              <w:spacing w:before="62" w:beforeLines="20"/>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《中华人民共和国水污染防治法》第八十五条第一款第（九）项、第二款</w:t>
            </w:r>
            <w:r>
              <w:rPr>
                <w:rFonts w:ascii="Times New Roman" w:hAnsi="Times New Roman" w:eastAsia="仿宋_GB2312" w:cs="Times New Roman"/>
                <w:b/>
                <w:bCs/>
                <w:kern w:val="0"/>
                <w:highlight w:val="none"/>
              </w:rPr>
              <w:t xml:space="preserve"> </w:t>
            </w:r>
            <w:r>
              <w:rPr>
                <w:rFonts w:hint="eastAsia" w:ascii="Times New Roman" w:hAnsi="Times New Roman" w:eastAsia="仿宋_GB2312" w:cs="仿宋_GB2312"/>
                <w:kern w:val="0"/>
                <w:highlight w:val="none"/>
              </w:rPr>
              <w:t>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widowControl/>
              <w:snapToGrid w:val="0"/>
              <w:ind w:firstLine="420"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（九）未按照规定采取防护性措施，或者利用无防渗漏措施的沟渠、坑塘等输送或者存贮含有毒污染物的废水、含病原体的污水或者其他废弃物的。</w:t>
            </w:r>
          </w:p>
          <w:p>
            <w:pPr>
              <w:widowControl/>
              <w:snapToGrid w:val="0"/>
              <w:ind w:firstLine="420"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15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4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kern w:val="0"/>
                <w:highlight w:val="none"/>
              </w:rPr>
              <w:t>未按照规定采取防护性措施，或者利用无防渗漏措施的沟渠、坑塘等输送或者存贮其他废弃物的</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kern w:val="0"/>
                <w:highlight w:val="none"/>
              </w:rPr>
              <w:t>未按照规定采取防护性措施，或者利用无防渗漏措施的沟渠、坑塘等输送或者存贮含有毒污染物的废水、含病原体的污水的</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污染物</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数量</w:t>
            </w:r>
          </w:p>
        </w:tc>
        <w:tc>
          <w:tcPr>
            <w:tcW w:w="5156"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r>
              <w:rPr>
                <w:rFonts w:hint="eastAsia" w:ascii="Times New Roman" w:hAnsi="Times New Roman" w:eastAsia="仿宋_GB2312" w:cs="仿宋_GB2312"/>
                <w:highlight w:val="none"/>
              </w:rPr>
              <w:t>吨以下</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r>
              <w:rPr>
                <w:rFonts w:hint="eastAsia" w:ascii="Times New Roman" w:hAnsi="Times New Roman" w:eastAsia="仿宋_GB2312" w:cs="仿宋_GB2312"/>
                <w:highlight w:val="none"/>
              </w:rPr>
              <w:t>吨以上</w:t>
            </w:r>
            <w:r>
              <w:rPr>
                <w:rFonts w:ascii="Times New Roman" w:hAnsi="Times New Roman" w:eastAsia="仿宋_GB2312" w:cs="Times New Roman"/>
                <w:highlight w:val="none"/>
              </w:rPr>
              <w:t>5</w:t>
            </w:r>
            <w:r>
              <w:rPr>
                <w:rFonts w:hint="eastAsia" w:ascii="Times New Roman" w:hAnsi="Times New Roman" w:eastAsia="仿宋_GB2312" w:cs="仿宋_GB2312"/>
                <w:highlight w:val="none"/>
              </w:rPr>
              <w:t>吨以下</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r>
              <w:rPr>
                <w:rFonts w:hint="eastAsia" w:ascii="Times New Roman" w:hAnsi="Times New Roman" w:eastAsia="仿宋_GB2312" w:cs="仿宋_GB2312"/>
                <w:highlight w:val="none"/>
              </w:rPr>
              <w:t>吨以上</w:t>
            </w:r>
            <w:r>
              <w:rPr>
                <w:rFonts w:ascii="Times New Roman" w:hAnsi="Times New Roman" w:eastAsia="仿宋_GB2312" w:cs="Times New Roman"/>
                <w:highlight w:val="none"/>
              </w:rPr>
              <w:t>10</w:t>
            </w:r>
            <w:r>
              <w:rPr>
                <w:rFonts w:hint="eastAsia" w:ascii="Times New Roman" w:hAnsi="Times New Roman" w:eastAsia="仿宋_GB2312" w:cs="仿宋_GB2312"/>
                <w:highlight w:val="none"/>
              </w:rPr>
              <w:t>吨以下</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10</w:t>
            </w:r>
            <w:r>
              <w:rPr>
                <w:rFonts w:hint="eastAsia" w:ascii="Times New Roman" w:hAnsi="Times New Roman" w:eastAsia="仿宋_GB2312" w:cs="仿宋_GB2312"/>
                <w:highlight w:val="none"/>
              </w:rPr>
              <w:t>吨以上</w:t>
            </w:r>
            <w:r>
              <w:rPr>
                <w:rFonts w:ascii="Times New Roman" w:hAnsi="Times New Roman" w:eastAsia="仿宋_GB2312" w:cs="Times New Roman"/>
                <w:highlight w:val="none"/>
              </w:rPr>
              <w:t>20</w:t>
            </w:r>
            <w:r>
              <w:rPr>
                <w:rFonts w:hint="eastAsia" w:ascii="Times New Roman" w:hAnsi="Times New Roman" w:eastAsia="仿宋_GB2312" w:cs="仿宋_GB2312"/>
                <w:highlight w:val="none"/>
              </w:rPr>
              <w:t>吨以下</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20</w:t>
            </w:r>
            <w:r>
              <w:rPr>
                <w:rFonts w:hint="eastAsia" w:ascii="Times New Roman" w:hAnsi="Times New Roman" w:eastAsia="仿宋_GB2312" w:cs="仿宋_GB2312"/>
                <w:highlight w:val="none"/>
              </w:rPr>
              <w:t>吨以上</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污染物排放类别</w:t>
            </w: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其他废弃物</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一般工程废水</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一般工业废水</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含有毒污染物的废水</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可溶性剧毒废渣或含病原体污水</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805" w:type="dxa"/>
            <w:gridSpan w:val="2"/>
            <w:vAlign w:val="center"/>
          </w:tcPr>
          <w:p>
            <w:pPr>
              <w:snapToGrid w:val="0"/>
              <w:ind w:firstLine="420"/>
              <w:jc w:val="center"/>
              <w:rPr>
                <w:rFonts w:ascii="Times New Roman" w:hAnsi="Times New Roman" w:cs="Times New Roman"/>
                <w:highlight w:val="none"/>
              </w:rPr>
            </w:pPr>
          </w:p>
        </w:tc>
      </w:tr>
    </w:tbl>
    <w:p>
      <w:pPr>
        <w:widowControl/>
        <w:snapToGrid w:val="0"/>
        <w:ind w:firstLine="422" w:firstLineChars="200"/>
        <w:jc w:val="left"/>
        <w:rPr>
          <w:rFonts w:ascii="Times New Roman" w:hAnsi="Times New Roman" w:eastAsia="仿宋_GB2312" w:cs="Times New Roman"/>
          <w:color w:val="000000"/>
          <w:sz w:val="10"/>
          <w:szCs w:val="10"/>
          <w:highlight w:val="none"/>
        </w:rPr>
      </w:pPr>
      <w:r>
        <w:rPr>
          <w:rFonts w:ascii="Times New Roman" w:hAnsi="Times New Roman" w:eastAsia="仿宋_GB2312" w:cs="Times New Roman"/>
          <w:b/>
          <w:bCs/>
          <w:color w:val="FF0000"/>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387"/>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（三）水污染防治类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在饮用水水源一级保护区内新建、改建、扩建与供水设施和保护水源无关的建设项目的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vAlign w:val="center"/>
          </w:tcPr>
          <w:p>
            <w:pPr>
              <w:snapToGrid w:val="0"/>
              <w:ind w:firstLine="420"/>
              <w:rPr>
                <w:rFonts w:ascii="Times New Roman" w:hAnsi="Times New Roman" w:eastAsia="仿宋_GB2312" w:cs="Times New Roman"/>
                <w:highlight w:val="none"/>
              </w:rPr>
            </w:pPr>
            <w:r>
              <w:rPr>
                <w:rFonts w:ascii="Times New Roman" w:hAnsi="Times New Roman" w:eastAsia="仿宋_GB2312" w:cs="Times New Roman"/>
                <w:b/>
                <w:bCs/>
                <w:highlight w:val="none"/>
              </w:rPr>
              <w:t>1.</w:t>
            </w:r>
            <w:r>
              <w:rPr>
                <w:rFonts w:hint="eastAsia" w:ascii="Times New Roman" w:hAnsi="Times New Roman" w:eastAsia="仿宋_GB2312" w:cs="仿宋_GB2312"/>
                <w:b/>
                <w:bCs/>
                <w:highlight w:val="none"/>
              </w:rPr>
              <w:t>《中华人民共和国水污染防治法》第六十五条第一款</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禁止在饮用水水源一级保护区内新建、改建、扩建与供水设施和保护水源无关的建设项目；已建成的与供水设施和保护水源无关的建设项目，由县级以上人民政府责令拆除或者关闭。</w:t>
            </w:r>
          </w:p>
          <w:p>
            <w:pPr>
              <w:snapToGrid w:val="0"/>
              <w:ind w:firstLine="420"/>
              <w:rPr>
                <w:rFonts w:ascii="Times New Roman" w:hAnsi="Times New Roman" w:eastAsia="仿宋_GB2312" w:cs="Times New Roman"/>
                <w:highlight w:val="none"/>
              </w:rPr>
            </w:pPr>
            <w:r>
              <w:rPr>
                <w:rFonts w:ascii="Times New Roman" w:hAnsi="Times New Roman" w:eastAsia="仿宋_GB2312" w:cs="Times New Roman"/>
                <w:b/>
                <w:bCs/>
                <w:highlight w:val="none"/>
              </w:rPr>
              <w:t>2.</w:t>
            </w:r>
            <w:r>
              <w:rPr>
                <w:rFonts w:hint="eastAsia" w:ascii="Times New Roman" w:hAnsi="Times New Roman" w:eastAsia="仿宋_GB2312" w:cs="仿宋_GB2312"/>
                <w:b/>
                <w:bCs/>
                <w:highlight w:val="none"/>
              </w:rPr>
              <w:t>《山东省水污染防治条例》第六十一条第（三）项</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在饮用水水源一级保护区内，除禁止本条例第五十九条、第六十条规定的行为以外，禁止从事下列行为：</w:t>
            </w:r>
          </w:p>
          <w:p>
            <w:pPr>
              <w:snapToGrid w:val="0"/>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（三）设置与供水需要无关的码头。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vAlign w:val="center"/>
          </w:tcPr>
          <w:p>
            <w:pPr>
              <w:snapToGrid w:val="0"/>
              <w:ind w:firstLine="420"/>
              <w:rPr>
                <w:rFonts w:ascii="Times New Roman" w:hAnsi="Times New Roman" w:eastAsia="仿宋_GB2312" w:cs="Times New Roman"/>
                <w:highlight w:val="none"/>
              </w:rPr>
            </w:pPr>
            <w:r>
              <w:rPr>
                <w:rFonts w:ascii="Times New Roman" w:hAnsi="Times New Roman" w:eastAsia="仿宋_GB2312" w:cs="Times New Roman"/>
                <w:b/>
                <w:bCs/>
                <w:highlight w:val="none"/>
              </w:rPr>
              <w:t>1.</w:t>
            </w:r>
            <w:r>
              <w:rPr>
                <w:rFonts w:hint="eastAsia" w:ascii="Times New Roman" w:hAnsi="Times New Roman" w:eastAsia="仿宋_GB2312" w:cs="仿宋_GB2312"/>
                <w:b/>
                <w:bCs/>
                <w:highlight w:val="none"/>
              </w:rPr>
              <w:t>《中华人民共和国水污染防治法》第九十一条第一款第（一）项</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有下列行为之一的，由县级以上地方人民政府环境保护主管部门责令停止违法行为，处十万元以上五十万元以下的罚款；并报经有批准权的人民政府批准，责令拆除或者关闭：</w:t>
            </w:r>
          </w:p>
          <w:p>
            <w:pPr>
              <w:snapToGrid w:val="0"/>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highlight w:val="none"/>
              </w:rPr>
              <w:t>（一）在饮用水水源一级保护区内新建、改建、扩建与供水设施和保护水源无关的建设项目的。</w:t>
            </w:r>
          </w:p>
          <w:p>
            <w:pPr>
              <w:snapToGrid w:val="0"/>
              <w:ind w:firstLine="420"/>
              <w:rPr>
                <w:rFonts w:ascii="Times New Roman" w:hAnsi="Times New Roman" w:eastAsia="仿宋_GB2312" w:cs="Times New Roman"/>
                <w:highlight w:val="none"/>
              </w:rPr>
            </w:pPr>
            <w:r>
              <w:rPr>
                <w:rFonts w:ascii="Times New Roman" w:hAnsi="Times New Roman" w:eastAsia="仿宋_GB2312" w:cs="Times New Roman"/>
                <w:b/>
                <w:bCs/>
                <w:highlight w:val="none"/>
              </w:rPr>
              <w:t>2.</w:t>
            </w:r>
            <w:r>
              <w:rPr>
                <w:rFonts w:hint="eastAsia" w:ascii="Times New Roman" w:hAnsi="Times New Roman" w:eastAsia="仿宋_GB2312" w:cs="仿宋_GB2312"/>
                <w:b/>
                <w:bCs/>
                <w:highlight w:val="none"/>
              </w:rPr>
              <w:t>《山东省水污染防治条例》第八十六条第一款第（四）项</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违反本条例规定，有下列情形之一的，由县级以上人民政府环境保护主管部门责令停止违法行为，处十万元以上五十万元以下的罚款，并报经有批准权的人民政府批准，责令拆除或者关闭：</w:t>
            </w:r>
          </w:p>
          <w:p>
            <w:pPr>
              <w:snapToGrid w:val="0"/>
              <w:ind w:left="420"/>
              <w:rPr>
                <w:rFonts w:ascii="Times New Roman" w:hAnsi="Times New Roman" w:eastAsia="仿宋_GB2312" w:cs="Times New Roman"/>
                <w:highlight w:val="none"/>
              </w:rPr>
            </w:pPr>
            <w:r>
              <w:rPr>
                <w:rFonts w:hint="eastAsia" w:ascii="Times New Roman" w:hAnsi="Times New Roman" w:eastAsia="仿宋_GB2312" w:cs="仿宋_GB2312"/>
                <w:highlight w:val="none"/>
              </w:rPr>
              <w:t>（四）在饮用水水源一级保护区设置与供水需要无关的码头的。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38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55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建设项目</w:t>
            </w:r>
          </w:p>
          <w:p>
            <w:pPr>
              <w:snapToGrid w:val="0"/>
              <w:jc w:val="center"/>
              <w:rPr>
                <w:rFonts w:ascii="Times New Roman" w:hAnsi="Times New Roman" w:cs="Times New Roman"/>
                <w:b/>
                <w:bCs/>
                <w:highlight w:val="none"/>
              </w:rPr>
            </w:pPr>
            <w:r>
              <w:rPr>
                <w:rFonts w:hint="eastAsia" w:ascii="Times New Roman" w:hAnsi="Times New Roman" w:cs="宋体"/>
                <w:b/>
                <w:bCs/>
                <w:color w:val="000000"/>
                <w:highlight w:val="none"/>
              </w:rPr>
              <w:t>废水类别★</w:t>
            </w:r>
          </w:p>
        </w:tc>
        <w:tc>
          <w:tcPr>
            <w:tcW w:w="5387"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无废水排放或者生活废水</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387"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服务业废水</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387"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一般工业废水</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387"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含其他有毒有害物质的废水、医疗废水</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387"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含一类污染物或重金属、病原体、放射性物质的废水</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水日排放量</w:t>
            </w:r>
          </w:p>
        </w:tc>
        <w:tc>
          <w:tcPr>
            <w:tcW w:w="5387"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不足</w:t>
            </w:r>
            <w:r>
              <w:rPr>
                <w:rFonts w:ascii="Times New Roman" w:hAnsi="Times New Roman" w:eastAsia="仿宋_GB2312" w:cs="Times New Roman"/>
                <w:highlight w:val="none"/>
              </w:rPr>
              <w:t>1</w:t>
            </w:r>
            <w:r>
              <w:rPr>
                <w:rFonts w:hint="eastAsia" w:ascii="Times New Roman" w:hAnsi="Times New Roman" w:eastAsia="仿宋_GB2312" w:cs="仿宋_GB2312"/>
                <w:highlight w:val="none"/>
              </w:rPr>
              <w:t>吨</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38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r>
              <w:rPr>
                <w:rFonts w:hint="eastAsia" w:ascii="Times New Roman" w:hAnsi="Times New Roman" w:eastAsia="仿宋_GB2312" w:cs="仿宋_GB2312"/>
                <w:highlight w:val="none"/>
              </w:rPr>
              <w:t>吨以上不足</w:t>
            </w:r>
            <w:r>
              <w:rPr>
                <w:rFonts w:ascii="Times New Roman" w:hAnsi="Times New Roman" w:eastAsia="仿宋_GB2312" w:cs="Times New Roman"/>
                <w:highlight w:val="none"/>
              </w:rPr>
              <w:t>10</w:t>
            </w:r>
            <w:r>
              <w:rPr>
                <w:rFonts w:hint="eastAsia" w:ascii="Times New Roman" w:hAnsi="Times New Roman" w:eastAsia="仿宋_GB2312" w:cs="仿宋_GB2312"/>
                <w:highlight w:val="none"/>
              </w:rPr>
              <w:t>吨</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38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10</w:t>
            </w:r>
            <w:r>
              <w:rPr>
                <w:rFonts w:hint="eastAsia" w:ascii="Times New Roman" w:hAnsi="Times New Roman" w:eastAsia="仿宋_GB2312" w:cs="仿宋_GB2312"/>
                <w:highlight w:val="none"/>
              </w:rPr>
              <w:t>吨以上不足</w:t>
            </w:r>
            <w:r>
              <w:rPr>
                <w:rFonts w:ascii="Times New Roman" w:hAnsi="Times New Roman" w:eastAsia="仿宋_GB2312" w:cs="Times New Roman"/>
                <w:highlight w:val="none"/>
              </w:rPr>
              <w:t>50</w:t>
            </w:r>
            <w:r>
              <w:rPr>
                <w:rFonts w:hint="eastAsia" w:ascii="Times New Roman" w:hAnsi="Times New Roman" w:eastAsia="仿宋_GB2312" w:cs="仿宋_GB2312"/>
                <w:highlight w:val="none"/>
              </w:rPr>
              <w:t>吨</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38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50</w:t>
            </w:r>
            <w:r>
              <w:rPr>
                <w:rFonts w:hint="eastAsia" w:ascii="Times New Roman" w:hAnsi="Times New Roman" w:eastAsia="仿宋_GB2312" w:cs="仿宋_GB2312"/>
                <w:highlight w:val="none"/>
              </w:rPr>
              <w:t>吨以上不足</w:t>
            </w:r>
            <w:r>
              <w:rPr>
                <w:rFonts w:ascii="Times New Roman" w:hAnsi="Times New Roman" w:eastAsia="仿宋_GB2312" w:cs="Times New Roman"/>
                <w:highlight w:val="none"/>
              </w:rPr>
              <w:t>100</w:t>
            </w:r>
            <w:r>
              <w:rPr>
                <w:rFonts w:hint="eastAsia" w:ascii="Times New Roman" w:hAnsi="Times New Roman" w:eastAsia="仿宋_GB2312" w:cs="仿宋_GB2312"/>
                <w:highlight w:val="none"/>
              </w:rPr>
              <w:t>吨</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38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100</w:t>
            </w:r>
            <w:r>
              <w:rPr>
                <w:rFonts w:hint="eastAsia" w:ascii="Times New Roman" w:hAnsi="Times New Roman" w:eastAsia="仿宋_GB2312" w:cs="仿宋_GB2312"/>
                <w:highlight w:val="none"/>
              </w:rPr>
              <w:t>吨以上</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项目建设</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情况</w:t>
            </w:r>
          </w:p>
        </w:tc>
        <w:tc>
          <w:tcPr>
            <w:tcW w:w="5387"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项目未建成的</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387"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项目已建成，未造成水体污染的</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387"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项目已建成投入使用，或造成水体污染的</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行为情形</w:t>
            </w:r>
          </w:p>
        </w:tc>
        <w:tc>
          <w:tcPr>
            <w:tcW w:w="5387"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改建</w:t>
            </w:r>
          </w:p>
        </w:tc>
        <w:tc>
          <w:tcPr>
            <w:tcW w:w="255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387"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扩建</w:t>
            </w:r>
          </w:p>
        </w:tc>
        <w:tc>
          <w:tcPr>
            <w:tcW w:w="2551"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387"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新建</w:t>
            </w:r>
          </w:p>
        </w:tc>
        <w:tc>
          <w:tcPr>
            <w:tcW w:w="2551"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w:t>
            </w:r>
            <w:r>
              <w:rPr>
                <w:rFonts w:ascii="Times New Roman" w:hAnsi="Times New Roman" w:cs="Times New Roman"/>
                <w:b/>
                <w:bCs/>
                <w:highlight w:val="none"/>
              </w:rPr>
              <w:t xml:space="preserve">  </w:t>
            </w:r>
            <w:r>
              <w:rPr>
                <w:rFonts w:hint="eastAsia" w:ascii="Times New Roman" w:hAnsi="Times New Roman" w:cs="宋体"/>
                <w:b/>
                <w:bCs/>
                <w:highlight w:val="none"/>
              </w:rPr>
              <w:t>注</w:t>
            </w:r>
          </w:p>
        </w:tc>
        <w:tc>
          <w:tcPr>
            <w:tcW w:w="5387" w:type="dxa"/>
            <w:vAlign w:val="center"/>
          </w:tcPr>
          <w:p>
            <w:pPr>
              <w:snapToGrid w:val="0"/>
              <w:jc w:val="center"/>
              <w:rPr>
                <w:rFonts w:ascii="Times New Roman" w:hAnsi="Times New Roman" w:cs="Times New Roman"/>
                <w:highlight w:val="none"/>
              </w:rPr>
            </w:pPr>
          </w:p>
        </w:tc>
        <w:tc>
          <w:tcPr>
            <w:tcW w:w="2551" w:type="dxa"/>
            <w:vAlign w:val="center"/>
          </w:tcPr>
          <w:p>
            <w:pPr>
              <w:snapToGrid w:val="0"/>
              <w:jc w:val="center"/>
              <w:rPr>
                <w:rFonts w:ascii="Times New Roman" w:hAnsi="Times New Roman" w:cs="Times New Roman"/>
                <w:highlight w:val="none"/>
              </w:rPr>
            </w:pPr>
          </w:p>
        </w:tc>
      </w:tr>
    </w:tbl>
    <w:p>
      <w:pPr>
        <w:widowControl/>
        <w:snapToGrid w:val="0"/>
        <w:ind w:firstLine="640" w:firstLineChars="200"/>
        <w:jc w:val="left"/>
        <w:rPr>
          <w:rFonts w:ascii="Times New Roman" w:hAnsi="Times New Roman" w:eastAsia="仿宋_GB2312" w:cs="Times New Roman"/>
          <w:color w:val="000000"/>
          <w:sz w:val="10"/>
          <w:szCs w:val="10"/>
          <w:highlight w:val="none"/>
        </w:rPr>
      </w:pPr>
      <w:r>
        <w:rPr>
          <w:rFonts w:ascii="Times New Roman" w:hAnsi="Times New Roman" w:eastAsia="仿宋_GB2312" w:cs="Times New Roman"/>
          <w:color w:val="000000"/>
          <w:sz w:val="32"/>
          <w:szCs w:val="32"/>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387"/>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（三）水污染防治类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ind w:firstLine="42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在饮用水水源二级保护区内新建、改建、扩建排放污染物的建设项目的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vAlign w:val="center"/>
          </w:tcPr>
          <w:p>
            <w:pPr>
              <w:snapToGrid w:val="0"/>
              <w:spacing w:before="62" w:beforeLines="20" w:line="288"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《中华人民共和国水污染防治法》第六十六条第一款</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禁止在饮用水水源二级保护区内新建、改建、扩建排放污染物的建设项目；已建成的排放污染物的建设项目，由县级以上人民政府责令拆除或者关闭。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vAlign w:val="center"/>
          </w:tcPr>
          <w:p>
            <w:pPr>
              <w:snapToGrid w:val="0"/>
              <w:spacing w:before="62" w:beforeLines="20" w:line="288"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《中华人民共和国水污染防治法》第九十一条第一款第（二）项</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有下列行为之一的，由县级以上地方人民政府环境保护主管部门责令停止违法行为，处十万元以上五十万元以下的罚款；并报经有批准权的人民政府批准，责令拆除或者关闭：</w:t>
            </w:r>
          </w:p>
          <w:p>
            <w:pPr>
              <w:snapToGrid w:val="0"/>
              <w:spacing w:line="288" w:lineRule="auto"/>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（二）在饮用水水源二级保护区内新建、改建、扩建排放污染物的建设项目的。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38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55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建设项目</w:t>
            </w:r>
          </w:p>
          <w:p>
            <w:pPr>
              <w:snapToGrid w:val="0"/>
              <w:jc w:val="center"/>
              <w:rPr>
                <w:rFonts w:ascii="Times New Roman" w:hAnsi="Times New Roman" w:cs="Times New Roman"/>
                <w:b/>
                <w:bCs/>
                <w:highlight w:val="none"/>
              </w:rPr>
            </w:pPr>
            <w:r>
              <w:rPr>
                <w:rFonts w:hint="eastAsia" w:ascii="Times New Roman" w:hAnsi="Times New Roman" w:cs="宋体"/>
                <w:b/>
                <w:bCs/>
                <w:color w:val="000000"/>
                <w:highlight w:val="none"/>
              </w:rPr>
              <w:t>废水类别★</w:t>
            </w:r>
          </w:p>
        </w:tc>
        <w:tc>
          <w:tcPr>
            <w:tcW w:w="5387"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生活废水</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387"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服务业废水</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387"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一般工业废水</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387"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含其他有毒有害物质的废水、医疗废水</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387"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含一类污染物或重金属、病原体、放射性物质的废水</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水日排放量</w:t>
            </w:r>
          </w:p>
        </w:tc>
        <w:tc>
          <w:tcPr>
            <w:tcW w:w="5387"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不足</w:t>
            </w:r>
            <w:r>
              <w:rPr>
                <w:rFonts w:ascii="Times New Roman" w:hAnsi="Times New Roman" w:eastAsia="仿宋_GB2312" w:cs="Times New Roman"/>
                <w:highlight w:val="none"/>
              </w:rPr>
              <w:t>5</w:t>
            </w:r>
            <w:r>
              <w:rPr>
                <w:rFonts w:hint="eastAsia" w:ascii="Times New Roman" w:hAnsi="Times New Roman" w:eastAsia="仿宋_GB2312" w:cs="仿宋_GB2312"/>
                <w:highlight w:val="none"/>
              </w:rPr>
              <w:t>吨</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38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r>
              <w:rPr>
                <w:rFonts w:hint="eastAsia" w:ascii="Times New Roman" w:hAnsi="Times New Roman" w:eastAsia="仿宋_GB2312" w:cs="仿宋_GB2312"/>
                <w:highlight w:val="none"/>
              </w:rPr>
              <w:t>吨以上不足</w:t>
            </w:r>
            <w:r>
              <w:rPr>
                <w:rFonts w:ascii="Times New Roman" w:hAnsi="Times New Roman" w:eastAsia="仿宋_GB2312" w:cs="Times New Roman"/>
                <w:highlight w:val="none"/>
              </w:rPr>
              <w:t>50</w:t>
            </w:r>
            <w:r>
              <w:rPr>
                <w:rFonts w:hint="eastAsia" w:ascii="Times New Roman" w:hAnsi="Times New Roman" w:eastAsia="仿宋_GB2312" w:cs="仿宋_GB2312"/>
                <w:highlight w:val="none"/>
              </w:rPr>
              <w:t>吨</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38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50</w:t>
            </w:r>
            <w:r>
              <w:rPr>
                <w:rFonts w:hint="eastAsia" w:ascii="Times New Roman" w:hAnsi="Times New Roman" w:eastAsia="仿宋_GB2312" w:cs="仿宋_GB2312"/>
                <w:highlight w:val="none"/>
              </w:rPr>
              <w:t>吨以上不足</w:t>
            </w:r>
            <w:r>
              <w:rPr>
                <w:rFonts w:ascii="Times New Roman" w:hAnsi="Times New Roman" w:eastAsia="仿宋_GB2312" w:cs="Times New Roman"/>
                <w:highlight w:val="none"/>
              </w:rPr>
              <w:t>100</w:t>
            </w:r>
            <w:r>
              <w:rPr>
                <w:rFonts w:hint="eastAsia" w:ascii="Times New Roman" w:hAnsi="Times New Roman" w:eastAsia="仿宋_GB2312" w:cs="仿宋_GB2312"/>
                <w:highlight w:val="none"/>
              </w:rPr>
              <w:t>吨</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38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100</w:t>
            </w:r>
            <w:r>
              <w:rPr>
                <w:rFonts w:hint="eastAsia" w:ascii="Times New Roman" w:hAnsi="Times New Roman" w:eastAsia="仿宋_GB2312" w:cs="仿宋_GB2312"/>
                <w:highlight w:val="none"/>
              </w:rPr>
              <w:t>吨以上不足</w:t>
            </w:r>
            <w:r>
              <w:rPr>
                <w:rFonts w:ascii="Times New Roman" w:hAnsi="Times New Roman" w:eastAsia="仿宋_GB2312" w:cs="Times New Roman"/>
                <w:highlight w:val="none"/>
              </w:rPr>
              <w:t>500</w:t>
            </w:r>
            <w:r>
              <w:rPr>
                <w:rFonts w:hint="eastAsia" w:ascii="Times New Roman" w:hAnsi="Times New Roman" w:eastAsia="仿宋_GB2312" w:cs="仿宋_GB2312"/>
                <w:highlight w:val="none"/>
              </w:rPr>
              <w:t>吨</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38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500</w:t>
            </w:r>
            <w:r>
              <w:rPr>
                <w:rFonts w:hint="eastAsia" w:ascii="Times New Roman" w:hAnsi="Times New Roman" w:eastAsia="仿宋_GB2312" w:cs="仿宋_GB2312"/>
                <w:highlight w:val="none"/>
              </w:rPr>
              <w:t>吨以上</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项目建设</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情况</w:t>
            </w:r>
          </w:p>
        </w:tc>
        <w:tc>
          <w:tcPr>
            <w:tcW w:w="5387"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项目未建成的</w:t>
            </w:r>
          </w:p>
        </w:tc>
        <w:tc>
          <w:tcPr>
            <w:tcW w:w="2551"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387"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项目已建成，未造成水体污染的</w:t>
            </w:r>
          </w:p>
        </w:tc>
        <w:tc>
          <w:tcPr>
            <w:tcW w:w="2551"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387"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项目已建成投入使用，或造成水体污染的</w:t>
            </w:r>
          </w:p>
        </w:tc>
        <w:tc>
          <w:tcPr>
            <w:tcW w:w="2551"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行为情形</w:t>
            </w:r>
          </w:p>
        </w:tc>
        <w:tc>
          <w:tcPr>
            <w:tcW w:w="5387"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改建</w:t>
            </w:r>
          </w:p>
        </w:tc>
        <w:tc>
          <w:tcPr>
            <w:tcW w:w="2551"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387"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扩建</w:t>
            </w:r>
          </w:p>
        </w:tc>
        <w:tc>
          <w:tcPr>
            <w:tcW w:w="2551"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387"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新建</w:t>
            </w:r>
          </w:p>
        </w:tc>
        <w:tc>
          <w:tcPr>
            <w:tcW w:w="2551"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w:t>
            </w:r>
            <w:r>
              <w:rPr>
                <w:rFonts w:ascii="Times New Roman" w:hAnsi="Times New Roman" w:cs="Times New Roman"/>
                <w:b/>
                <w:bCs/>
                <w:highlight w:val="none"/>
              </w:rPr>
              <w:t xml:space="preserve">  </w:t>
            </w:r>
            <w:r>
              <w:rPr>
                <w:rFonts w:hint="eastAsia" w:ascii="Times New Roman" w:hAnsi="Times New Roman" w:cs="宋体"/>
                <w:b/>
                <w:bCs/>
                <w:highlight w:val="none"/>
              </w:rPr>
              <w:t>注</w:t>
            </w:r>
          </w:p>
        </w:tc>
        <w:tc>
          <w:tcPr>
            <w:tcW w:w="5387" w:type="dxa"/>
            <w:vAlign w:val="center"/>
          </w:tcPr>
          <w:p>
            <w:pPr>
              <w:snapToGrid w:val="0"/>
              <w:jc w:val="center"/>
              <w:rPr>
                <w:rFonts w:ascii="Times New Roman" w:hAnsi="Times New Roman" w:cs="Times New Roman"/>
                <w:highlight w:val="none"/>
              </w:rPr>
            </w:pPr>
          </w:p>
        </w:tc>
        <w:tc>
          <w:tcPr>
            <w:tcW w:w="2551" w:type="dxa"/>
            <w:vAlign w:val="center"/>
          </w:tcPr>
          <w:p>
            <w:pPr>
              <w:snapToGrid w:val="0"/>
              <w:jc w:val="center"/>
              <w:rPr>
                <w:rFonts w:ascii="Times New Roman" w:hAnsi="Times New Roman" w:cs="Times New Roman"/>
                <w:highlight w:val="none"/>
              </w:rPr>
            </w:pPr>
          </w:p>
        </w:tc>
      </w:tr>
    </w:tbl>
    <w:p>
      <w:pPr>
        <w:widowControl/>
        <w:snapToGrid w:val="0"/>
        <w:ind w:firstLine="640" w:firstLineChars="200"/>
        <w:jc w:val="left"/>
        <w:rPr>
          <w:rFonts w:ascii="Times New Roman" w:hAnsi="Times New Roman" w:eastAsia="仿宋_GB2312" w:cs="Times New Roman"/>
          <w:color w:val="000000"/>
          <w:sz w:val="10"/>
          <w:szCs w:val="10"/>
          <w:highlight w:val="none"/>
        </w:rPr>
      </w:pPr>
      <w:r>
        <w:rPr>
          <w:rFonts w:ascii="Times New Roman" w:hAnsi="Times New Roman" w:eastAsia="仿宋_GB2312" w:cs="Times New Roman"/>
          <w:color w:val="000000"/>
          <w:sz w:val="32"/>
          <w:szCs w:val="32"/>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387"/>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（三）水污染防治类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spacing w:before="62" w:beforeLines="20"/>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在饮用水水源准保护区内新建、扩建对水体污染严重的建设项目，或者改建建设项目增加排污量的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vAlign w:val="center"/>
          </w:tcPr>
          <w:p>
            <w:pPr>
              <w:snapToGrid w:val="0"/>
              <w:spacing w:before="62" w:beforeLines="20" w:line="264"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《中华人民共和国水污染防治法》第六十七条</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禁止在饮用水水源准保护区内新建、扩建对水体污染严重的建设项目；改建建设项目，不得增加排污量。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vAlign w:val="center"/>
          </w:tcPr>
          <w:p>
            <w:pPr>
              <w:snapToGrid w:val="0"/>
              <w:spacing w:before="62" w:beforeLines="20" w:line="264"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《中华人民共和国水污染防治法》第九十一条第一款第（三）项</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有下列行为之一的，由县级以上地方人民政府环境保护主管部门责令停止违法行为，处十万元以上五十万元以下的罚款；并报经有批准权的人民政府批准，责令拆除或者关闭：</w:t>
            </w:r>
          </w:p>
          <w:p>
            <w:pPr>
              <w:snapToGrid w:val="0"/>
              <w:spacing w:line="264" w:lineRule="auto"/>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（一）在饮用水水源准保护区内新建、扩建对水体污染严重的建设项目，或者改建建设项目增加排污量的。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38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55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建设项目</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排放废水</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类别★</w:t>
            </w:r>
          </w:p>
        </w:tc>
        <w:tc>
          <w:tcPr>
            <w:tcW w:w="5387"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生活废水</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387"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服务业废水</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387"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一般工业废水</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387"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含其他有毒有害物质的废水、医疗废水</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387"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含一类污染物或重金属、病原体、放射性物质的废水</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水日排放量</w:t>
            </w:r>
          </w:p>
        </w:tc>
        <w:tc>
          <w:tcPr>
            <w:tcW w:w="5387"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不足</w:t>
            </w:r>
            <w:r>
              <w:rPr>
                <w:rFonts w:ascii="Times New Roman" w:hAnsi="Times New Roman" w:eastAsia="仿宋_GB2312" w:cs="Times New Roman"/>
                <w:highlight w:val="none"/>
              </w:rPr>
              <w:t>10</w:t>
            </w:r>
            <w:r>
              <w:rPr>
                <w:rFonts w:hint="eastAsia" w:ascii="Times New Roman" w:hAnsi="Times New Roman" w:eastAsia="仿宋_GB2312" w:cs="仿宋_GB2312"/>
                <w:highlight w:val="none"/>
              </w:rPr>
              <w:t>吨</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38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10</w:t>
            </w:r>
            <w:r>
              <w:rPr>
                <w:rFonts w:hint="eastAsia" w:ascii="Times New Roman" w:hAnsi="Times New Roman" w:eastAsia="仿宋_GB2312" w:cs="仿宋_GB2312"/>
                <w:highlight w:val="none"/>
              </w:rPr>
              <w:t>吨以上不足</w:t>
            </w:r>
            <w:r>
              <w:rPr>
                <w:rFonts w:ascii="Times New Roman" w:hAnsi="Times New Roman" w:eastAsia="仿宋_GB2312" w:cs="Times New Roman"/>
                <w:highlight w:val="none"/>
              </w:rPr>
              <w:t>100</w:t>
            </w:r>
            <w:r>
              <w:rPr>
                <w:rFonts w:hint="eastAsia" w:ascii="Times New Roman" w:hAnsi="Times New Roman" w:eastAsia="仿宋_GB2312" w:cs="仿宋_GB2312"/>
                <w:highlight w:val="none"/>
              </w:rPr>
              <w:t>吨</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38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100</w:t>
            </w:r>
            <w:r>
              <w:rPr>
                <w:rFonts w:hint="eastAsia" w:ascii="Times New Roman" w:hAnsi="Times New Roman" w:eastAsia="仿宋_GB2312" w:cs="仿宋_GB2312"/>
                <w:highlight w:val="none"/>
              </w:rPr>
              <w:t>吨以上不足</w:t>
            </w:r>
            <w:r>
              <w:rPr>
                <w:rFonts w:ascii="Times New Roman" w:hAnsi="Times New Roman" w:eastAsia="仿宋_GB2312" w:cs="Times New Roman"/>
                <w:highlight w:val="none"/>
              </w:rPr>
              <w:t>500</w:t>
            </w:r>
            <w:r>
              <w:rPr>
                <w:rFonts w:hint="eastAsia" w:ascii="Times New Roman" w:hAnsi="Times New Roman" w:eastAsia="仿宋_GB2312" w:cs="仿宋_GB2312"/>
                <w:highlight w:val="none"/>
              </w:rPr>
              <w:t>吨</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38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500</w:t>
            </w:r>
            <w:r>
              <w:rPr>
                <w:rFonts w:hint="eastAsia" w:ascii="Times New Roman" w:hAnsi="Times New Roman" w:eastAsia="仿宋_GB2312" w:cs="仿宋_GB2312"/>
                <w:highlight w:val="none"/>
              </w:rPr>
              <w:t>吨以上不足</w:t>
            </w:r>
            <w:r>
              <w:rPr>
                <w:rFonts w:ascii="Times New Roman" w:hAnsi="Times New Roman" w:eastAsia="仿宋_GB2312" w:cs="Times New Roman"/>
                <w:highlight w:val="none"/>
              </w:rPr>
              <w:t>1000</w:t>
            </w:r>
            <w:r>
              <w:rPr>
                <w:rFonts w:hint="eastAsia" w:ascii="Times New Roman" w:hAnsi="Times New Roman" w:eastAsia="仿宋_GB2312" w:cs="仿宋_GB2312"/>
                <w:highlight w:val="none"/>
              </w:rPr>
              <w:t>吨</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38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1000</w:t>
            </w:r>
            <w:r>
              <w:rPr>
                <w:rFonts w:hint="eastAsia" w:ascii="Times New Roman" w:hAnsi="Times New Roman" w:eastAsia="仿宋_GB2312" w:cs="仿宋_GB2312"/>
                <w:highlight w:val="none"/>
              </w:rPr>
              <w:t>吨以上</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项目建设</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情况</w:t>
            </w:r>
          </w:p>
        </w:tc>
        <w:tc>
          <w:tcPr>
            <w:tcW w:w="5387"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项目未建成的或未增加排污量的</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387"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项目已建成但尚未投入使用，未造成水体污染的</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387"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项目已建成投入使用，或造成水体污染的</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行为情形</w:t>
            </w:r>
          </w:p>
        </w:tc>
        <w:tc>
          <w:tcPr>
            <w:tcW w:w="5387"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改建且增加排污量</w:t>
            </w:r>
          </w:p>
        </w:tc>
        <w:tc>
          <w:tcPr>
            <w:tcW w:w="255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387"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扩建对水体污染严重的建设项目</w:t>
            </w:r>
          </w:p>
        </w:tc>
        <w:tc>
          <w:tcPr>
            <w:tcW w:w="2551"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387"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新建对水体污染严重的建设项目</w:t>
            </w:r>
          </w:p>
        </w:tc>
        <w:tc>
          <w:tcPr>
            <w:tcW w:w="2551"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5387" w:type="dxa"/>
            <w:vAlign w:val="center"/>
          </w:tcPr>
          <w:p>
            <w:pPr>
              <w:snapToGrid w:val="0"/>
              <w:jc w:val="center"/>
              <w:rPr>
                <w:rFonts w:ascii="Times New Roman" w:hAnsi="Times New Roman" w:cs="Times New Roman"/>
                <w:highlight w:val="none"/>
              </w:rPr>
            </w:pPr>
          </w:p>
        </w:tc>
        <w:tc>
          <w:tcPr>
            <w:tcW w:w="2551" w:type="dxa"/>
            <w:vAlign w:val="center"/>
          </w:tcPr>
          <w:p>
            <w:pPr>
              <w:snapToGrid w:val="0"/>
              <w:jc w:val="center"/>
              <w:rPr>
                <w:rFonts w:ascii="Times New Roman" w:hAnsi="Times New Roman" w:cs="Times New Roman"/>
                <w:highlight w:val="none"/>
              </w:rPr>
            </w:pPr>
          </w:p>
        </w:tc>
      </w:tr>
    </w:tbl>
    <w:p>
      <w:pPr>
        <w:widowControl/>
        <w:snapToGrid w:val="0"/>
        <w:ind w:firstLine="640" w:firstLineChars="200"/>
        <w:jc w:val="left"/>
        <w:rPr>
          <w:rFonts w:ascii="Times New Roman" w:hAnsi="Times New Roman" w:eastAsia="仿宋_GB2312" w:cs="Times New Roman"/>
          <w:color w:val="000000"/>
          <w:sz w:val="10"/>
          <w:szCs w:val="10"/>
          <w:highlight w:val="none"/>
        </w:rPr>
      </w:pPr>
      <w:r>
        <w:rPr>
          <w:rFonts w:ascii="Times New Roman" w:hAnsi="Times New Roman" w:eastAsia="仿宋_GB2312" w:cs="Times New Roman"/>
          <w:color w:val="000000"/>
          <w:sz w:val="32"/>
          <w:szCs w:val="32"/>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387"/>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（三）水污染防治类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spacing w:before="62" w:beforeLines="20"/>
              <w:ind w:firstLine="420"/>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在饮用水水源一级保护区内从事网箱养殖或者组织进行旅游、垂钓或者其他可能污染饮用水水体的活动的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vAlign w:val="center"/>
          </w:tcPr>
          <w:p>
            <w:pPr>
              <w:snapToGrid w:val="0"/>
              <w:spacing w:before="62" w:beforeLines="20" w:line="288"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《中华人民共和国水污染防治法》第六十五条第二款</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禁止在饮用水水源一级保护区内从事网箱养殖、旅游、游泳、垂钓或者其他可能污染饮用水水体的活动。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vAlign w:val="center"/>
          </w:tcPr>
          <w:p>
            <w:pPr>
              <w:snapToGrid w:val="0"/>
              <w:spacing w:before="62" w:beforeLines="20" w:line="288"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《中华人民共和国水污染防治法》第九十一条第二款</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在饮用水水源一级保护区内从事网箱养殖或者组织进行旅游、垂钓或者其他可能污染饮用水水体的活动的，由县级以上地方人民政府环境保护主管部门责令停止违法行为，处二万元以上十万元以下的罚款。个人在饮用水水源一级保护区内游泳、垂钓或者从事其他可能污染饮用水水体的活动的，由县级以上地方人民政府环境保护主管部门责令停止违法行为，可以处五百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38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55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387"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从事垂钓或者其他可能污染饮用水水体的活动的</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387"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组织进行旅游的</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387"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从事网箱养殖的</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p>
            <w:pPr>
              <w:snapToGrid w:val="0"/>
              <w:jc w:val="center"/>
              <w:rPr>
                <w:rFonts w:ascii="Times New Roman" w:hAnsi="Times New Roman" w:eastAsia="仿宋_GB2312" w:cs="Times New Roman"/>
                <w:color w:val="000000"/>
                <w:highlight w:val="none"/>
              </w:rPr>
            </w:pPr>
            <w:r>
              <w:rPr>
                <w:rFonts w:hint="eastAsia" w:ascii="Times New Roman" w:hAnsi="Times New Roman" w:cs="宋体"/>
                <w:b/>
                <w:bCs/>
                <w:color w:val="000000"/>
                <w:highlight w:val="none"/>
              </w:rPr>
              <w:t>持续时间</w:t>
            </w:r>
          </w:p>
        </w:tc>
        <w:tc>
          <w:tcPr>
            <w:tcW w:w="5387"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w:t>
            </w:r>
          </w:p>
        </w:tc>
        <w:tc>
          <w:tcPr>
            <w:tcW w:w="255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387"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天</w:t>
            </w:r>
          </w:p>
        </w:tc>
        <w:tc>
          <w:tcPr>
            <w:tcW w:w="2551"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387"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天</w:t>
            </w:r>
          </w:p>
        </w:tc>
        <w:tc>
          <w:tcPr>
            <w:tcW w:w="2551"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387"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w:t>
            </w:r>
          </w:p>
        </w:tc>
        <w:tc>
          <w:tcPr>
            <w:tcW w:w="2551"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387"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个月以上</w:t>
            </w:r>
          </w:p>
        </w:tc>
        <w:tc>
          <w:tcPr>
            <w:tcW w:w="2551"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w:t>
            </w:r>
            <w:r>
              <w:rPr>
                <w:rFonts w:ascii="Times New Roman" w:hAnsi="Times New Roman" w:cs="Times New Roman"/>
                <w:b/>
                <w:bCs/>
                <w:highlight w:val="none"/>
              </w:rPr>
              <w:t xml:space="preserve">  </w:t>
            </w:r>
            <w:r>
              <w:rPr>
                <w:rFonts w:hint="eastAsia" w:ascii="Times New Roman" w:hAnsi="Times New Roman" w:cs="宋体"/>
                <w:b/>
                <w:bCs/>
                <w:highlight w:val="none"/>
              </w:rPr>
              <w:t>注</w:t>
            </w:r>
          </w:p>
        </w:tc>
        <w:tc>
          <w:tcPr>
            <w:tcW w:w="5387" w:type="dxa"/>
            <w:vAlign w:val="center"/>
          </w:tcPr>
          <w:p>
            <w:pPr>
              <w:snapToGrid w:val="0"/>
              <w:jc w:val="center"/>
              <w:rPr>
                <w:rFonts w:ascii="Times New Roman" w:hAnsi="Times New Roman" w:cs="Times New Roman"/>
                <w:highlight w:val="none"/>
              </w:rPr>
            </w:pPr>
          </w:p>
        </w:tc>
        <w:tc>
          <w:tcPr>
            <w:tcW w:w="2551" w:type="dxa"/>
            <w:vAlign w:val="center"/>
          </w:tcPr>
          <w:p>
            <w:pPr>
              <w:snapToGrid w:val="0"/>
              <w:jc w:val="center"/>
              <w:rPr>
                <w:rFonts w:ascii="Times New Roman" w:hAnsi="Times New Roman" w:cs="Times New Roman"/>
                <w:highlight w:val="none"/>
              </w:rPr>
            </w:pPr>
          </w:p>
        </w:tc>
      </w:tr>
    </w:tbl>
    <w:p>
      <w:pPr>
        <w:widowControl/>
        <w:snapToGrid w:val="0"/>
        <w:ind w:firstLine="640" w:firstLineChars="200"/>
        <w:jc w:val="left"/>
        <w:rPr>
          <w:rFonts w:ascii="Times New Roman" w:hAnsi="Times New Roman" w:eastAsia="仿宋_GB2312" w:cs="Times New Roman"/>
          <w:color w:val="000000"/>
          <w:sz w:val="10"/>
          <w:szCs w:val="10"/>
          <w:highlight w:val="none"/>
        </w:rPr>
      </w:pPr>
      <w:r>
        <w:rPr>
          <w:rFonts w:ascii="Times New Roman" w:hAnsi="Times New Roman" w:eastAsia="仿宋_GB2312" w:cs="Times New Roman"/>
          <w:color w:val="000000"/>
          <w:sz w:val="32"/>
          <w:szCs w:val="32"/>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639"/>
        <w:gridCol w:w="2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（三）水污染防治类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ind w:firstLine="42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不按照规定制定水污染事故的应急方案的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vAlign w:val="center"/>
          </w:tcPr>
          <w:p>
            <w:pPr>
              <w:snapToGrid w:val="0"/>
              <w:spacing w:before="62" w:beforeLines="20" w:line="288"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《中华人民共和国水污染防治法》第七十七条第一款</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可能发生水污染事故的企业事业单位，应当制定有关水污染事故的应急方案，做好应急准备，并定期进行演练。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vAlign w:val="center"/>
          </w:tcPr>
          <w:p>
            <w:pPr>
              <w:snapToGrid w:val="0"/>
              <w:spacing w:before="62" w:beforeLines="20" w:line="288"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《中华人民共和国水污染防治法》第九十三条第（一）项</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企业事业单位有下列行为之一的，由县级以上人民政府环境保护主管部门责令改正；情节严重的，处二万元以上十万元以下的罚款：</w:t>
            </w:r>
          </w:p>
          <w:p>
            <w:pPr>
              <w:snapToGrid w:val="0"/>
              <w:spacing w:line="288" w:lineRule="auto"/>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（一）不按照规定制定水污染事故的应急方案的。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63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29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63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未制定或未按照规定制定水污染事故应急方案的</w:t>
            </w:r>
          </w:p>
        </w:tc>
        <w:tc>
          <w:tcPr>
            <w:tcW w:w="229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63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水污染事故发生后，未采取应急措施，造成部分水体污染的</w:t>
            </w:r>
          </w:p>
        </w:tc>
        <w:tc>
          <w:tcPr>
            <w:tcW w:w="229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63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水污染事故发生后，未采取应急措施，造成严重水体污染的</w:t>
            </w:r>
          </w:p>
        </w:tc>
        <w:tc>
          <w:tcPr>
            <w:tcW w:w="229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废水类别</w:t>
            </w:r>
          </w:p>
        </w:tc>
        <w:tc>
          <w:tcPr>
            <w:tcW w:w="563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生活废水</w:t>
            </w:r>
          </w:p>
        </w:tc>
        <w:tc>
          <w:tcPr>
            <w:tcW w:w="229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3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服务业废水</w:t>
            </w:r>
          </w:p>
        </w:tc>
        <w:tc>
          <w:tcPr>
            <w:tcW w:w="229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3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一般工业废水</w:t>
            </w:r>
          </w:p>
        </w:tc>
        <w:tc>
          <w:tcPr>
            <w:tcW w:w="229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3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含其他有毒有害物质的废水、医疗废水</w:t>
            </w:r>
          </w:p>
        </w:tc>
        <w:tc>
          <w:tcPr>
            <w:tcW w:w="229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3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含一类污染物或重金属、病原体、放射性物质的废水</w:t>
            </w:r>
          </w:p>
        </w:tc>
        <w:tc>
          <w:tcPr>
            <w:tcW w:w="229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w:t>
            </w:r>
            <w:r>
              <w:rPr>
                <w:rFonts w:ascii="Times New Roman" w:hAnsi="Times New Roman" w:cs="Times New Roman"/>
                <w:b/>
                <w:bCs/>
                <w:highlight w:val="none"/>
              </w:rPr>
              <w:t xml:space="preserve">  </w:t>
            </w:r>
            <w:r>
              <w:rPr>
                <w:rFonts w:hint="eastAsia" w:ascii="Times New Roman" w:hAnsi="Times New Roman" w:cs="宋体"/>
                <w:b/>
                <w:bCs/>
                <w:highlight w:val="none"/>
              </w:rPr>
              <w:t>注</w:t>
            </w:r>
          </w:p>
        </w:tc>
        <w:tc>
          <w:tcPr>
            <w:tcW w:w="5639" w:type="dxa"/>
            <w:vAlign w:val="center"/>
          </w:tcPr>
          <w:p>
            <w:pPr>
              <w:snapToGrid w:val="0"/>
              <w:jc w:val="center"/>
              <w:rPr>
                <w:rFonts w:ascii="Times New Roman" w:hAnsi="Times New Roman" w:cs="Times New Roman"/>
                <w:highlight w:val="none"/>
              </w:rPr>
            </w:pPr>
          </w:p>
        </w:tc>
        <w:tc>
          <w:tcPr>
            <w:tcW w:w="2299" w:type="dxa"/>
            <w:vAlign w:val="center"/>
          </w:tcPr>
          <w:p>
            <w:pPr>
              <w:snapToGrid w:val="0"/>
              <w:jc w:val="center"/>
              <w:rPr>
                <w:rFonts w:ascii="Times New Roman" w:hAnsi="Times New Roman" w:cs="Times New Roman"/>
                <w:highlight w:val="none"/>
              </w:rPr>
            </w:pPr>
          </w:p>
        </w:tc>
      </w:tr>
    </w:tbl>
    <w:p>
      <w:pPr>
        <w:snapToGrid w:val="0"/>
        <w:rPr>
          <w:rFonts w:ascii="Times New Roman" w:hAnsi="Times New Roman" w:eastAsia="仿宋_GB2312" w:cs="Times New Roman"/>
          <w:b/>
          <w:bCs/>
          <w:color w:val="FF0000"/>
          <w:sz w:val="10"/>
          <w:szCs w:val="10"/>
          <w:highlight w:val="none"/>
        </w:rPr>
      </w:pPr>
      <w:r>
        <w:rPr>
          <w:rFonts w:ascii="Times New Roman" w:hAnsi="Times New Roman" w:eastAsia="仿宋_GB2312" w:cs="Times New Roman"/>
          <w:b/>
          <w:bCs/>
          <w:color w:val="FF0000"/>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641"/>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（三）水污染防治类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水污染事故发生后，未及时启动水污染事故的应急方案，采取有关应急措施的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vAlign w:val="center"/>
          </w:tcPr>
          <w:p>
            <w:pPr>
              <w:snapToGrid w:val="0"/>
              <w:spacing w:line="264"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《中华人民共和国水污染防治法》第七十八条第一款</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企业事业单位发生事故或者其他突发性事件，造成或者可能造成水污染事故的，应当立即启动本单位的应急方案，采取隔离等应急措施，防止水污染物进入水体，并向事故发生地的县级以上地方人民政府或者环境保护主管部门报告。环境保护主管部门接到报告后，应当及时向本级人民政府报告，并抄送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vAlign w:val="center"/>
          </w:tcPr>
          <w:p>
            <w:pPr>
              <w:snapToGrid w:val="0"/>
              <w:spacing w:line="264"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《中华人民共和国水污染防治法》第九十三条第（二）项</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企业事业单位有下列行为之一的，由县级以上人民政府环境保护主管部门责令改正；情节严重的，处二万元以上十万元以下的罚款：</w:t>
            </w:r>
          </w:p>
          <w:p>
            <w:pPr>
              <w:snapToGrid w:val="0"/>
              <w:spacing w:line="264" w:lineRule="auto"/>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（二）水污染事故发生后，未及时启动水污染事故的应急方案，采取有关应急措施的。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64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29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64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水污染事故发生后，及时采取应急措施，未造成水体污染，但未及时向事故发生地的县级以上地方人民政府或者环境保护主管部门报告</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64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水污染事故发生后，未规范采取应急措施，未造成水体污染的</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64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水污染事故发生后，未规范采取应急措施，造成部分水体污染的</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64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水污染事故发生后，未采取应急措施，造成严重水体污染的</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污染事故</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等级</w:t>
            </w:r>
          </w:p>
        </w:tc>
        <w:tc>
          <w:tcPr>
            <w:tcW w:w="564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一般突发环境事件</w:t>
            </w:r>
            <w:r>
              <w:rPr>
                <w:rFonts w:ascii="Times New Roman" w:hAnsi="Times New Roman" w:eastAsia="仿宋_GB2312" w:cs="Times New Roman"/>
                <w:highlight w:val="none"/>
              </w:rPr>
              <w:t>(IV)</w:t>
            </w:r>
            <w:r>
              <w:rPr>
                <w:rFonts w:hint="eastAsia" w:ascii="Times New Roman" w:hAnsi="Times New Roman" w:eastAsia="仿宋_GB2312" w:cs="仿宋_GB2312"/>
                <w:highlight w:val="none"/>
              </w:rPr>
              <w:t>及以下事件</w:t>
            </w:r>
          </w:p>
        </w:tc>
        <w:tc>
          <w:tcPr>
            <w:tcW w:w="229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highlight w:val="none"/>
              </w:rPr>
              <w:t>较大突发环境事件</w:t>
            </w:r>
            <w:r>
              <w:rPr>
                <w:rFonts w:ascii="Times New Roman" w:hAnsi="Times New Roman" w:eastAsia="仿宋_GB2312" w:cs="Times New Roman"/>
                <w:highlight w:val="none"/>
              </w:rPr>
              <w:t>(III)</w:t>
            </w:r>
          </w:p>
        </w:tc>
        <w:tc>
          <w:tcPr>
            <w:tcW w:w="2297"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highlight w:val="none"/>
              </w:rPr>
              <w:t>重大突发环境事件</w:t>
            </w:r>
            <w:r>
              <w:rPr>
                <w:rFonts w:ascii="Times New Roman" w:hAnsi="Times New Roman" w:eastAsia="仿宋_GB2312" w:cs="Times New Roman"/>
                <w:highlight w:val="none"/>
              </w:rPr>
              <w:t>(II)</w:t>
            </w:r>
          </w:p>
        </w:tc>
        <w:tc>
          <w:tcPr>
            <w:tcW w:w="2297"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highlight w:val="none"/>
              </w:rPr>
              <w:t>特别重大突发环境事件</w:t>
            </w:r>
            <w:r>
              <w:rPr>
                <w:rFonts w:ascii="Times New Roman" w:hAnsi="Times New Roman" w:eastAsia="仿宋_GB2312" w:cs="Times New Roman"/>
                <w:highlight w:val="none"/>
              </w:rPr>
              <w:t>(I)</w:t>
            </w:r>
          </w:p>
        </w:tc>
        <w:tc>
          <w:tcPr>
            <w:tcW w:w="2297"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水体类别</w:t>
            </w:r>
          </w:p>
        </w:tc>
        <w:tc>
          <w:tcPr>
            <w:tcW w:w="5641"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Ⅴ</w:t>
            </w:r>
            <w:r>
              <w:rPr>
                <w:rFonts w:hint="eastAsia" w:ascii="Times New Roman" w:hAnsi="Times New Roman" w:eastAsia="仿宋_GB2312" w:cs="仿宋_GB2312"/>
                <w:highlight w:val="none"/>
              </w:rPr>
              <w:t>类水体或污水集中处理设施</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highlight w:val="none"/>
              </w:rPr>
              <w:t>Ⅳ</w:t>
            </w:r>
            <w:r>
              <w:rPr>
                <w:rFonts w:hint="eastAsia" w:ascii="Times New Roman" w:hAnsi="Times New Roman" w:eastAsia="仿宋_GB2312" w:cs="仿宋_GB2312"/>
                <w:highlight w:val="none"/>
              </w:rPr>
              <w:t>类水体</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highlight w:val="none"/>
              </w:rPr>
              <w:t>Ⅲ</w:t>
            </w:r>
            <w:r>
              <w:rPr>
                <w:rFonts w:hint="eastAsia" w:ascii="Times New Roman" w:hAnsi="Times New Roman" w:eastAsia="仿宋_GB2312" w:cs="仿宋_GB2312"/>
                <w:highlight w:val="none"/>
              </w:rPr>
              <w:t>类水体</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highlight w:val="none"/>
              </w:rPr>
              <w:t>Ⅱ</w:t>
            </w:r>
            <w:r>
              <w:rPr>
                <w:rFonts w:hint="eastAsia" w:ascii="Times New Roman" w:hAnsi="Times New Roman" w:eastAsia="仿宋_GB2312" w:cs="仿宋_GB2312"/>
                <w:highlight w:val="none"/>
              </w:rPr>
              <w:t>类水体</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highlight w:val="none"/>
              </w:rPr>
              <w:t>Ⅰ</w:t>
            </w:r>
            <w:r>
              <w:rPr>
                <w:rFonts w:hint="eastAsia" w:ascii="Times New Roman" w:hAnsi="Times New Roman" w:eastAsia="仿宋_GB2312" w:cs="仿宋_GB2312"/>
                <w:highlight w:val="none"/>
              </w:rPr>
              <w:t>类水体</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w:t>
            </w:r>
            <w:r>
              <w:rPr>
                <w:rFonts w:ascii="Times New Roman" w:hAnsi="Times New Roman" w:cs="Times New Roman"/>
                <w:b/>
                <w:bCs/>
                <w:highlight w:val="none"/>
              </w:rPr>
              <w:t xml:space="preserve">  </w:t>
            </w:r>
            <w:r>
              <w:rPr>
                <w:rFonts w:hint="eastAsia" w:ascii="Times New Roman" w:hAnsi="Times New Roman" w:cs="宋体"/>
                <w:b/>
                <w:bCs/>
                <w:highlight w:val="none"/>
              </w:rPr>
              <w:t>注</w:t>
            </w:r>
          </w:p>
        </w:tc>
        <w:tc>
          <w:tcPr>
            <w:tcW w:w="5641" w:type="dxa"/>
            <w:vAlign w:val="center"/>
          </w:tcPr>
          <w:p>
            <w:pPr>
              <w:snapToGrid w:val="0"/>
              <w:jc w:val="center"/>
              <w:rPr>
                <w:rFonts w:ascii="Times New Roman" w:hAnsi="Times New Roman" w:cs="Times New Roman"/>
                <w:highlight w:val="none"/>
              </w:rPr>
            </w:pPr>
          </w:p>
        </w:tc>
        <w:tc>
          <w:tcPr>
            <w:tcW w:w="2297" w:type="dxa"/>
            <w:vAlign w:val="center"/>
          </w:tcPr>
          <w:p>
            <w:pPr>
              <w:snapToGrid w:val="0"/>
              <w:jc w:val="center"/>
              <w:rPr>
                <w:rFonts w:ascii="Times New Roman" w:hAnsi="Times New Roman" w:cs="Times New Roman"/>
                <w:highlight w:val="none"/>
              </w:rPr>
            </w:pPr>
          </w:p>
        </w:tc>
      </w:tr>
    </w:tbl>
    <w:p>
      <w:pPr>
        <w:widowControl/>
        <w:snapToGrid w:val="0"/>
        <w:ind w:firstLine="422" w:firstLineChars="200"/>
        <w:jc w:val="left"/>
        <w:rPr>
          <w:rFonts w:ascii="Times New Roman" w:hAnsi="Times New Roman" w:eastAsia="仿宋_GB2312" w:cs="Times New Roman"/>
          <w:b/>
          <w:bCs/>
          <w:color w:val="FF0000"/>
          <w:sz w:val="10"/>
          <w:szCs w:val="10"/>
          <w:highlight w:val="none"/>
        </w:rPr>
      </w:pPr>
      <w:r>
        <w:rPr>
          <w:rFonts w:ascii="Times New Roman" w:hAnsi="Times New Roman" w:eastAsia="仿宋_GB2312" w:cs="Times New Roman"/>
          <w:b/>
          <w:bCs/>
          <w:color w:val="FF0000"/>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641"/>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（三）水污染防治类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ind w:firstLine="42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对含有毒有害水污染物的工业废水稀释排放的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vAlign w:val="center"/>
          </w:tcPr>
          <w:p>
            <w:pPr>
              <w:snapToGrid w:val="0"/>
              <w:spacing w:before="62" w:beforeLines="20" w:line="312"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《山东省水污染防治条例》第三十五条第二款</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含有毒有害水污染物的工业废水应当分类收集和处理，不得稀释排放。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vAlign w:val="center"/>
          </w:tcPr>
          <w:p>
            <w:pPr>
              <w:snapToGrid w:val="0"/>
              <w:spacing w:before="62" w:beforeLines="20" w:line="264"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《山东省水污染防治条例》第七十五条第（四）项</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违反本条例规定，有下列情形之一的，由县级以上人民政府环境保护主管部门责令改正或者责令限制生产、停产整治，并处十万元以上一百万元以下的罚款；情节严重的，报经有批准权的人民政府批准，责令停业、关闭：</w:t>
            </w:r>
          </w:p>
          <w:p>
            <w:pPr>
              <w:snapToGrid w:val="0"/>
              <w:spacing w:line="312" w:lineRule="auto"/>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（四）对含有毒有害水污染物的工业废水稀释排放的。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64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29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工业废水量★</w:t>
            </w:r>
          </w:p>
        </w:tc>
        <w:tc>
          <w:tcPr>
            <w:tcW w:w="5641"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0.5</w:t>
            </w:r>
            <w:r>
              <w:rPr>
                <w:rFonts w:hint="eastAsia" w:ascii="Times New Roman" w:hAnsi="Times New Roman" w:eastAsia="仿宋_GB2312" w:cs="仿宋_GB2312"/>
                <w:highlight w:val="none"/>
              </w:rPr>
              <w:t>吨以下</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641"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0.5</w:t>
            </w:r>
            <w:r>
              <w:rPr>
                <w:rFonts w:hint="eastAsia" w:ascii="Times New Roman" w:hAnsi="Times New Roman" w:eastAsia="仿宋_GB2312" w:cs="仿宋_GB2312"/>
                <w:highlight w:val="none"/>
              </w:rPr>
              <w:t>吨以上</w:t>
            </w:r>
            <w:r>
              <w:rPr>
                <w:rFonts w:ascii="Times New Roman" w:hAnsi="Times New Roman" w:eastAsia="仿宋_GB2312" w:cs="Times New Roman"/>
                <w:highlight w:val="none"/>
              </w:rPr>
              <w:t>1</w:t>
            </w:r>
            <w:r>
              <w:rPr>
                <w:rFonts w:hint="eastAsia" w:ascii="Times New Roman" w:hAnsi="Times New Roman" w:eastAsia="仿宋_GB2312" w:cs="仿宋_GB2312"/>
                <w:highlight w:val="none"/>
              </w:rPr>
              <w:t>吨以下</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641"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r>
              <w:rPr>
                <w:rFonts w:hint="eastAsia" w:ascii="Times New Roman" w:hAnsi="Times New Roman" w:eastAsia="仿宋_GB2312" w:cs="仿宋_GB2312"/>
                <w:highlight w:val="none"/>
              </w:rPr>
              <w:t>吨以上</w:t>
            </w:r>
            <w:r>
              <w:rPr>
                <w:rFonts w:ascii="Times New Roman" w:hAnsi="Times New Roman" w:eastAsia="仿宋_GB2312" w:cs="Times New Roman"/>
                <w:highlight w:val="none"/>
              </w:rPr>
              <w:t>2</w:t>
            </w:r>
            <w:r>
              <w:rPr>
                <w:rFonts w:hint="eastAsia" w:ascii="Times New Roman" w:hAnsi="Times New Roman" w:eastAsia="仿宋_GB2312" w:cs="仿宋_GB2312"/>
                <w:highlight w:val="none"/>
              </w:rPr>
              <w:t>吨以下</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641"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r>
              <w:rPr>
                <w:rFonts w:hint="eastAsia" w:ascii="Times New Roman" w:hAnsi="Times New Roman" w:eastAsia="仿宋_GB2312" w:cs="仿宋_GB2312"/>
                <w:highlight w:val="none"/>
              </w:rPr>
              <w:t>吨以上</w:t>
            </w:r>
            <w:r>
              <w:rPr>
                <w:rFonts w:ascii="Times New Roman" w:hAnsi="Times New Roman" w:eastAsia="仿宋_GB2312" w:cs="Times New Roman"/>
                <w:highlight w:val="none"/>
              </w:rPr>
              <w:t>5</w:t>
            </w:r>
            <w:r>
              <w:rPr>
                <w:rFonts w:hint="eastAsia" w:ascii="Times New Roman" w:hAnsi="Times New Roman" w:eastAsia="仿宋_GB2312" w:cs="仿宋_GB2312"/>
                <w:highlight w:val="none"/>
              </w:rPr>
              <w:t>吨以下</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641"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r>
              <w:rPr>
                <w:rFonts w:hint="eastAsia" w:ascii="Times New Roman" w:hAnsi="Times New Roman" w:eastAsia="仿宋_GB2312" w:cs="仿宋_GB2312"/>
                <w:highlight w:val="none"/>
              </w:rPr>
              <w:t>吨以上</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水体类别</w:t>
            </w:r>
          </w:p>
        </w:tc>
        <w:tc>
          <w:tcPr>
            <w:tcW w:w="5641"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Ⅴ</w:t>
            </w:r>
            <w:r>
              <w:rPr>
                <w:rFonts w:hint="eastAsia" w:ascii="Times New Roman" w:hAnsi="Times New Roman" w:eastAsia="仿宋_GB2312" w:cs="仿宋_GB2312"/>
                <w:highlight w:val="none"/>
              </w:rPr>
              <w:t>类水体或污水集中处理设施</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highlight w:val="none"/>
              </w:rPr>
              <w:t>Ⅳ</w:t>
            </w:r>
            <w:r>
              <w:rPr>
                <w:rFonts w:hint="eastAsia" w:ascii="Times New Roman" w:hAnsi="Times New Roman" w:eastAsia="仿宋_GB2312" w:cs="仿宋_GB2312"/>
                <w:highlight w:val="none"/>
              </w:rPr>
              <w:t>类水体</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highlight w:val="none"/>
              </w:rPr>
              <w:t>Ⅲ</w:t>
            </w:r>
            <w:r>
              <w:rPr>
                <w:rFonts w:hint="eastAsia" w:ascii="Times New Roman" w:hAnsi="Times New Roman" w:eastAsia="仿宋_GB2312" w:cs="仿宋_GB2312"/>
                <w:highlight w:val="none"/>
              </w:rPr>
              <w:t>类水体</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highlight w:val="none"/>
              </w:rPr>
              <w:t>Ⅱ</w:t>
            </w:r>
            <w:r>
              <w:rPr>
                <w:rFonts w:hint="eastAsia" w:ascii="Times New Roman" w:hAnsi="Times New Roman" w:eastAsia="仿宋_GB2312" w:cs="仿宋_GB2312"/>
                <w:highlight w:val="none"/>
              </w:rPr>
              <w:t>类水体</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highlight w:val="none"/>
              </w:rPr>
              <w:t>Ⅰ</w:t>
            </w:r>
            <w:r>
              <w:rPr>
                <w:rFonts w:hint="eastAsia" w:ascii="Times New Roman" w:hAnsi="Times New Roman" w:eastAsia="仿宋_GB2312" w:cs="仿宋_GB2312"/>
                <w:highlight w:val="none"/>
              </w:rPr>
              <w:t>类水体</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w:t>
            </w:r>
            <w:r>
              <w:rPr>
                <w:rFonts w:ascii="Times New Roman" w:hAnsi="Times New Roman" w:cs="Times New Roman"/>
                <w:b/>
                <w:bCs/>
                <w:highlight w:val="none"/>
              </w:rPr>
              <w:t xml:space="preserve">  </w:t>
            </w:r>
            <w:r>
              <w:rPr>
                <w:rFonts w:hint="eastAsia" w:ascii="Times New Roman" w:hAnsi="Times New Roman" w:cs="宋体"/>
                <w:b/>
                <w:bCs/>
                <w:highlight w:val="none"/>
              </w:rPr>
              <w:t>注</w:t>
            </w:r>
          </w:p>
        </w:tc>
        <w:tc>
          <w:tcPr>
            <w:tcW w:w="5641" w:type="dxa"/>
            <w:vAlign w:val="center"/>
          </w:tcPr>
          <w:p>
            <w:pPr>
              <w:snapToGrid w:val="0"/>
              <w:jc w:val="center"/>
              <w:rPr>
                <w:rFonts w:ascii="Times New Roman" w:hAnsi="Times New Roman" w:cs="Times New Roman"/>
                <w:highlight w:val="none"/>
              </w:rPr>
            </w:pPr>
          </w:p>
        </w:tc>
        <w:tc>
          <w:tcPr>
            <w:tcW w:w="2297" w:type="dxa"/>
            <w:vAlign w:val="center"/>
          </w:tcPr>
          <w:p>
            <w:pPr>
              <w:snapToGrid w:val="0"/>
              <w:jc w:val="center"/>
              <w:rPr>
                <w:rFonts w:ascii="Times New Roman" w:hAnsi="Times New Roman" w:cs="Times New Roman"/>
                <w:highlight w:val="none"/>
              </w:rPr>
            </w:pPr>
          </w:p>
        </w:tc>
      </w:tr>
    </w:tbl>
    <w:p>
      <w:pPr>
        <w:widowControl/>
        <w:snapToGrid w:val="0"/>
        <w:ind w:firstLine="422" w:firstLineChars="200"/>
        <w:jc w:val="left"/>
        <w:rPr>
          <w:rFonts w:ascii="Times New Roman" w:hAnsi="Times New Roman" w:eastAsia="仿宋_GB2312" w:cs="Times New Roman"/>
          <w:b/>
          <w:bCs/>
          <w:color w:val="FF0000"/>
          <w:sz w:val="10"/>
          <w:szCs w:val="10"/>
          <w:highlight w:val="none"/>
        </w:rPr>
      </w:pPr>
      <w:r>
        <w:rPr>
          <w:rFonts w:ascii="Times New Roman" w:hAnsi="Times New Roman" w:eastAsia="仿宋_GB2312" w:cs="Times New Roman"/>
          <w:b/>
          <w:bCs/>
          <w:color w:val="FF0000"/>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387"/>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widowControl/>
              <w:snapToGrid w:val="0"/>
              <w:jc w:val="center"/>
              <w:rPr>
                <w:rFonts w:ascii="Times New Roman" w:hAnsi="Times New Roman" w:eastAsia="仿宋_GB2312" w:cs="Times New Roman"/>
                <w:b/>
                <w:bCs/>
                <w:sz w:val="32"/>
                <w:szCs w:val="32"/>
                <w:highlight w:val="none"/>
              </w:rPr>
            </w:pPr>
            <w:r>
              <w:rPr>
                <w:rFonts w:hint="eastAsia" w:ascii="Times New Roman" w:hAnsi="Times New Roman" w:eastAsia="仿宋_GB2312" w:cs="仿宋_GB2312"/>
                <w:b/>
                <w:bCs/>
                <w:sz w:val="32"/>
                <w:szCs w:val="32"/>
                <w:highlight w:val="none"/>
              </w:rPr>
              <w:t>（三）水污染防治类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tcPr>
          <w:p>
            <w:pPr>
              <w:snapToGrid w:val="0"/>
              <w:spacing w:before="62" w:beforeLines="20" w:line="264" w:lineRule="auto"/>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按照环境影响评价文件和审批意见的要求，需要进行初期雨水收集的化工、电镀等企业事业单位和其他生产经营者，未将初期雨水收集处理，直接向外环境排放的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snapToGrid w:val="0"/>
              <w:spacing w:before="62" w:beforeLines="20" w:line="264"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《山东省水污染防治条例》第三十六条</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按照环境影响评价文件和审批意见的要求，需要进行初期雨水收集的化工、电镀等企业事业单位和其他生产经营者，应当将初期雨水收集处理，不得直接向外环境排放。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snapToGrid w:val="0"/>
              <w:spacing w:before="62" w:beforeLines="20" w:line="264"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《山东省水污染防治条例》第七十七条第（一）项</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违反本条例规定，有下列情形之一的，由县级以上人民政府环境保护主管部门责令改正，处二万元以上二十万元以下的罚款；情节严重的，报经有批准权的人民政府批准，责令停产停业：</w:t>
            </w:r>
          </w:p>
          <w:p>
            <w:pPr>
              <w:snapToGrid w:val="0"/>
              <w:spacing w:line="264" w:lineRule="auto"/>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（一）按照环境影响评价文件和审批意见的要求，需要进行初期雨水收集的化工、电镀等企业事业单位和其他生产经营者，未将初期雨水收集处理，直接向外环境排放的。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38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55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雨水收集处理情况★</w:t>
            </w:r>
          </w:p>
        </w:tc>
        <w:tc>
          <w:tcPr>
            <w:tcW w:w="5387"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完全收集未处理，不超标，直排外环境</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387"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未完全收集处理，不超标，直排外环境</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387"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超标</w:t>
            </w:r>
            <w:r>
              <w:rPr>
                <w:rFonts w:ascii="Times New Roman" w:hAnsi="Times New Roman" w:eastAsia="仿宋_GB2312" w:cs="Times New Roman"/>
                <w:highlight w:val="none"/>
              </w:rPr>
              <w:t>50%</w:t>
            </w:r>
            <w:r>
              <w:rPr>
                <w:rFonts w:hint="eastAsia" w:ascii="Times New Roman" w:hAnsi="Times New Roman" w:eastAsia="仿宋_GB2312" w:cs="仿宋_GB2312"/>
                <w:highlight w:val="none"/>
              </w:rPr>
              <w:t>以内（</w:t>
            </w:r>
            <w:r>
              <w:rPr>
                <w:rFonts w:ascii="Times New Roman" w:hAnsi="Times New Roman" w:eastAsia="仿宋_GB2312" w:cs="Times New Roman"/>
                <w:highlight w:val="none"/>
              </w:rPr>
              <w:t>pH</w:t>
            </w:r>
            <w:r>
              <w:rPr>
                <w:rFonts w:hint="eastAsia" w:ascii="Times New Roman" w:hAnsi="Times New Roman" w:eastAsia="仿宋_GB2312" w:cs="仿宋_GB2312"/>
                <w:highlight w:val="none"/>
              </w:rPr>
              <w:t>值为</w:t>
            </w:r>
            <w:r>
              <w:rPr>
                <w:rFonts w:ascii="Times New Roman" w:hAnsi="Times New Roman" w:eastAsia="仿宋_GB2312" w:cs="Times New Roman"/>
                <w:highlight w:val="none"/>
              </w:rPr>
              <w:t>9-11</w:t>
            </w:r>
            <w:r>
              <w:rPr>
                <w:rFonts w:hint="eastAsia" w:ascii="Times New Roman" w:hAnsi="Times New Roman" w:eastAsia="仿宋_GB2312" w:cs="仿宋_GB2312"/>
                <w:highlight w:val="none"/>
              </w:rPr>
              <w:t>或</w:t>
            </w:r>
            <w:r>
              <w:rPr>
                <w:rFonts w:ascii="Times New Roman" w:hAnsi="Times New Roman" w:eastAsia="仿宋_GB2312" w:cs="Times New Roman"/>
                <w:highlight w:val="none"/>
              </w:rPr>
              <w:t>4-6</w:t>
            </w:r>
            <w:r>
              <w:rPr>
                <w:rFonts w:hint="eastAsia" w:ascii="Times New Roman" w:hAnsi="Times New Roman" w:eastAsia="仿宋_GB2312" w:cs="仿宋_GB2312"/>
                <w:highlight w:val="none"/>
              </w:rPr>
              <w:t>）</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387"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超标</w:t>
            </w:r>
            <w:r>
              <w:rPr>
                <w:rFonts w:ascii="Times New Roman" w:hAnsi="Times New Roman" w:eastAsia="仿宋_GB2312" w:cs="Times New Roman"/>
                <w:highlight w:val="none"/>
              </w:rPr>
              <w:t>50%</w:t>
            </w:r>
            <w:r>
              <w:rPr>
                <w:rFonts w:hint="eastAsia" w:ascii="Times New Roman" w:hAnsi="Times New Roman" w:eastAsia="仿宋_GB2312" w:cs="仿宋_GB2312"/>
                <w:highlight w:val="none"/>
              </w:rPr>
              <w:t>以上不足</w:t>
            </w:r>
            <w:r>
              <w:rPr>
                <w:rFonts w:ascii="Times New Roman" w:hAnsi="Times New Roman" w:eastAsia="仿宋_GB2312" w:cs="Times New Roman"/>
                <w:highlight w:val="none"/>
              </w:rPr>
              <w:t>100%</w:t>
            </w:r>
            <w:r>
              <w:rPr>
                <w:rFonts w:hint="eastAsia" w:ascii="Times New Roman" w:hAnsi="Times New Roman" w:eastAsia="仿宋_GB2312" w:cs="仿宋_GB2312"/>
                <w:highlight w:val="none"/>
              </w:rPr>
              <w:t>（</w:t>
            </w:r>
            <w:r>
              <w:rPr>
                <w:rFonts w:ascii="Times New Roman" w:hAnsi="Times New Roman" w:eastAsia="仿宋_GB2312" w:cs="Times New Roman"/>
                <w:highlight w:val="none"/>
              </w:rPr>
              <w:t>pH</w:t>
            </w:r>
            <w:r>
              <w:rPr>
                <w:rFonts w:hint="eastAsia" w:ascii="Times New Roman" w:hAnsi="Times New Roman" w:eastAsia="仿宋_GB2312" w:cs="仿宋_GB2312"/>
                <w:highlight w:val="none"/>
              </w:rPr>
              <w:t>值为</w:t>
            </w:r>
            <w:r>
              <w:rPr>
                <w:rFonts w:ascii="Times New Roman" w:hAnsi="Times New Roman" w:eastAsia="仿宋_GB2312" w:cs="Times New Roman"/>
                <w:highlight w:val="none"/>
              </w:rPr>
              <w:t>11-12.5</w:t>
            </w:r>
            <w:r>
              <w:rPr>
                <w:rFonts w:hint="eastAsia" w:ascii="Times New Roman" w:hAnsi="Times New Roman" w:eastAsia="仿宋_GB2312" w:cs="仿宋_GB2312"/>
                <w:highlight w:val="none"/>
              </w:rPr>
              <w:t>或</w:t>
            </w:r>
            <w:r>
              <w:rPr>
                <w:rFonts w:ascii="Times New Roman" w:hAnsi="Times New Roman" w:eastAsia="仿宋_GB2312" w:cs="Times New Roman"/>
                <w:highlight w:val="none"/>
              </w:rPr>
              <w:t>2-4</w:t>
            </w:r>
            <w:r>
              <w:rPr>
                <w:rFonts w:hint="eastAsia" w:ascii="Times New Roman" w:hAnsi="Times New Roman" w:eastAsia="仿宋_GB2312" w:cs="仿宋_GB2312"/>
                <w:highlight w:val="none"/>
              </w:rPr>
              <w:t>）</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387"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完全未收集处理，并对外环境造成危害的（</w:t>
            </w:r>
            <w:r>
              <w:rPr>
                <w:rFonts w:ascii="Times New Roman" w:hAnsi="Times New Roman" w:eastAsia="仿宋_GB2312" w:cs="Times New Roman"/>
                <w:highlight w:val="none"/>
              </w:rPr>
              <w:t>pH</w:t>
            </w:r>
            <w:r>
              <w:rPr>
                <w:rFonts w:hint="eastAsia" w:ascii="Times New Roman" w:hAnsi="Times New Roman" w:eastAsia="仿宋_GB2312" w:cs="仿宋_GB2312"/>
                <w:highlight w:val="none"/>
              </w:rPr>
              <w:t>值</w:t>
            </w:r>
            <w:r>
              <w:rPr>
                <w:rFonts w:ascii="Times New Roman" w:hAnsi="Times New Roman" w:eastAsia="仿宋_GB2312" w:cs="Times New Roman"/>
                <w:highlight w:val="none"/>
              </w:rPr>
              <w:t>12.5</w:t>
            </w:r>
            <w:r>
              <w:rPr>
                <w:rFonts w:hint="eastAsia" w:ascii="Times New Roman" w:hAnsi="Times New Roman" w:eastAsia="仿宋_GB2312" w:cs="仿宋_GB2312"/>
                <w:highlight w:val="none"/>
              </w:rPr>
              <w:t>以上或</w:t>
            </w:r>
            <w:r>
              <w:rPr>
                <w:rFonts w:ascii="Times New Roman" w:hAnsi="Times New Roman" w:eastAsia="仿宋_GB2312" w:cs="Times New Roman"/>
                <w:highlight w:val="none"/>
              </w:rPr>
              <w:t>pH</w:t>
            </w:r>
            <w:r>
              <w:rPr>
                <w:rFonts w:hint="eastAsia" w:ascii="Times New Roman" w:hAnsi="Times New Roman" w:eastAsia="仿宋_GB2312" w:cs="仿宋_GB2312"/>
                <w:highlight w:val="none"/>
              </w:rPr>
              <w:t>值</w:t>
            </w:r>
            <w:r>
              <w:rPr>
                <w:rFonts w:ascii="Times New Roman" w:hAnsi="Times New Roman" w:eastAsia="仿宋_GB2312" w:cs="Times New Roman"/>
                <w:highlight w:val="none"/>
              </w:rPr>
              <w:t>2</w:t>
            </w:r>
            <w:r>
              <w:rPr>
                <w:rFonts w:hint="eastAsia" w:ascii="Times New Roman" w:hAnsi="Times New Roman" w:eastAsia="仿宋_GB2312" w:cs="仿宋_GB2312"/>
                <w:highlight w:val="none"/>
              </w:rPr>
              <w:t>以下）</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排放去向</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区域</w:t>
            </w:r>
          </w:p>
        </w:tc>
        <w:tc>
          <w:tcPr>
            <w:tcW w:w="5387"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Ⅴ</w:t>
            </w:r>
            <w:r>
              <w:rPr>
                <w:rFonts w:hint="eastAsia" w:ascii="Times New Roman" w:hAnsi="Times New Roman" w:eastAsia="仿宋_GB2312" w:cs="仿宋_GB2312"/>
                <w:highlight w:val="none"/>
              </w:rPr>
              <w:t>类水体或污水集中处理设施</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387"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Ⅳ</w:t>
            </w:r>
            <w:r>
              <w:rPr>
                <w:rFonts w:hint="eastAsia" w:ascii="Times New Roman" w:hAnsi="Times New Roman" w:eastAsia="仿宋_GB2312" w:cs="仿宋_GB2312"/>
                <w:highlight w:val="none"/>
              </w:rPr>
              <w:t>类水体</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387"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Ⅲ</w:t>
            </w:r>
            <w:r>
              <w:rPr>
                <w:rFonts w:hint="eastAsia" w:ascii="Times New Roman" w:hAnsi="Times New Roman" w:eastAsia="仿宋_GB2312" w:cs="仿宋_GB2312"/>
                <w:highlight w:val="none"/>
              </w:rPr>
              <w:t>类水体</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387"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Ⅱ</w:t>
            </w:r>
            <w:r>
              <w:rPr>
                <w:rFonts w:hint="eastAsia" w:ascii="Times New Roman" w:hAnsi="Times New Roman" w:eastAsia="仿宋_GB2312" w:cs="仿宋_GB2312"/>
                <w:highlight w:val="none"/>
              </w:rPr>
              <w:t>类水体</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387"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Ⅰ</w:t>
            </w:r>
            <w:r>
              <w:rPr>
                <w:rFonts w:hint="eastAsia" w:ascii="Times New Roman" w:hAnsi="Times New Roman" w:eastAsia="仿宋_GB2312" w:cs="仿宋_GB2312"/>
                <w:highlight w:val="none"/>
              </w:rPr>
              <w:t>类水体</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违法行为持续时间或违法次数</w:t>
            </w:r>
          </w:p>
        </w:tc>
        <w:tc>
          <w:tcPr>
            <w:tcW w:w="538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r>
              <w:rPr>
                <w:rFonts w:hint="eastAsia" w:ascii="Times New Roman" w:hAnsi="Times New Roman" w:eastAsia="仿宋_GB2312" w:cs="仿宋_GB2312"/>
                <w:highlight w:val="none"/>
              </w:rPr>
              <w:t>个月以内或</w:t>
            </w:r>
            <w:r>
              <w:rPr>
                <w:rFonts w:ascii="Times New Roman" w:hAnsi="Times New Roman" w:eastAsia="仿宋_GB2312" w:cs="Times New Roman"/>
                <w:highlight w:val="none"/>
              </w:rPr>
              <w:t>2</w:t>
            </w:r>
            <w:r>
              <w:rPr>
                <w:rFonts w:hint="eastAsia" w:ascii="Times New Roman" w:hAnsi="Times New Roman" w:eastAsia="仿宋_GB2312" w:cs="仿宋_GB2312"/>
                <w:highlight w:val="none"/>
              </w:rPr>
              <w:t>次以下</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2"/>
              <w:jc w:val="center"/>
              <w:rPr>
                <w:rFonts w:ascii="Times New Roman" w:hAnsi="Times New Roman" w:cs="Times New Roman"/>
                <w:b/>
                <w:bCs/>
                <w:highlight w:val="none"/>
              </w:rPr>
            </w:pPr>
          </w:p>
        </w:tc>
        <w:tc>
          <w:tcPr>
            <w:tcW w:w="538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r>
              <w:rPr>
                <w:rFonts w:hint="eastAsia" w:ascii="Times New Roman" w:hAnsi="Times New Roman" w:eastAsia="仿宋_GB2312" w:cs="仿宋_GB2312"/>
                <w:highlight w:val="none"/>
              </w:rPr>
              <w:t>个月以上</w:t>
            </w:r>
            <w:r>
              <w:rPr>
                <w:rFonts w:ascii="Times New Roman" w:hAnsi="Times New Roman" w:eastAsia="仿宋_GB2312" w:cs="Times New Roman"/>
                <w:highlight w:val="none"/>
              </w:rPr>
              <w:t>6</w:t>
            </w:r>
            <w:r>
              <w:rPr>
                <w:rFonts w:hint="eastAsia" w:ascii="Times New Roman" w:hAnsi="Times New Roman" w:eastAsia="仿宋_GB2312" w:cs="仿宋_GB2312"/>
                <w:highlight w:val="none"/>
              </w:rPr>
              <w:t>个月以内或</w:t>
            </w:r>
            <w:r>
              <w:rPr>
                <w:rFonts w:ascii="Times New Roman" w:hAnsi="Times New Roman" w:eastAsia="仿宋_GB2312" w:cs="Times New Roman"/>
                <w:highlight w:val="none"/>
              </w:rPr>
              <w:t>2</w:t>
            </w:r>
            <w:r>
              <w:rPr>
                <w:rFonts w:hint="eastAsia" w:ascii="Times New Roman" w:hAnsi="Times New Roman" w:eastAsia="仿宋_GB2312" w:cs="仿宋_GB2312"/>
                <w:highlight w:val="none"/>
              </w:rPr>
              <w:t>次</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2"/>
              <w:jc w:val="center"/>
              <w:rPr>
                <w:rFonts w:ascii="Times New Roman" w:hAnsi="Times New Roman" w:cs="Times New Roman"/>
                <w:b/>
                <w:bCs/>
                <w:highlight w:val="none"/>
              </w:rPr>
            </w:pPr>
          </w:p>
        </w:tc>
        <w:tc>
          <w:tcPr>
            <w:tcW w:w="538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6</w:t>
            </w:r>
            <w:r>
              <w:rPr>
                <w:rFonts w:hint="eastAsia" w:ascii="Times New Roman" w:hAnsi="Times New Roman" w:eastAsia="仿宋_GB2312" w:cs="仿宋_GB2312"/>
                <w:highlight w:val="none"/>
              </w:rPr>
              <w:t>个月以上或</w:t>
            </w:r>
            <w:r>
              <w:rPr>
                <w:rFonts w:ascii="Times New Roman" w:hAnsi="Times New Roman" w:eastAsia="仿宋_GB2312" w:cs="Times New Roman"/>
                <w:highlight w:val="none"/>
              </w:rPr>
              <w:t>3</w:t>
            </w:r>
            <w:r>
              <w:rPr>
                <w:rFonts w:hint="eastAsia" w:ascii="Times New Roman" w:hAnsi="Times New Roman" w:eastAsia="仿宋_GB2312" w:cs="仿宋_GB2312"/>
                <w:highlight w:val="none"/>
              </w:rPr>
              <w:t>次以上</w:t>
            </w:r>
          </w:p>
        </w:tc>
        <w:tc>
          <w:tcPr>
            <w:tcW w:w="255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jc w:val="center"/>
              <w:rPr>
                <w:rFonts w:ascii="Times New Roman" w:hAnsi="Times New Roman" w:cs="Times New Roman"/>
                <w:highlight w:val="none"/>
              </w:rPr>
            </w:pPr>
          </w:p>
        </w:tc>
      </w:tr>
    </w:tbl>
    <w:p>
      <w:pPr>
        <w:snapToGrid w:val="0"/>
        <w:ind w:firstLine="420"/>
        <w:rPr>
          <w:rFonts w:ascii="Times New Roman" w:hAnsi="Times New Roman" w:eastAsia="仿宋_GB2312" w:cs="Times New Roman"/>
          <w:sz w:val="10"/>
          <w:szCs w:val="10"/>
          <w:highlight w:val="none"/>
        </w:rPr>
      </w:pPr>
      <w:r>
        <w:rPr>
          <w:rFonts w:ascii="Times New Roman" w:hAnsi="Times New Roman" w:cs="Times New Roman"/>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641"/>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（三）水污染防治类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spacing w:before="62" w:beforeLines="20"/>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涉及重金属污染的企业事业单位和其他生产经营者未落实重金属安全防控措施，对废水进行分类处理并对含重金属污泥进行处置的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vAlign w:val="center"/>
          </w:tcPr>
          <w:p>
            <w:pPr>
              <w:snapToGrid w:val="0"/>
              <w:spacing w:before="62" w:beforeLines="20" w:line="264"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《山东省水污染防治条例》第三十七条</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涉及重金属污染的企业事业单位和其他生产经营者，应当落实重金属安全防控措施，根据所含重金属的种类和数量对废水进行分类处理，并实现含重金属污泥的减量化、无害化、资源化。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vAlign w:val="center"/>
          </w:tcPr>
          <w:p>
            <w:pPr>
              <w:snapToGrid w:val="0"/>
              <w:spacing w:before="62" w:beforeLines="20" w:line="264"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《山东省水污染防治条例》第七十七条第（二）项</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违反本条例规定，有下列情形之一的，由县级以上人民政府环境保护主管部门责令改正，处二万元以上二十万元以下的罚款；情节严重的，报经有批准权的人民政府批准，责令停产停业：</w:t>
            </w:r>
          </w:p>
          <w:p>
            <w:pPr>
              <w:snapToGrid w:val="0"/>
              <w:spacing w:line="264" w:lineRule="auto"/>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（二）涉及重金属污染的企业事业单位和其他生产经营者未落实重金属安全防控措施，对废水进行分类处理并对含重金属污泥进行处置的。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64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29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64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未对废水进行规范分类处理，或者未对含重金属污泥进行规范处置的</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64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未对废水进行规范分类处理，且未对含重金属污泥进行规范处置的</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64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未对废水进行分类处理，或者未对含重金属污泥进行处置的</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未按照要求处理处置的废水和污泥量</w:t>
            </w:r>
          </w:p>
        </w:tc>
        <w:tc>
          <w:tcPr>
            <w:tcW w:w="5641"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0.5</w:t>
            </w:r>
            <w:r>
              <w:rPr>
                <w:rFonts w:hint="eastAsia" w:ascii="Times New Roman" w:hAnsi="Times New Roman" w:eastAsia="仿宋_GB2312" w:cs="仿宋_GB2312"/>
                <w:highlight w:val="none"/>
              </w:rPr>
              <w:t>吨以下</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0.5</w:t>
            </w:r>
            <w:r>
              <w:rPr>
                <w:rFonts w:hint="eastAsia" w:ascii="Times New Roman" w:hAnsi="Times New Roman" w:eastAsia="仿宋_GB2312" w:cs="仿宋_GB2312"/>
                <w:highlight w:val="none"/>
              </w:rPr>
              <w:t>吨以下</w:t>
            </w:r>
            <w:r>
              <w:rPr>
                <w:rFonts w:ascii="Times New Roman" w:hAnsi="Times New Roman" w:eastAsia="仿宋_GB2312" w:cs="Times New Roman"/>
                <w:highlight w:val="none"/>
              </w:rPr>
              <w:t>1</w:t>
            </w:r>
            <w:r>
              <w:rPr>
                <w:rFonts w:hint="eastAsia" w:ascii="Times New Roman" w:hAnsi="Times New Roman" w:eastAsia="仿宋_GB2312" w:cs="仿宋_GB2312"/>
                <w:highlight w:val="none"/>
              </w:rPr>
              <w:t>吨以上</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r>
              <w:rPr>
                <w:rFonts w:hint="eastAsia" w:ascii="Times New Roman" w:hAnsi="Times New Roman" w:eastAsia="仿宋_GB2312" w:cs="仿宋_GB2312"/>
                <w:highlight w:val="none"/>
              </w:rPr>
              <w:t>吨以上</w:t>
            </w:r>
            <w:r>
              <w:rPr>
                <w:rFonts w:ascii="Times New Roman" w:hAnsi="Times New Roman" w:eastAsia="仿宋_GB2312" w:cs="Times New Roman"/>
                <w:highlight w:val="none"/>
              </w:rPr>
              <w:t>2</w:t>
            </w:r>
            <w:r>
              <w:rPr>
                <w:rFonts w:hint="eastAsia" w:ascii="Times New Roman" w:hAnsi="Times New Roman" w:eastAsia="仿宋_GB2312" w:cs="仿宋_GB2312"/>
                <w:highlight w:val="none"/>
              </w:rPr>
              <w:t>吨以下</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r>
              <w:rPr>
                <w:rFonts w:hint="eastAsia" w:ascii="Times New Roman" w:hAnsi="Times New Roman" w:eastAsia="仿宋_GB2312" w:cs="仿宋_GB2312"/>
                <w:highlight w:val="none"/>
              </w:rPr>
              <w:t>吨以上</w:t>
            </w:r>
            <w:r>
              <w:rPr>
                <w:rFonts w:ascii="Times New Roman" w:hAnsi="Times New Roman" w:eastAsia="仿宋_GB2312" w:cs="Times New Roman"/>
                <w:highlight w:val="none"/>
              </w:rPr>
              <w:t>5</w:t>
            </w:r>
            <w:r>
              <w:rPr>
                <w:rFonts w:hint="eastAsia" w:ascii="Times New Roman" w:hAnsi="Times New Roman" w:eastAsia="仿宋_GB2312" w:cs="仿宋_GB2312"/>
                <w:highlight w:val="none"/>
              </w:rPr>
              <w:t>吨以下</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r>
              <w:rPr>
                <w:rFonts w:hint="eastAsia" w:ascii="Times New Roman" w:hAnsi="Times New Roman" w:eastAsia="仿宋_GB2312" w:cs="仿宋_GB2312"/>
                <w:highlight w:val="none"/>
              </w:rPr>
              <w:t>吨以上</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排放去向</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区域</w:t>
            </w:r>
          </w:p>
        </w:tc>
        <w:tc>
          <w:tcPr>
            <w:tcW w:w="5641"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Ⅴ</w:t>
            </w:r>
            <w:r>
              <w:rPr>
                <w:rFonts w:hint="eastAsia" w:ascii="Times New Roman" w:hAnsi="Times New Roman" w:eastAsia="仿宋_GB2312" w:cs="仿宋_GB2312"/>
                <w:highlight w:val="none"/>
              </w:rPr>
              <w:t>类水体或污水集中处理设施</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highlight w:val="none"/>
              </w:rPr>
              <w:t>Ⅳ</w:t>
            </w:r>
            <w:r>
              <w:rPr>
                <w:rFonts w:hint="eastAsia" w:ascii="Times New Roman" w:hAnsi="Times New Roman" w:eastAsia="仿宋_GB2312" w:cs="仿宋_GB2312"/>
                <w:highlight w:val="none"/>
              </w:rPr>
              <w:t>类水体</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highlight w:val="none"/>
              </w:rPr>
              <w:t>Ⅲ</w:t>
            </w:r>
            <w:r>
              <w:rPr>
                <w:rFonts w:hint="eastAsia" w:ascii="Times New Roman" w:hAnsi="Times New Roman" w:eastAsia="仿宋_GB2312" w:cs="仿宋_GB2312"/>
                <w:highlight w:val="none"/>
              </w:rPr>
              <w:t>类水体</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highlight w:val="none"/>
              </w:rPr>
              <w:t>Ⅱ</w:t>
            </w:r>
            <w:r>
              <w:rPr>
                <w:rFonts w:hint="eastAsia" w:ascii="Times New Roman" w:hAnsi="Times New Roman" w:eastAsia="仿宋_GB2312" w:cs="仿宋_GB2312"/>
                <w:highlight w:val="none"/>
              </w:rPr>
              <w:t>类水体</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highlight w:val="none"/>
              </w:rPr>
              <w:t>Ⅰ</w:t>
            </w:r>
            <w:r>
              <w:rPr>
                <w:rFonts w:hint="eastAsia" w:ascii="Times New Roman" w:hAnsi="Times New Roman" w:eastAsia="仿宋_GB2312" w:cs="仿宋_GB2312"/>
                <w:highlight w:val="none"/>
              </w:rPr>
              <w:t>类水体</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5641" w:type="dxa"/>
            <w:vAlign w:val="center"/>
          </w:tcPr>
          <w:p>
            <w:pPr>
              <w:snapToGrid w:val="0"/>
              <w:jc w:val="center"/>
              <w:rPr>
                <w:rFonts w:ascii="Times New Roman" w:hAnsi="Times New Roman" w:cs="Times New Roman"/>
                <w:highlight w:val="none"/>
              </w:rPr>
            </w:pPr>
          </w:p>
        </w:tc>
        <w:tc>
          <w:tcPr>
            <w:tcW w:w="2297" w:type="dxa"/>
            <w:vAlign w:val="center"/>
          </w:tcPr>
          <w:p>
            <w:pPr>
              <w:snapToGrid w:val="0"/>
              <w:jc w:val="center"/>
              <w:rPr>
                <w:rFonts w:ascii="Times New Roman" w:hAnsi="Times New Roman" w:cs="Times New Roman"/>
                <w:highlight w:val="none"/>
              </w:rPr>
            </w:pPr>
          </w:p>
        </w:tc>
      </w:tr>
    </w:tbl>
    <w:p>
      <w:pPr>
        <w:snapToGrid w:val="0"/>
        <w:rPr>
          <w:rFonts w:ascii="Times New Roman" w:hAnsi="Times New Roman" w:eastAsia="仿宋_GB2312" w:cs="Times New Roman"/>
          <w:b/>
          <w:bCs/>
          <w:color w:val="FF0000"/>
          <w:sz w:val="10"/>
          <w:szCs w:val="10"/>
          <w:highlight w:val="none"/>
        </w:rPr>
      </w:pPr>
      <w:r>
        <w:rPr>
          <w:rFonts w:ascii="Times New Roman" w:hAnsi="Times New Roman" w:eastAsia="仿宋_GB2312" w:cs="Times New Roman"/>
          <w:b/>
          <w:bCs/>
          <w:color w:val="FF0000"/>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641"/>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（三）水污染防治类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spacing w:before="62" w:beforeLines="20" w:line="264" w:lineRule="auto"/>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医疗机构、学校、科研院所、企业等单位未按照规定单独收集实验室、检验室、化验室产生的有毒有害废液等危险废物进行安全处置，直接排入排水管网或者违法倾倒排放的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vAlign w:val="center"/>
          </w:tcPr>
          <w:p>
            <w:pPr>
              <w:snapToGrid w:val="0"/>
              <w:spacing w:before="62" w:beforeLines="20" w:line="264"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《山东省水污染防治条例》第三十三条</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医疗机构、学校、科研院所、企业等单位的实验室、检验室、化验室产生的有毒有害废液等危险废物，应当按照有关规定单独收集和安全处置，不得排入排水管网或者违法倾倒、排放。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vAlign w:val="center"/>
          </w:tcPr>
          <w:p>
            <w:pPr>
              <w:snapToGrid w:val="0"/>
              <w:spacing w:before="62" w:beforeLines="20" w:line="264"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《山东省水污染防治条例》第七十八条</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违反本条例规定，医疗机构、学校、科研院所、企业等单位未按照规定单独收集实验室、检验室、化验室产生的有毒有害废液等危险废物进行安全处置，直接排入排水管网或者违法倾倒排放的，由县级以上人民政府环境保护主管部门责令改正，处二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64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29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64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未单独收集，但按照规定进行安全处置的</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64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单独收集，但未按照规定进行安全处置的</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64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未单独收集且未进行安全处置的</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危险废物</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数量</w:t>
            </w:r>
          </w:p>
        </w:tc>
        <w:tc>
          <w:tcPr>
            <w:tcW w:w="5641"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0.3</w:t>
            </w:r>
            <w:r>
              <w:rPr>
                <w:rFonts w:hint="eastAsia" w:ascii="Times New Roman" w:hAnsi="Times New Roman" w:eastAsia="仿宋_GB2312" w:cs="仿宋_GB2312"/>
                <w:color w:val="000000"/>
                <w:sz w:val="21"/>
                <w:szCs w:val="21"/>
                <w:highlight w:val="none"/>
              </w:rPr>
              <w:t>吨以下</w:t>
            </w:r>
          </w:p>
        </w:tc>
        <w:tc>
          <w:tcPr>
            <w:tcW w:w="2297" w:type="dxa"/>
            <w:vAlign w:val="center"/>
          </w:tcPr>
          <w:p>
            <w:pPr>
              <w:pStyle w:val="11"/>
              <w:snapToGrid w:val="0"/>
              <w:jc w:val="center"/>
              <w:rPr>
                <w:rFonts w:ascii="Times New Roman" w:hAnsi="Times New Roman" w:cs="Times New Roman"/>
                <w:color w:val="000000"/>
                <w:sz w:val="21"/>
                <w:szCs w:val="21"/>
                <w:highlight w:val="none"/>
              </w:rPr>
            </w:pPr>
            <w:r>
              <w:rPr>
                <w:rFonts w:ascii="Times New Roman" w:hAnsi="Times New Roman" w:cs="Times New Roman"/>
                <w:color w:val="000000"/>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0.3</w:t>
            </w:r>
            <w:r>
              <w:rPr>
                <w:rFonts w:hint="eastAsia" w:ascii="Times New Roman" w:hAnsi="Times New Roman" w:eastAsia="仿宋_GB2312" w:cs="仿宋_GB2312"/>
                <w:color w:val="000000"/>
                <w:sz w:val="21"/>
                <w:szCs w:val="21"/>
                <w:highlight w:val="none"/>
              </w:rPr>
              <w:t>吨以上不足</w:t>
            </w:r>
            <w:r>
              <w:rPr>
                <w:rFonts w:ascii="Times New Roman" w:hAnsi="Times New Roman" w:eastAsia="仿宋_GB2312" w:cs="Times New Roman"/>
                <w:color w:val="000000"/>
                <w:sz w:val="21"/>
                <w:szCs w:val="21"/>
                <w:highlight w:val="none"/>
              </w:rPr>
              <w:t>0.5</w:t>
            </w:r>
            <w:r>
              <w:rPr>
                <w:rFonts w:hint="eastAsia" w:ascii="Times New Roman" w:hAnsi="Times New Roman" w:eastAsia="仿宋_GB2312" w:cs="仿宋_GB2312"/>
                <w:color w:val="000000"/>
                <w:sz w:val="21"/>
                <w:szCs w:val="21"/>
                <w:highlight w:val="none"/>
              </w:rPr>
              <w:t>吨</w:t>
            </w:r>
          </w:p>
        </w:tc>
        <w:tc>
          <w:tcPr>
            <w:tcW w:w="2297" w:type="dxa"/>
            <w:vAlign w:val="center"/>
          </w:tcPr>
          <w:p>
            <w:pPr>
              <w:pStyle w:val="11"/>
              <w:snapToGrid w:val="0"/>
              <w:jc w:val="center"/>
              <w:rPr>
                <w:rFonts w:ascii="Times New Roman" w:hAnsi="Times New Roman" w:cs="Times New Roman"/>
                <w:color w:val="000000"/>
                <w:sz w:val="21"/>
                <w:szCs w:val="21"/>
                <w:highlight w:val="none"/>
              </w:rPr>
            </w:pPr>
            <w:r>
              <w:rPr>
                <w:rFonts w:ascii="Times New Roman" w:hAnsi="Times New Roman" w:cs="Times New Roman"/>
                <w:color w:val="000000"/>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0.5</w:t>
            </w:r>
            <w:r>
              <w:rPr>
                <w:rFonts w:hint="eastAsia" w:ascii="Times New Roman" w:hAnsi="Times New Roman" w:eastAsia="仿宋_GB2312" w:cs="仿宋_GB2312"/>
                <w:color w:val="000000"/>
                <w:sz w:val="21"/>
                <w:szCs w:val="21"/>
                <w:highlight w:val="none"/>
              </w:rPr>
              <w:t>吨以上不足</w:t>
            </w: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吨</w:t>
            </w:r>
          </w:p>
        </w:tc>
        <w:tc>
          <w:tcPr>
            <w:tcW w:w="2297" w:type="dxa"/>
            <w:vAlign w:val="center"/>
          </w:tcPr>
          <w:p>
            <w:pPr>
              <w:pStyle w:val="11"/>
              <w:snapToGrid w:val="0"/>
              <w:jc w:val="center"/>
              <w:rPr>
                <w:rFonts w:ascii="Times New Roman" w:hAnsi="Times New Roman" w:cs="Times New Roman"/>
                <w:color w:val="000000"/>
                <w:sz w:val="21"/>
                <w:szCs w:val="21"/>
                <w:highlight w:val="none"/>
              </w:rPr>
            </w:pPr>
            <w:r>
              <w:rPr>
                <w:rFonts w:ascii="Times New Roman" w:hAnsi="Times New Roman" w:cs="Times New Roman"/>
                <w:color w:val="000000"/>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吨以上不足</w:t>
            </w:r>
            <w:r>
              <w:rPr>
                <w:rFonts w:ascii="Times New Roman" w:hAnsi="Times New Roman" w:eastAsia="仿宋_GB2312" w:cs="Times New Roman"/>
                <w:color w:val="000000"/>
                <w:sz w:val="21"/>
                <w:szCs w:val="21"/>
                <w:highlight w:val="none"/>
              </w:rPr>
              <w:t>2</w:t>
            </w:r>
            <w:r>
              <w:rPr>
                <w:rFonts w:hint="eastAsia" w:ascii="Times New Roman" w:hAnsi="Times New Roman" w:eastAsia="仿宋_GB2312" w:cs="仿宋_GB2312"/>
                <w:color w:val="000000"/>
                <w:sz w:val="21"/>
                <w:szCs w:val="21"/>
                <w:highlight w:val="none"/>
              </w:rPr>
              <w:t>吨</w:t>
            </w:r>
          </w:p>
        </w:tc>
        <w:tc>
          <w:tcPr>
            <w:tcW w:w="2297" w:type="dxa"/>
            <w:vAlign w:val="center"/>
          </w:tcPr>
          <w:p>
            <w:pPr>
              <w:pStyle w:val="11"/>
              <w:snapToGrid w:val="0"/>
              <w:jc w:val="center"/>
              <w:rPr>
                <w:rFonts w:ascii="Times New Roman" w:hAnsi="Times New Roman" w:cs="Times New Roman"/>
                <w:color w:val="000000"/>
                <w:sz w:val="21"/>
                <w:szCs w:val="21"/>
                <w:highlight w:val="none"/>
              </w:rPr>
            </w:pPr>
            <w:r>
              <w:rPr>
                <w:rFonts w:ascii="Times New Roman" w:hAnsi="Times New Roman" w:cs="Times New Roman"/>
                <w:color w:val="000000"/>
                <w:sz w:val="21"/>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2</w:t>
            </w:r>
            <w:r>
              <w:rPr>
                <w:rFonts w:hint="eastAsia" w:ascii="Times New Roman" w:hAnsi="Times New Roman" w:eastAsia="仿宋_GB2312" w:cs="仿宋_GB2312"/>
                <w:color w:val="000000"/>
                <w:sz w:val="21"/>
                <w:szCs w:val="21"/>
                <w:highlight w:val="none"/>
              </w:rPr>
              <w:t>吨以上</w:t>
            </w:r>
          </w:p>
        </w:tc>
        <w:tc>
          <w:tcPr>
            <w:tcW w:w="2297" w:type="dxa"/>
            <w:vAlign w:val="center"/>
          </w:tcPr>
          <w:p>
            <w:pPr>
              <w:pStyle w:val="11"/>
              <w:snapToGrid w:val="0"/>
              <w:jc w:val="center"/>
              <w:rPr>
                <w:rFonts w:ascii="Times New Roman" w:hAnsi="Times New Roman" w:cs="Times New Roman"/>
                <w:color w:val="000000"/>
                <w:sz w:val="21"/>
                <w:szCs w:val="21"/>
                <w:highlight w:val="none"/>
              </w:rPr>
            </w:pPr>
            <w:r>
              <w:rPr>
                <w:rFonts w:ascii="Times New Roman" w:hAnsi="Times New Roman" w:cs="Times New Roman"/>
                <w:color w:val="000000"/>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水体类别</w:t>
            </w:r>
          </w:p>
        </w:tc>
        <w:tc>
          <w:tcPr>
            <w:tcW w:w="5641"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Ⅴ</w:t>
            </w:r>
            <w:r>
              <w:rPr>
                <w:rFonts w:hint="eastAsia" w:ascii="Times New Roman" w:hAnsi="Times New Roman" w:eastAsia="仿宋_GB2312" w:cs="仿宋_GB2312"/>
                <w:highlight w:val="none"/>
              </w:rPr>
              <w:t>类水体或污水集中处理设施</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highlight w:val="none"/>
              </w:rPr>
              <w:t>Ⅳ</w:t>
            </w:r>
            <w:r>
              <w:rPr>
                <w:rFonts w:hint="eastAsia" w:ascii="Times New Roman" w:hAnsi="Times New Roman" w:eastAsia="仿宋_GB2312" w:cs="仿宋_GB2312"/>
                <w:highlight w:val="none"/>
              </w:rPr>
              <w:t>类水体</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highlight w:val="none"/>
              </w:rPr>
              <w:t>Ⅲ</w:t>
            </w:r>
            <w:r>
              <w:rPr>
                <w:rFonts w:hint="eastAsia" w:ascii="Times New Roman" w:hAnsi="Times New Roman" w:eastAsia="仿宋_GB2312" w:cs="仿宋_GB2312"/>
                <w:highlight w:val="none"/>
              </w:rPr>
              <w:t>类水体</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highlight w:val="none"/>
              </w:rPr>
              <w:t>Ⅱ</w:t>
            </w:r>
            <w:r>
              <w:rPr>
                <w:rFonts w:hint="eastAsia" w:ascii="Times New Roman" w:hAnsi="Times New Roman" w:eastAsia="仿宋_GB2312" w:cs="仿宋_GB2312"/>
                <w:highlight w:val="none"/>
              </w:rPr>
              <w:t>类水体</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highlight w:val="none"/>
              </w:rPr>
              <w:t>Ⅰ</w:t>
            </w:r>
            <w:r>
              <w:rPr>
                <w:rFonts w:hint="eastAsia" w:ascii="Times New Roman" w:hAnsi="Times New Roman" w:eastAsia="仿宋_GB2312" w:cs="仿宋_GB2312"/>
                <w:highlight w:val="none"/>
              </w:rPr>
              <w:t>类水体</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违法持续时间或违法次数（两年内</w:t>
            </w:r>
            <w:r>
              <w:rPr>
                <w:rFonts w:ascii="Times New Roman" w:hAnsi="Times New Roman" w:cs="宋体"/>
                <w:b/>
                <w:bCs/>
                <w:highlight w:val="none"/>
              </w:rPr>
              <w:t>，含</w:t>
            </w:r>
            <w:r>
              <w:rPr>
                <w:rFonts w:hint="eastAsia" w:ascii="Times New Roman" w:hAnsi="Times New Roman" w:cs="宋体"/>
                <w:b/>
                <w:bCs/>
                <w:highlight w:val="none"/>
              </w:rPr>
              <w:t>本次）</w:t>
            </w:r>
          </w:p>
        </w:tc>
        <w:tc>
          <w:tcPr>
            <w:tcW w:w="5641"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r>
              <w:rPr>
                <w:rFonts w:hint="eastAsia" w:ascii="Times New Roman" w:hAnsi="Times New Roman" w:eastAsia="仿宋_GB2312" w:cs="仿宋_GB2312"/>
                <w:highlight w:val="none"/>
              </w:rPr>
              <w:t>个月以内或</w:t>
            </w:r>
            <w:r>
              <w:rPr>
                <w:rFonts w:ascii="Times New Roman" w:hAnsi="Times New Roman" w:eastAsia="仿宋_GB2312" w:cs="Times New Roman"/>
                <w:highlight w:val="none"/>
              </w:rPr>
              <w:t>2</w:t>
            </w:r>
            <w:r>
              <w:rPr>
                <w:rFonts w:hint="eastAsia" w:ascii="Times New Roman" w:hAnsi="Times New Roman" w:eastAsia="仿宋_GB2312" w:cs="仿宋_GB2312"/>
                <w:highlight w:val="none"/>
              </w:rPr>
              <w:t>次以下</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r>
              <w:rPr>
                <w:rFonts w:hint="eastAsia" w:ascii="Times New Roman" w:hAnsi="Times New Roman" w:eastAsia="仿宋_GB2312" w:cs="仿宋_GB2312"/>
                <w:highlight w:val="none"/>
              </w:rPr>
              <w:t>个月以上</w:t>
            </w:r>
            <w:r>
              <w:rPr>
                <w:rFonts w:ascii="Times New Roman" w:hAnsi="Times New Roman" w:eastAsia="仿宋_GB2312" w:cs="Times New Roman"/>
                <w:highlight w:val="none"/>
              </w:rPr>
              <w:t>6</w:t>
            </w:r>
            <w:r>
              <w:rPr>
                <w:rFonts w:hint="eastAsia" w:ascii="Times New Roman" w:hAnsi="Times New Roman" w:eastAsia="仿宋_GB2312" w:cs="仿宋_GB2312"/>
                <w:highlight w:val="none"/>
              </w:rPr>
              <w:t>个月以内或</w:t>
            </w:r>
            <w:r>
              <w:rPr>
                <w:rFonts w:ascii="Times New Roman" w:hAnsi="Times New Roman" w:eastAsia="仿宋_GB2312" w:cs="Times New Roman"/>
                <w:highlight w:val="none"/>
              </w:rPr>
              <w:t>2</w:t>
            </w:r>
            <w:r>
              <w:rPr>
                <w:rFonts w:hint="eastAsia" w:ascii="Times New Roman" w:hAnsi="Times New Roman" w:eastAsia="仿宋_GB2312" w:cs="仿宋_GB2312"/>
                <w:highlight w:val="none"/>
              </w:rPr>
              <w:t>次</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6</w:t>
            </w:r>
            <w:r>
              <w:rPr>
                <w:rFonts w:hint="eastAsia" w:ascii="Times New Roman" w:hAnsi="Times New Roman" w:eastAsia="仿宋_GB2312" w:cs="仿宋_GB2312"/>
                <w:highlight w:val="none"/>
              </w:rPr>
              <w:t>个月以上或</w:t>
            </w:r>
            <w:r>
              <w:rPr>
                <w:rFonts w:ascii="Times New Roman" w:hAnsi="Times New Roman" w:eastAsia="仿宋_GB2312" w:cs="Times New Roman"/>
                <w:highlight w:val="none"/>
              </w:rPr>
              <w:t>3</w:t>
            </w:r>
            <w:r>
              <w:rPr>
                <w:rFonts w:hint="eastAsia" w:ascii="Times New Roman" w:hAnsi="Times New Roman" w:eastAsia="仿宋_GB2312" w:cs="仿宋_GB2312"/>
                <w:highlight w:val="none"/>
              </w:rPr>
              <w:t>次以上</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5641" w:type="dxa"/>
            <w:vAlign w:val="center"/>
          </w:tcPr>
          <w:p>
            <w:pPr>
              <w:snapToGrid w:val="0"/>
              <w:jc w:val="center"/>
              <w:rPr>
                <w:rFonts w:ascii="Times New Roman" w:hAnsi="Times New Roman" w:cs="Times New Roman"/>
                <w:highlight w:val="none"/>
              </w:rPr>
            </w:pPr>
          </w:p>
        </w:tc>
        <w:tc>
          <w:tcPr>
            <w:tcW w:w="2297" w:type="dxa"/>
            <w:vAlign w:val="center"/>
          </w:tcPr>
          <w:p>
            <w:pPr>
              <w:snapToGrid w:val="0"/>
              <w:jc w:val="center"/>
              <w:rPr>
                <w:rFonts w:ascii="Times New Roman" w:hAnsi="Times New Roman" w:cs="Times New Roman"/>
                <w:highlight w:val="none"/>
              </w:rPr>
            </w:pPr>
          </w:p>
        </w:tc>
      </w:tr>
    </w:tbl>
    <w:p>
      <w:pPr>
        <w:snapToGrid w:val="0"/>
        <w:rPr>
          <w:rFonts w:ascii="Times New Roman" w:hAnsi="Times New Roman" w:eastAsia="仿宋_GB2312" w:cs="Times New Roman"/>
          <w:b/>
          <w:bCs/>
          <w:color w:val="FF0000"/>
          <w:sz w:val="10"/>
          <w:szCs w:val="10"/>
          <w:highlight w:val="none"/>
        </w:rPr>
      </w:pPr>
      <w:r>
        <w:rPr>
          <w:rFonts w:ascii="Times New Roman" w:hAnsi="Times New Roman" w:eastAsia="仿宋_GB2312" w:cs="Times New Roman"/>
          <w:b/>
          <w:bCs/>
          <w:color w:val="FF0000"/>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641"/>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（三）水污染防治类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向雨水收集口、雨水管道排放或者倾倒污水、污物和垃圾等废弃物的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vAlign w:val="center"/>
          </w:tcPr>
          <w:p>
            <w:pPr>
              <w:snapToGrid w:val="0"/>
              <w:spacing w:before="62" w:beforeLines="20" w:line="264"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《山东省水污染防治条例》第四十三条第四款</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任何单位和个人不得向雨水收集口、雨水管道排放或者倾倒污水、污物和垃圾等废弃物。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vAlign w:val="center"/>
          </w:tcPr>
          <w:p>
            <w:pPr>
              <w:snapToGrid w:val="0"/>
              <w:spacing w:before="62" w:beforeLines="20" w:line="264"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《山东省水污染防治条例》第七十九条第（一）项</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违反本条例规定，有下列情形之一的，由环境保护主管部门、城市管理部门或者其他负有监督管理职责的部门责令停止违法行为，对单位处二万元以上十万元以下的罚款，对个人处一千元以上一万元以下的罚款：</w:t>
            </w:r>
          </w:p>
          <w:p>
            <w:pPr>
              <w:snapToGrid w:val="0"/>
              <w:spacing w:before="62" w:beforeLines="20" w:line="264" w:lineRule="auto"/>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（一）向雨水收集口、雨水管道排放或者倾倒污水、污物和垃圾等废弃物的。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64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297"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废弃物类型★</w:t>
            </w: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生活废水</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生活垃圾或者</w:t>
            </w:r>
            <w:r>
              <w:rPr>
                <w:rFonts w:hint="eastAsia" w:ascii="宋体" w:hAnsi="宋体" w:cs="宋体"/>
                <w:color w:val="000000"/>
                <w:highlight w:val="none"/>
              </w:rPr>
              <w:t>Ⅰ</w:t>
            </w:r>
            <w:r>
              <w:rPr>
                <w:rFonts w:hint="eastAsia" w:ascii="Times New Roman" w:hAnsi="Times New Roman" w:eastAsia="仿宋_GB2312" w:cs="仿宋_GB2312"/>
                <w:color w:val="000000"/>
                <w:highlight w:val="none"/>
              </w:rPr>
              <w:t>类一般工业固体废物</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服务业废水</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一般工业废水</w:t>
            </w:r>
            <w:r>
              <w:rPr>
                <w:rFonts w:ascii="Times New Roman" w:hAnsi="Times New Roman" w:eastAsia="仿宋_GB2312" w:cs="Times New Roman"/>
                <w:color w:val="000000"/>
                <w:highlight w:val="none"/>
              </w:rPr>
              <w:t>/</w:t>
            </w:r>
            <w:r>
              <w:rPr>
                <w:rFonts w:hint="eastAsia" w:ascii="宋体" w:hAnsi="宋体" w:cs="宋体"/>
                <w:color w:val="000000"/>
                <w:highlight w:val="none"/>
              </w:rPr>
              <w:t>Ⅱ</w:t>
            </w:r>
            <w:r>
              <w:rPr>
                <w:rFonts w:hint="eastAsia" w:ascii="Times New Roman" w:hAnsi="Times New Roman" w:eastAsia="仿宋_GB2312" w:cs="仿宋_GB2312"/>
                <w:color w:val="000000"/>
                <w:highlight w:val="none"/>
              </w:rPr>
              <w:t>类一般工业固体废物</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含其他有毒有害物质的废水、医疗废水</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含一类污染物或重金属、病原体、放射性物质的废水</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危险废物</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restart"/>
            <w:vAlign w:val="center"/>
          </w:tcPr>
          <w:p>
            <w:pPr>
              <w:snapToGrid w:val="0"/>
              <w:jc w:val="center"/>
              <w:rPr>
                <w:rFonts w:ascii="Times New Roman" w:hAnsi="Times New Roman" w:cs="Times New Roman"/>
                <w:color w:val="000000"/>
                <w:highlight w:val="none"/>
              </w:rPr>
            </w:pPr>
            <w:r>
              <w:rPr>
                <w:rFonts w:hint="eastAsia" w:ascii="Times New Roman" w:hAnsi="Times New Roman" w:cs="宋体"/>
                <w:b/>
                <w:bCs/>
                <w:color w:val="000000"/>
                <w:highlight w:val="none"/>
              </w:rPr>
              <w:t>废弃物数量</w:t>
            </w:r>
          </w:p>
        </w:tc>
        <w:tc>
          <w:tcPr>
            <w:tcW w:w="564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0.5</w:t>
            </w:r>
            <w:r>
              <w:rPr>
                <w:rFonts w:hint="eastAsia" w:ascii="Times New Roman" w:hAnsi="Times New Roman" w:eastAsia="仿宋_GB2312" w:cs="仿宋_GB2312"/>
                <w:color w:val="000000"/>
                <w:highlight w:val="none"/>
              </w:rPr>
              <w:t>吨以下</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641"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0.5</w:t>
            </w:r>
            <w:r>
              <w:rPr>
                <w:rFonts w:hint="eastAsia" w:ascii="Times New Roman" w:hAnsi="Times New Roman" w:eastAsia="仿宋_GB2312" w:cs="仿宋_GB2312"/>
                <w:color w:val="000000"/>
                <w:highlight w:val="none"/>
              </w:rPr>
              <w:t>吨以上</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吨以下</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641"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吨以上</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吨以下</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641"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吨以上</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吨以下</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641"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吨以上</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排放去向</w:t>
            </w: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color w:val="000000"/>
                <w:highlight w:val="none"/>
              </w:rPr>
              <w:t>Ⅴ</w:t>
            </w:r>
            <w:r>
              <w:rPr>
                <w:rFonts w:hint="eastAsia" w:ascii="Times New Roman" w:hAnsi="Times New Roman" w:eastAsia="仿宋_GB2312" w:cs="仿宋_GB2312"/>
                <w:color w:val="000000"/>
                <w:highlight w:val="none"/>
              </w:rPr>
              <w:t>类水体或污水集中处理设施</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color w:val="000000"/>
                <w:highlight w:val="none"/>
              </w:rPr>
              <w:t>Ⅳ</w:t>
            </w:r>
            <w:r>
              <w:rPr>
                <w:rFonts w:hint="eastAsia" w:ascii="Times New Roman" w:hAnsi="Times New Roman" w:eastAsia="仿宋_GB2312" w:cs="仿宋_GB2312"/>
                <w:color w:val="000000"/>
                <w:highlight w:val="none"/>
              </w:rPr>
              <w:t>类水体</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color w:val="000000"/>
                <w:highlight w:val="none"/>
              </w:rPr>
              <w:t>Ⅲ</w:t>
            </w:r>
            <w:r>
              <w:rPr>
                <w:rFonts w:hint="eastAsia" w:ascii="Times New Roman" w:hAnsi="Times New Roman" w:eastAsia="仿宋_GB2312" w:cs="仿宋_GB2312"/>
                <w:color w:val="000000"/>
                <w:highlight w:val="none"/>
              </w:rPr>
              <w:t>类水体</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highlight w:val="none"/>
              </w:rPr>
              <w:t>Ⅱ</w:t>
            </w:r>
            <w:r>
              <w:rPr>
                <w:rFonts w:hint="eastAsia" w:ascii="Times New Roman" w:hAnsi="Times New Roman" w:eastAsia="仿宋_GB2312" w:cs="仿宋_GB2312"/>
                <w:highlight w:val="none"/>
              </w:rPr>
              <w:t>类水体</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highlight w:val="none"/>
              </w:rPr>
              <w:t>Ⅰ</w:t>
            </w:r>
            <w:r>
              <w:rPr>
                <w:rFonts w:hint="eastAsia" w:ascii="Times New Roman" w:hAnsi="Times New Roman" w:eastAsia="仿宋_GB2312" w:cs="仿宋_GB2312"/>
                <w:highlight w:val="none"/>
              </w:rPr>
              <w:t>类水体</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违法持续</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时间或违法</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次数（两年内，含本次）</w:t>
            </w:r>
          </w:p>
        </w:tc>
        <w:tc>
          <w:tcPr>
            <w:tcW w:w="564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个月以内或</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次以下</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个月以上</w:t>
            </w: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个月以内或</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次</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个月以上或</w:t>
            </w: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次以上</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5641" w:type="dxa"/>
            <w:vAlign w:val="center"/>
          </w:tcPr>
          <w:p>
            <w:pPr>
              <w:snapToGrid w:val="0"/>
              <w:jc w:val="center"/>
              <w:rPr>
                <w:rFonts w:ascii="Times New Roman" w:hAnsi="Times New Roman" w:cs="Times New Roman"/>
                <w:color w:val="000000"/>
                <w:highlight w:val="none"/>
              </w:rPr>
            </w:pPr>
          </w:p>
        </w:tc>
        <w:tc>
          <w:tcPr>
            <w:tcW w:w="2297" w:type="dxa"/>
            <w:vAlign w:val="center"/>
          </w:tcPr>
          <w:p>
            <w:pPr>
              <w:snapToGrid w:val="0"/>
              <w:jc w:val="center"/>
              <w:rPr>
                <w:rFonts w:ascii="Times New Roman" w:hAnsi="Times New Roman" w:cs="Times New Roman"/>
                <w:color w:val="000000"/>
                <w:highlight w:val="none"/>
              </w:rPr>
            </w:pPr>
          </w:p>
        </w:tc>
      </w:tr>
    </w:tbl>
    <w:p>
      <w:pPr>
        <w:snapToGrid w:val="0"/>
        <w:rPr>
          <w:rFonts w:ascii="Times New Roman" w:hAnsi="Times New Roman" w:eastAsia="仿宋_GB2312" w:cs="Times New Roman"/>
          <w:b/>
          <w:bCs/>
          <w:color w:val="FF0000"/>
          <w:sz w:val="10"/>
          <w:szCs w:val="10"/>
          <w:highlight w:val="none"/>
        </w:rPr>
      </w:pPr>
      <w:r>
        <w:rPr>
          <w:rFonts w:ascii="Times New Roman" w:hAnsi="Times New Roman" w:eastAsia="仿宋_GB2312" w:cs="Times New Roman"/>
          <w:b/>
          <w:bCs/>
          <w:color w:val="FF0000"/>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641"/>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（三）水污染防治类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ind w:firstLine="42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餐饮、洗浴、洗涤、洗车经营者直接向雨水排放系统、河道等外环境排放污水的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vAlign w:val="center"/>
          </w:tcPr>
          <w:p>
            <w:pPr>
              <w:snapToGrid w:val="0"/>
              <w:spacing w:before="62" w:beforeLines="20" w:line="264"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《山东省水污染防治条例》第五十六条第一款</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禁止餐饮、洗浴、洗涤、洗车经营者直接向雨水排放系统、河道等外环境排放污水。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vAlign w:val="center"/>
          </w:tcPr>
          <w:p>
            <w:pPr>
              <w:snapToGrid w:val="0"/>
              <w:spacing w:before="62" w:beforeLines="20" w:line="264"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《山东省水污染防治条例》第七十九条第（二）项</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违反本条例规定，有下列情形之一的，由环境保护主管部门、城市管理部门或者其他负有监督管理职责的部门责令停止违法行为，对单位处二万元以上十万元以下的罚款，对个人处一千元以上一万元以下的罚款：</w:t>
            </w:r>
          </w:p>
          <w:p>
            <w:pPr>
              <w:snapToGrid w:val="0"/>
              <w:spacing w:line="264" w:lineRule="auto"/>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（二）餐饮、洗浴、洗涤、洗车经营者直接向雨水排放系统、河道等外环境排放污水的。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64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29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排放去向★</w:t>
            </w:r>
          </w:p>
        </w:tc>
        <w:tc>
          <w:tcPr>
            <w:tcW w:w="5641"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Ⅴ</w:t>
            </w:r>
            <w:r>
              <w:rPr>
                <w:rFonts w:hint="eastAsia" w:ascii="Times New Roman" w:hAnsi="Times New Roman" w:eastAsia="仿宋_GB2312" w:cs="仿宋_GB2312"/>
                <w:highlight w:val="none"/>
              </w:rPr>
              <w:t>类水体或污水集中处理设施</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highlight w:val="none"/>
              </w:rPr>
              <w:t>Ⅳ</w:t>
            </w:r>
            <w:r>
              <w:rPr>
                <w:rFonts w:hint="eastAsia" w:ascii="Times New Roman" w:hAnsi="Times New Roman" w:eastAsia="仿宋_GB2312" w:cs="仿宋_GB2312"/>
                <w:highlight w:val="none"/>
              </w:rPr>
              <w:t>类水体</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highlight w:val="none"/>
              </w:rPr>
              <w:t>Ⅲ</w:t>
            </w:r>
            <w:r>
              <w:rPr>
                <w:rFonts w:hint="eastAsia" w:ascii="Times New Roman" w:hAnsi="Times New Roman" w:eastAsia="仿宋_GB2312" w:cs="仿宋_GB2312"/>
                <w:highlight w:val="none"/>
              </w:rPr>
              <w:t>类水体</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highlight w:val="none"/>
              </w:rPr>
              <w:t>Ⅱ</w:t>
            </w:r>
            <w:r>
              <w:rPr>
                <w:rFonts w:hint="eastAsia" w:ascii="Times New Roman" w:hAnsi="Times New Roman" w:eastAsia="仿宋_GB2312" w:cs="仿宋_GB2312"/>
                <w:highlight w:val="none"/>
              </w:rPr>
              <w:t>类水体</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highlight w:val="none"/>
              </w:rPr>
              <w:t>Ⅰ</w:t>
            </w:r>
            <w:r>
              <w:rPr>
                <w:rFonts w:hint="eastAsia" w:ascii="Times New Roman" w:hAnsi="Times New Roman" w:eastAsia="仿宋_GB2312" w:cs="仿宋_GB2312"/>
                <w:highlight w:val="none"/>
              </w:rPr>
              <w:t>类水体</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违法持续</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时间或违法</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次数（两年内，含本次）</w:t>
            </w:r>
          </w:p>
        </w:tc>
        <w:tc>
          <w:tcPr>
            <w:tcW w:w="5641"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r>
              <w:rPr>
                <w:rFonts w:hint="eastAsia" w:ascii="Times New Roman" w:hAnsi="Times New Roman" w:eastAsia="仿宋_GB2312" w:cs="仿宋_GB2312"/>
                <w:highlight w:val="none"/>
              </w:rPr>
              <w:t>个月以内或</w:t>
            </w:r>
            <w:r>
              <w:rPr>
                <w:rFonts w:ascii="Times New Roman" w:hAnsi="Times New Roman" w:eastAsia="仿宋_GB2312" w:cs="Times New Roman"/>
                <w:highlight w:val="none"/>
              </w:rPr>
              <w:t>2</w:t>
            </w:r>
            <w:r>
              <w:rPr>
                <w:rFonts w:hint="eastAsia" w:ascii="Times New Roman" w:hAnsi="Times New Roman" w:eastAsia="仿宋_GB2312" w:cs="仿宋_GB2312"/>
                <w:highlight w:val="none"/>
              </w:rPr>
              <w:t>次以下</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641"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r>
              <w:rPr>
                <w:rFonts w:hint="eastAsia" w:ascii="Times New Roman" w:hAnsi="Times New Roman" w:eastAsia="仿宋_GB2312" w:cs="仿宋_GB2312"/>
                <w:highlight w:val="none"/>
              </w:rPr>
              <w:t>个月以上</w:t>
            </w:r>
            <w:r>
              <w:rPr>
                <w:rFonts w:ascii="Times New Roman" w:hAnsi="Times New Roman" w:eastAsia="仿宋_GB2312" w:cs="Times New Roman"/>
                <w:highlight w:val="none"/>
              </w:rPr>
              <w:t>6</w:t>
            </w:r>
            <w:r>
              <w:rPr>
                <w:rFonts w:hint="eastAsia" w:ascii="Times New Roman" w:hAnsi="Times New Roman" w:eastAsia="仿宋_GB2312" w:cs="仿宋_GB2312"/>
                <w:highlight w:val="none"/>
              </w:rPr>
              <w:t>个月以内或</w:t>
            </w:r>
            <w:r>
              <w:rPr>
                <w:rFonts w:ascii="Times New Roman" w:hAnsi="Times New Roman" w:eastAsia="仿宋_GB2312" w:cs="Times New Roman"/>
                <w:highlight w:val="none"/>
              </w:rPr>
              <w:t>2</w:t>
            </w:r>
            <w:r>
              <w:rPr>
                <w:rFonts w:hint="eastAsia" w:ascii="Times New Roman" w:hAnsi="Times New Roman" w:eastAsia="仿宋_GB2312" w:cs="仿宋_GB2312"/>
                <w:highlight w:val="none"/>
              </w:rPr>
              <w:t>次</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tcBorders>
              <w:bottom w:val="single" w:color="auto" w:sz="4" w:space="0"/>
            </w:tcBorders>
            <w:vAlign w:val="center"/>
          </w:tcPr>
          <w:p>
            <w:pPr>
              <w:snapToGrid w:val="0"/>
              <w:ind w:firstLine="420"/>
              <w:jc w:val="center"/>
              <w:rPr>
                <w:rFonts w:ascii="Times New Roman" w:hAnsi="Times New Roman" w:cs="Times New Roman"/>
                <w:highlight w:val="none"/>
              </w:rPr>
            </w:pPr>
          </w:p>
        </w:tc>
        <w:tc>
          <w:tcPr>
            <w:tcW w:w="5641" w:type="dxa"/>
            <w:tcBorders>
              <w:bottom w:val="single" w:color="auto" w:sz="4" w:space="0"/>
            </w:tcBorders>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6</w:t>
            </w:r>
            <w:r>
              <w:rPr>
                <w:rFonts w:hint="eastAsia" w:ascii="Times New Roman" w:hAnsi="Times New Roman" w:eastAsia="仿宋_GB2312" w:cs="仿宋_GB2312"/>
                <w:highlight w:val="none"/>
              </w:rPr>
              <w:t>个月以上或</w:t>
            </w:r>
            <w:r>
              <w:rPr>
                <w:rFonts w:ascii="Times New Roman" w:hAnsi="Times New Roman" w:eastAsia="仿宋_GB2312" w:cs="Times New Roman"/>
                <w:highlight w:val="none"/>
              </w:rPr>
              <w:t>3</w:t>
            </w:r>
            <w:r>
              <w:rPr>
                <w:rFonts w:hint="eastAsia" w:ascii="Times New Roman" w:hAnsi="Times New Roman" w:eastAsia="仿宋_GB2312" w:cs="仿宋_GB2312"/>
                <w:highlight w:val="none"/>
              </w:rPr>
              <w:t>次以上</w:t>
            </w:r>
          </w:p>
        </w:tc>
        <w:tc>
          <w:tcPr>
            <w:tcW w:w="2297" w:type="dxa"/>
            <w:tcBorders>
              <w:bottom w:val="single" w:color="auto" w:sz="4" w:space="0"/>
            </w:tcBorders>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5641" w:type="dxa"/>
            <w:vAlign w:val="center"/>
          </w:tcPr>
          <w:p>
            <w:pPr>
              <w:snapToGrid w:val="0"/>
              <w:jc w:val="center"/>
              <w:rPr>
                <w:rFonts w:ascii="Times New Roman" w:hAnsi="Times New Roman" w:cs="Times New Roman"/>
                <w:highlight w:val="none"/>
              </w:rPr>
            </w:pPr>
          </w:p>
        </w:tc>
        <w:tc>
          <w:tcPr>
            <w:tcW w:w="2297" w:type="dxa"/>
            <w:vAlign w:val="center"/>
          </w:tcPr>
          <w:p>
            <w:pPr>
              <w:snapToGrid w:val="0"/>
              <w:jc w:val="center"/>
              <w:rPr>
                <w:rFonts w:ascii="Times New Roman" w:hAnsi="Times New Roman" w:cs="Times New Roman"/>
                <w:highlight w:val="none"/>
              </w:rPr>
            </w:pPr>
          </w:p>
        </w:tc>
      </w:tr>
    </w:tbl>
    <w:p>
      <w:pPr>
        <w:snapToGrid w:val="0"/>
        <w:rPr>
          <w:rFonts w:ascii="Times New Roman" w:hAnsi="Times New Roman" w:eastAsia="仿宋_GB2312" w:cs="Times New Roman"/>
          <w:b/>
          <w:bCs/>
          <w:color w:val="FF0000"/>
          <w:sz w:val="10"/>
          <w:szCs w:val="10"/>
          <w:highlight w:val="none"/>
        </w:rPr>
      </w:pPr>
      <w:r>
        <w:rPr>
          <w:rFonts w:ascii="Times New Roman" w:hAnsi="Times New Roman" w:eastAsia="仿宋_GB2312" w:cs="Times New Roman"/>
          <w:b/>
          <w:bCs/>
          <w:color w:val="FF0000"/>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641"/>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（三）水污染防治类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ind w:firstLine="42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餐饮业经营者未设置隔油设施或者其他油污废水处理设施的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vAlign w:val="center"/>
          </w:tcPr>
          <w:p>
            <w:pPr>
              <w:snapToGrid w:val="0"/>
              <w:spacing w:before="62" w:beforeLines="20" w:line="264"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《山东省水污染防治条例》第五十六条第二款</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餐饮业经营者应当设置隔油设施或者其他油污废水处理设施。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vAlign w:val="center"/>
          </w:tcPr>
          <w:p>
            <w:pPr>
              <w:snapToGrid w:val="0"/>
              <w:spacing w:before="62" w:beforeLines="20" w:line="264"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《山东省水污染防治条例》第七十九条第（三）项</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违反本条例规定，有下列情形之一的，由环境保护主管部门、城市管理部门或者其他负有监督管理职责的部门责令停止违法行为，对单位处二万元以上十万元以下的罚款，对个人处一千元以上一万元以下的罚款：</w:t>
            </w:r>
          </w:p>
          <w:p>
            <w:pPr>
              <w:snapToGrid w:val="0"/>
              <w:spacing w:line="264" w:lineRule="auto"/>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（三）餐饮业经营者未设置隔油设施或者其他油污废水处理设施的。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64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29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未规范设置隔油设施或者其他油污废水处理设施的</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未设置隔油设施或者其他油污废水处理设施的</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排放去向</w:t>
            </w:r>
          </w:p>
        </w:tc>
        <w:tc>
          <w:tcPr>
            <w:tcW w:w="5641"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Ⅴ</w:t>
            </w:r>
            <w:r>
              <w:rPr>
                <w:rFonts w:hint="eastAsia" w:ascii="Times New Roman" w:hAnsi="Times New Roman" w:eastAsia="仿宋_GB2312" w:cs="仿宋_GB2312"/>
                <w:highlight w:val="none"/>
              </w:rPr>
              <w:t>类水体或污水集中处理设施</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highlight w:val="none"/>
              </w:rPr>
              <w:t>Ⅳ</w:t>
            </w:r>
            <w:r>
              <w:rPr>
                <w:rFonts w:hint="eastAsia" w:ascii="Times New Roman" w:hAnsi="Times New Roman" w:eastAsia="仿宋_GB2312" w:cs="仿宋_GB2312"/>
                <w:highlight w:val="none"/>
              </w:rPr>
              <w:t>类水体</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highlight w:val="none"/>
              </w:rPr>
              <w:t>Ⅲ</w:t>
            </w:r>
            <w:r>
              <w:rPr>
                <w:rFonts w:hint="eastAsia" w:ascii="Times New Roman" w:hAnsi="Times New Roman" w:eastAsia="仿宋_GB2312" w:cs="仿宋_GB2312"/>
                <w:highlight w:val="none"/>
              </w:rPr>
              <w:t>类水体</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highlight w:val="none"/>
              </w:rPr>
              <w:t>Ⅱ</w:t>
            </w:r>
            <w:r>
              <w:rPr>
                <w:rFonts w:hint="eastAsia" w:ascii="Times New Roman" w:hAnsi="Times New Roman" w:eastAsia="仿宋_GB2312" w:cs="仿宋_GB2312"/>
                <w:highlight w:val="none"/>
              </w:rPr>
              <w:t>类水体</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highlight w:val="none"/>
              </w:rPr>
              <w:t>Ⅰ</w:t>
            </w:r>
            <w:r>
              <w:rPr>
                <w:rFonts w:hint="eastAsia" w:ascii="Times New Roman" w:hAnsi="Times New Roman" w:eastAsia="仿宋_GB2312" w:cs="仿宋_GB2312"/>
                <w:highlight w:val="none"/>
              </w:rPr>
              <w:t>类水体</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违法持续</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时间</w:t>
            </w:r>
          </w:p>
        </w:tc>
        <w:tc>
          <w:tcPr>
            <w:tcW w:w="5641"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r>
              <w:rPr>
                <w:rFonts w:hint="eastAsia" w:ascii="Times New Roman" w:hAnsi="Times New Roman" w:eastAsia="仿宋_GB2312" w:cs="仿宋_GB2312"/>
                <w:highlight w:val="none"/>
              </w:rPr>
              <w:t>个月以内</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641"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r>
              <w:rPr>
                <w:rFonts w:hint="eastAsia" w:ascii="Times New Roman" w:hAnsi="Times New Roman" w:eastAsia="仿宋_GB2312" w:cs="仿宋_GB2312"/>
                <w:highlight w:val="none"/>
              </w:rPr>
              <w:t>个月以上</w:t>
            </w:r>
            <w:r>
              <w:rPr>
                <w:rFonts w:ascii="Times New Roman" w:hAnsi="Times New Roman" w:eastAsia="仿宋_GB2312" w:cs="Times New Roman"/>
                <w:highlight w:val="none"/>
              </w:rPr>
              <w:t>6</w:t>
            </w:r>
            <w:r>
              <w:rPr>
                <w:rFonts w:hint="eastAsia" w:ascii="Times New Roman" w:hAnsi="Times New Roman" w:eastAsia="仿宋_GB2312" w:cs="仿宋_GB2312"/>
                <w:highlight w:val="none"/>
              </w:rPr>
              <w:t>个月以内</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641"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6</w:t>
            </w:r>
            <w:r>
              <w:rPr>
                <w:rFonts w:hint="eastAsia" w:ascii="Times New Roman" w:hAnsi="Times New Roman" w:eastAsia="仿宋_GB2312" w:cs="仿宋_GB2312"/>
                <w:highlight w:val="none"/>
              </w:rPr>
              <w:t>个月以上</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w:t>
            </w:r>
            <w:r>
              <w:rPr>
                <w:rFonts w:ascii="Times New Roman" w:hAnsi="Times New Roman" w:cs="Times New Roman"/>
                <w:b/>
                <w:bCs/>
                <w:highlight w:val="none"/>
              </w:rPr>
              <w:t xml:space="preserve">  </w:t>
            </w:r>
            <w:r>
              <w:rPr>
                <w:rFonts w:hint="eastAsia" w:ascii="Times New Roman" w:hAnsi="Times New Roman" w:cs="宋体"/>
                <w:b/>
                <w:bCs/>
                <w:highlight w:val="none"/>
              </w:rPr>
              <w:t>注</w:t>
            </w:r>
          </w:p>
        </w:tc>
        <w:tc>
          <w:tcPr>
            <w:tcW w:w="5641" w:type="dxa"/>
            <w:vAlign w:val="center"/>
          </w:tcPr>
          <w:p>
            <w:pPr>
              <w:snapToGrid w:val="0"/>
              <w:jc w:val="center"/>
              <w:rPr>
                <w:rFonts w:ascii="Times New Roman" w:hAnsi="Times New Roman" w:cs="Times New Roman"/>
                <w:highlight w:val="none"/>
              </w:rPr>
            </w:pPr>
          </w:p>
        </w:tc>
        <w:tc>
          <w:tcPr>
            <w:tcW w:w="2297" w:type="dxa"/>
            <w:vAlign w:val="center"/>
          </w:tcPr>
          <w:p>
            <w:pPr>
              <w:snapToGrid w:val="0"/>
              <w:jc w:val="center"/>
              <w:rPr>
                <w:rFonts w:ascii="Times New Roman" w:hAnsi="Times New Roman" w:cs="Times New Roman"/>
                <w:highlight w:val="none"/>
              </w:rPr>
            </w:pPr>
          </w:p>
        </w:tc>
      </w:tr>
    </w:tbl>
    <w:p>
      <w:pPr>
        <w:snapToGrid w:val="0"/>
        <w:rPr>
          <w:rFonts w:ascii="Times New Roman" w:hAnsi="Times New Roman" w:eastAsia="仿宋_GB2312" w:cs="Times New Roman"/>
          <w:b/>
          <w:bCs/>
          <w:color w:val="FF0000"/>
          <w:sz w:val="10"/>
          <w:szCs w:val="10"/>
          <w:highlight w:val="none"/>
        </w:rPr>
      </w:pPr>
      <w:r>
        <w:rPr>
          <w:rFonts w:ascii="Times New Roman" w:hAnsi="Times New Roman" w:eastAsia="仿宋_GB2312" w:cs="Times New Roman"/>
          <w:b/>
          <w:bCs/>
          <w:color w:val="FF0000"/>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925"/>
        <w:gridCol w:w="2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（三）水污染防治类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38" w:type="dxa"/>
            <w:gridSpan w:val="2"/>
            <w:vAlign w:val="center"/>
          </w:tcPr>
          <w:p>
            <w:pPr>
              <w:snapToGrid w:val="0"/>
              <w:ind w:firstLine="420"/>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城镇污水集中处理设施的运营单位发生突发情况时未立即采取应急处理措施的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vAlign w:val="center"/>
          </w:tcPr>
          <w:p>
            <w:pPr>
              <w:snapToGrid w:val="0"/>
              <w:spacing w:before="62" w:beforeLines="20" w:line="264"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《山东省水污染防治条例》第四十六条</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进水水质和水量发生重大变化可能导致出水水质超标，或者发生影响城镇污水集中处理设施安全运行的突发情况时，城镇污水集中处理设施的运营单位应当立即采取应急处理措施，并向城镇排水主管部门、环境保护主管部门报告。城镇排水主管部门或者环境保护主管部门接到报告后，应当及时核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vAlign w:val="center"/>
          </w:tcPr>
          <w:p>
            <w:pPr>
              <w:snapToGrid w:val="0"/>
              <w:spacing w:before="62" w:beforeLines="20" w:line="264"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《山东省水污染防治条例》第八十条</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违反本条例规定，城镇污水集中处理设施的运营单位发生突发情况时未立即采取应急处理措施的，由城镇排水主管部门或者环境保护主管部门责令改正；情节严重的，处二万元以上十万元以下的罚款。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92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0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restart"/>
            <w:vAlign w:val="center"/>
          </w:tcPr>
          <w:p>
            <w:pPr>
              <w:snapToGrid w:val="0"/>
              <w:jc w:val="center"/>
              <w:rPr>
                <w:rFonts w:ascii="Times New Roman" w:hAnsi="Times New Roman" w:cs="Times New Roman"/>
                <w:color w:val="000000"/>
                <w:highlight w:val="none"/>
              </w:rPr>
            </w:pPr>
            <w:r>
              <w:rPr>
                <w:rFonts w:hint="eastAsia" w:ascii="Times New Roman" w:hAnsi="Times New Roman" w:cs="宋体"/>
                <w:b/>
                <w:bCs/>
                <w:color w:val="000000"/>
                <w:highlight w:val="none"/>
              </w:rPr>
              <w:t>违法事实★</w:t>
            </w:r>
          </w:p>
        </w:tc>
        <w:tc>
          <w:tcPr>
            <w:tcW w:w="592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发生突发情况时，未规范采取应急措施，未造成水体污染的</w:t>
            </w:r>
          </w:p>
        </w:tc>
        <w:tc>
          <w:tcPr>
            <w:tcW w:w="201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92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发生突发情况时，未规范采取应急措施，造成部分水体污染的</w:t>
            </w:r>
          </w:p>
        </w:tc>
        <w:tc>
          <w:tcPr>
            <w:tcW w:w="201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92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发生突发情况时，未采取应急措施，造成严重水体污染的</w:t>
            </w:r>
          </w:p>
        </w:tc>
        <w:tc>
          <w:tcPr>
            <w:tcW w:w="201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排放水体</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类别</w:t>
            </w:r>
          </w:p>
        </w:tc>
        <w:tc>
          <w:tcPr>
            <w:tcW w:w="5925"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Ⅴ</w:t>
            </w:r>
            <w:r>
              <w:rPr>
                <w:rFonts w:hint="eastAsia" w:ascii="Times New Roman" w:hAnsi="Times New Roman" w:eastAsia="仿宋_GB2312" w:cs="仿宋_GB2312"/>
                <w:highlight w:val="none"/>
              </w:rPr>
              <w:t>类水体</w:t>
            </w:r>
          </w:p>
        </w:tc>
        <w:tc>
          <w:tcPr>
            <w:tcW w:w="201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925"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highlight w:val="none"/>
              </w:rPr>
              <w:t>Ⅳ</w:t>
            </w:r>
            <w:r>
              <w:rPr>
                <w:rFonts w:hint="eastAsia" w:ascii="Times New Roman" w:hAnsi="Times New Roman" w:eastAsia="仿宋_GB2312" w:cs="仿宋_GB2312"/>
                <w:highlight w:val="none"/>
              </w:rPr>
              <w:t>类水体</w:t>
            </w:r>
          </w:p>
        </w:tc>
        <w:tc>
          <w:tcPr>
            <w:tcW w:w="201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925"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highlight w:val="none"/>
              </w:rPr>
              <w:t>Ⅲ</w:t>
            </w:r>
            <w:r>
              <w:rPr>
                <w:rFonts w:hint="eastAsia" w:ascii="Times New Roman" w:hAnsi="Times New Roman" w:eastAsia="仿宋_GB2312" w:cs="仿宋_GB2312"/>
                <w:highlight w:val="none"/>
              </w:rPr>
              <w:t>类水体</w:t>
            </w:r>
          </w:p>
        </w:tc>
        <w:tc>
          <w:tcPr>
            <w:tcW w:w="201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925"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highlight w:val="none"/>
              </w:rPr>
              <w:t>Ⅱ</w:t>
            </w:r>
            <w:r>
              <w:rPr>
                <w:rFonts w:hint="eastAsia" w:ascii="Times New Roman" w:hAnsi="Times New Roman" w:eastAsia="仿宋_GB2312" w:cs="仿宋_GB2312"/>
                <w:highlight w:val="none"/>
              </w:rPr>
              <w:t>类水体</w:t>
            </w:r>
          </w:p>
        </w:tc>
        <w:tc>
          <w:tcPr>
            <w:tcW w:w="201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925"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highlight w:val="none"/>
              </w:rPr>
              <w:t>Ⅰ</w:t>
            </w:r>
            <w:r>
              <w:rPr>
                <w:rFonts w:hint="eastAsia" w:ascii="Times New Roman" w:hAnsi="Times New Roman" w:eastAsia="仿宋_GB2312" w:cs="仿宋_GB2312"/>
                <w:highlight w:val="none"/>
              </w:rPr>
              <w:t>类水体</w:t>
            </w:r>
          </w:p>
        </w:tc>
        <w:tc>
          <w:tcPr>
            <w:tcW w:w="201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w:t>
            </w:r>
            <w:r>
              <w:rPr>
                <w:rFonts w:ascii="Times New Roman" w:hAnsi="Times New Roman" w:cs="Times New Roman"/>
                <w:b/>
                <w:bCs/>
                <w:highlight w:val="none"/>
              </w:rPr>
              <w:t xml:space="preserve">  </w:t>
            </w:r>
            <w:r>
              <w:rPr>
                <w:rFonts w:hint="eastAsia" w:ascii="Times New Roman" w:hAnsi="Times New Roman" w:cs="宋体"/>
                <w:b/>
                <w:bCs/>
                <w:highlight w:val="none"/>
              </w:rPr>
              <w:t>注</w:t>
            </w:r>
          </w:p>
        </w:tc>
        <w:tc>
          <w:tcPr>
            <w:tcW w:w="5925" w:type="dxa"/>
            <w:vAlign w:val="center"/>
          </w:tcPr>
          <w:p>
            <w:pPr>
              <w:snapToGrid w:val="0"/>
              <w:jc w:val="center"/>
              <w:rPr>
                <w:rFonts w:ascii="Times New Roman" w:hAnsi="Times New Roman" w:cs="Times New Roman"/>
                <w:highlight w:val="none"/>
              </w:rPr>
            </w:pPr>
          </w:p>
        </w:tc>
        <w:tc>
          <w:tcPr>
            <w:tcW w:w="2013" w:type="dxa"/>
            <w:vAlign w:val="center"/>
          </w:tcPr>
          <w:p>
            <w:pPr>
              <w:snapToGrid w:val="0"/>
              <w:jc w:val="center"/>
              <w:rPr>
                <w:rFonts w:ascii="Times New Roman" w:hAnsi="Times New Roman" w:cs="Times New Roman"/>
                <w:highlight w:val="none"/>
              </w:rPr>
            </w:pPr>
          </w:p>
        </w:tc>
      </w:tr>
    </w:tbl>
    <w:p>
      <w:pPr>
        <w:snapToGrid w:val="0"/>
        <w:rPr>
          <w:rFonts w:ascii="Times New Roman" w:hAnsi="Times New Roman" w:eastAsia="仿宋_GB2312" w:cs="Times New Roman"/>
          <w:b/>
          <w:bCs/>
          <w:color w:val="FF0000"/>
          <w:sz w:val="10"/>
          <w:szCs w:val="10"/>
          <w:highlight w:val="none"/>
        </w:rPr>
      </w:pPr>
      <w:r>
        <w:rPr>
          <w:rFonts w:ascii="Times New Roman" w:hAnsi="Times New Roman" w:eastAsia="仿宋_GB2312" w:cs="Times New Roman"/>
          <w:b/>
          <w:bCs/>
          <w:color w:val="FF0000"/>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641"/>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（三）水污染防治类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ind w:firstLine="42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在重点保护水域内采取人工投饵性鱼类网箱、网围等方式从事渔业养殖的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vAlign w:val="center"/>
          </w:tcPr>
          <w:p>
            <w:pPr>
              <w:snapToGrid w:val="0"/>
              <w:spacing w:before="62" w:beforeLines="20" w:line="264"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《山东省水污染防治条例》第五十一条第三款</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禁止在重点保护水域内采取人工投饵性鱼类网箱、网围等方式从事渔业养殖。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vAlign w:val="center"/>
          </w:tcPr>
          <w:p>
            <w:pPr>
              <w:snapToGrid w:val="0"/>
              <w:spacing w:before="62" w:beforeLines="20" w:line="264"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《山东省水污染防治条例》第八十二条第（一）项</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违反本条例规定，有下列情形之一的，由县级以上人民政府环境保护主管部门责令停止违法行为，处二万元以上十万元以下的罚款：</w:t>
            </w:r>
          </w:p>
          <w:p>
            <w:pPr>
              <w:snapToGrid w:val="0"/>
              <w:spacing w:line="264" w:lineRule="auto"/>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（一）在重点保护水域内采取人工投饵性鱼类网箱、网围等方式从事渔业养殖的。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64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29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渔业养殖</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规</w:t>
            </w:r>
            <w:r>
              <w:rPr>
                <w:rFonts w:hint="eastAsia" w:ascii="Times New Roman" w:hAnsi="Times New Roman" w:cs="宋体"/>
                <w:b/>
                <w:bCs/>
                <w:color w:val="000000"/>
                <w:highlight w:val="none"/>
              </w:rPr>
              <w:t>模★</w:t>
            </w:r>
          </w:p>
        </w:tc>
        <w:tc>
          <w:tcPr>
            <w:tcW w:w="564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占地面积小于</w:t>
            </w:r>
            <w:r>
              <w:rPr>
                <w:rFonts w:ascii="Times New Roman" w:hAnsi="Times New Roman" w:eastAsia="仿宋_GB2312" w:cs="Times New Roman"/>
                <w:highlight w:val="none"/>
              </w:rPr>
              <w:t>50m</w:t>
            </w:r>
            <w:r>
              <w:rPr>
                <w:rFonts w:ascii="Times New Roman" w:hAnsi="Times New Roman" w:eastAsia="仿宋_GB2312" w:cs="Times New Roman"/>
                <w:highlight w:val="none"/>
                <w:vertAlign w:val="superscript"/>
              </w:rPr>
              <w:t>2</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641" w:type="dxa"/>
            <w:vAlign w:val="center"/>
          </w:tcPr>
          <w:p>
            <w:pPr>
              <w:snapToGrid w:val="0"/>
              <w:jc w:val="center"/>
              <w:rPr>
                <w:rFonts w:ascii="Times New Roman" w:hAnsi="Times New Roman" w:eastAsia="仿宋_GB2312" w:cs="Times New Roman"/>
                <w:highlight w:val="none"/>
              </w:rPr>
            </w:pPr>
            <w:bookmarkStart w:id="55" w:name="OLE_LINK25"/>
            <w:bookmarkStart w:id="56" w:name="OLE_LINK23"/>
            <w:bookmarkStart w:id="57" w:name="OLE_LINK24"/>
            <w:r>
              <w:rPr>
                <w:rFonts w:hint="eastAsia" w:ascii="Times New Roman" w:hAnsi="Times New Roman" w:eastAsia="仿宋_GB2312" w:cs="仿宋_GB2312"/>
                <w:highlight w:val="none"/>
              </w:rPr>
              <w:t>占地面积在</w:t>
            </w:r>
            <w:r>
              <w:rPr>
                <w:rFonts w:ascii="Times New Roman" w:hAnsi="Times New Roman" w:eastAsia="仿宋_GB2312" w:cs="Times New Roman"/>
                <w:highlight w:val="none"/>
              </w:rPr>
              <w:t>50m</w:t>
            </w:r>
            <w:r>
              <w:rPr>
                <w:rFonts w:ascii="Times New Roman" w:hAnsi="Times New Roman" w:eastAsia="仿宋_GB2312" w:cs="Times New Roman"/>
                <w:highlight w:val="none"/>
                <w:vertAlign w:val="superscript"/>
              </w:rPr>
              <w:t>2</w:t>
            </w:r>
            <w:r>
              <w:rPr>
                <w:rFonts w:hint="eastAsia" w:ascii="Times New Roman" w:hAnsi="Times New Roman" w:eastAsia="仿宋_GB2312" w:cs="仿宋_GB2312"/>
                <w:highlight w:val="none"/>
              </w:rPr>
              <w:t>以上</w:t>
            </w:r>
            <w:bookmarkEnd w:id="55"/>
            <w:bookmarkEnd w:id="56"/>
            <w:bookmarkEnd w:id="57"/>
            <w:r>
              <w:rPr>
                <w:rFonts w:ascii="Times New Roman" w:hAnsi="Times New Roman" w:eastAsia="仿宋_GB2312" w:cs="Times New Roman"/>
                <w:highlight w:val="none"/>
              </w:rPr>
              <w:t>200 m</w:t>
            </w:r>
            <w:r>
              <w:rPr>
                <w:rFonts w:ascii="Times New Roman" w:hAnsi="Times New Roman" w:eastAsia="仿宋_GB2312" w:cs="Times New Roman"/>
                <w:highlight w:val="none"/>
                <w:vertAlign w:val="superscript"/>
              </w:rPr>
              <w:t>2</w:t>
            </w:r>
            <w:r>
              <w:rPr>
                <w:rFonts w:hint="eastAsia" w:ascii="Times New Roman" w:hAnsi="Times New Roman" w:eastAsia="仿宋_GB2312" w:cs="仿宋_GB2312"/>
                <w:highlight w:val="none"/>
              </w:rPr>
              <w:t>以内的</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64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占地面积在</w:t>
            </w:r>
            <w:r>
              <w:rPr>
                <w:rFonts w:ascii="Times New Roman" w:hAnsi="Times New Roman" w:eastAsia="仿宋_GB2312" w:cs="Times New Roman"/>
                <w:highlight w:val="none"/>
              </w:rPr>
              <w:t>200m</w:t>
            </w:r>
            <w:r>
              <w:rPr>
                <w:rFonts w:ascii="Times New Roman" w:hAnsi="Times New Roman" w:eastAsia="仿宋_GB2312" w:cs="Times New Roman"/>
                <w:highlight w:val="none"/>
                <w:vertAlign w:val="superscript"/>
              </w:rPr>
              <w:t>2</w:t>
            </w:r>
            <w:r>
              <w:rPr>
                <w:rFonts w:hint="eastAsia" w:ascii="Times New Roman" w:hAnsi="Times New Roman" w:eastAsia="仿宋_GB2312" w:cs="仿宋_GB2312"/>
                <w:highlight w:val="none"/>
              </w:rPr>
              <w:t>以上的</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违法时间</w:t>
            </w:r>
          </w:p>
        </w:tc>
        <w:tc>
          <w:tcPr>
            <w:tcW w:w="5641"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r>
              <w:rPr>
                <w:rFonts w:hint="eastAsia" w:ascii="Times New Roman" w:hAnsi="Times New Roman" w:eastAsia="仿宋_GB2312" w:cs="仿宋_GB2312"/>
                <w:highlight w:val="none"/>
              </w:rPr>
              <w:t>个月以内</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highlight w:val="none"/>
              </w:rPr>
              <w:t>3</w:t>
            </w:r>
            <w:r>
              <w:rPr>
                <w:rFonts w:hint="eastAsia" w:ascii="Times New Roman" w:hAnsi="Times New Roman" w:eastAsia="仿宋_GB2312" w:cs="仿宋_GB2312"/>
                <w:highlight w:val="none"/>
              </w:rPr>
              <w:t>个月以上</w:t>
            </w:r>
            <w:r>
              <w:rPr>
                <w:rFonts w:ascii="Times New Roman" w:hAnsi="Times New Roman" w:eastAsia="仿宋_GB2312" w:cs="Times New Roman"/>
                <w:highlight w:val="none"/>
              </w:rPr>
              <w:t>6</w:t>
            </w:r>
            <w:r>
              <w:rPr>
                <w:rFonts w:hint="eastAsia" w:ascii="Times New Roman" w:hAnsi="Times New Roman" w:eastAsia="仿宋_GB2312" w:cs="仿宋_GB2312"/>
                <w:highlight w:val="none"/>
              </w:rPr>
              <w:t>个月以内</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highlight w:val="none"/>
              </w:rPr>
              <w:t>6</w:t>
            </w:r>
            <w:r>
              <w:rPr>
                <w:rFonts w:hint="eastAsia" w:ascii="Times New Roman" w:hAnsi="Times New Roman" w:eastAsia="仿宋_GB2312" w:cs="仿宋_GB2312"/>
                <w:highlight w:val="none"/>
              </w:rPr>
              <w:t>个月以上</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5641" w:type="dxa"/>
            <w:vAlign w:val="center"/>
          </w:tcPr>
          <w:p>
            <w:pPr>
              <w:snapToGrid w:val="0"/>
              <w:jc w:val="center"/>
              <w:rPr>
                <w:rFonts w:ascii="Times New Roman" w:hAnsi="Times New Roman" w:cs="Times New Roman"/>
                <w:highlight w:val="none"/>
              </w:rPr>
            </w:pPr>
          </w:p>
        </w:tc>
        <w:tc>
          <w:tcPr>
            <w:tcW w:w="2297" w:type="dxa"/>
            <w:vAlign w:val="center"/>
          </w:tcPr>
          <w:p>
            <w:pPr>
              <w:snapToGrid w:val="0"/>
              <w:jc w:val="center"/>
              <w:rPr>
                <w:rFonts w:ascii="Times New Roman" w:hAnsi="Times New Roman" w:cs="Times New Roman"/>
                <w:highlight w:val="none"/>
              </w:rPr>
            </w:pPr>
          </w:p>
        </w:tc>
      </w:tr>
    </w:tbl>
    <w:p>
      <w:pPr>
        <w:snapToGrid w:val="0"/>
        <w:rPr>
          <w:rFonts w:ascii="Times New Roman" w:hAnsi="Times New Roman" w:eastAsia="仿宋_GB2312" w:cs="Times New Roman"/>
          <w:b/>
          <w:bCs/>
          <w:color w:val="FF0000"/>
          <w:sz w:val="10"/>
          <w:szCs w:val="10"/>
          <w:highlight w:val="none"/>
        </w:rPr>
      </w:pPr>
      <w:r>
        <w:rPr>
          <w:rFonts w:ascii="Times New Roman" w:hAnsi="Times New Roman" w:eastAsia="仿宋_GB2312" w:cs="Times New Roman"/>
          <w:b/>
          <w:bCs/>
          <w:color w:val="FF0000"/>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641"/>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（三）水污染防治类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spacing w:before="62" w:beforeLines="20"/>
              <w:ind w:firstLine="420"/>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从事危险化学品生产、运输、贮存、处置的单位和个人，未按照规定配备水污染事故应急设施的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vAlign w:val="center"/>
          </w:tcPr>
          <w:p>
            <w:pPr>
              <w:snapToGrid w:val="0"/>
              <w:spacing w:before="62" w:beforeLines="20" w:line="264" w:lineRule="auto"/>
              <w:ind w:firstLine="420"/>
              <w:rPr>
                <w:rFonts w:ascii="Times New Roman" w:hAnsi="Times New Roman" w:eastAsia="仿宋_GB2312" w:cs="Times New Roman"/>
                <w:color w:val="000000"/>
                <w:highlight w:val="none"/>
              </w:rPr>
            </w:pPr>
            <w:r>
              <w:rPr>
                <w:rFonts w:hint="eastAsia" w:ascii="Times New Roman" w:hAnsi="Times New Roman" w:eastAsia="仿宋_GB2312" w:cs="仿宋_GB2312"/>
                <w:b/>
                <w:bCs/>
                <w:color w:val="000000"/>
                <w:highlight w:val="none"/>
              </w:rPr>
              <w:t>《山东省水污染防治条例》第六十七条第二款</w:t>
            </w:r>
            <w:r>
              <w:rPr>
                <w:rFonts w:ascii="Times New Roman" w:hAnsi="Times New Roman" w:eastAsia="仿宋_GB2312" w:cs="Times New Roman"/>
                <w:b/>
                <w:bCs/>
                <w:color w:val="000000"/>
                <w:highlight w:val="none"/>
              </w:rPr>
              <w:t xml:space="preserve"> </w:t>
            </w:r>
            <w:r>
              <w:rPr>
                <w:rFonts w:hint="eastAsia" w:ascii="Times New Roman" w:hAnsi="Times New Roman" w:eastAsia="仿宋_GB2312" w:cs="仿宋_GB2312"/>
                <w:color w:val="000000"/>
                <w:highlight w:val="none"/>
              </w:rPr>
              <w:t>从事危险化学品生产、运输、贮存、处置的单位和个人，应当按照规定配备水污染事故应急设施。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vAlign w:val="center"/>
          </w:tcPr>
          <w:p>
            <w:pPr>
              <w:snapToGrid w:val="0"/>
              <w:spacing w:before="62" w:beforeLines="20" w:line="264"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《山东省水污染防治条例》第八十二条第（二）项</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违反本条例规定，有下列情形之一的，由县级以上人民政府环境保护主管部门责令停止违法行为，处二万元以上十万元以下的罚款：</w:t>
            </w:r>
          </w:p>
          <w:p>
            <w:pPr>
              <w:snapToGrid w:val="0"/>
              <w:spacing w:before="62" w:beforeLines="20" w:line="264" w:lineRule="auto"/>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（二）从事危险化学品生产、运输、贮存、处置的单位和个人，未按照规定配备水污染事故应急设施的。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64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29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未按照规定配备水污染事故应急设施的</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未配备水污染事故应急设施的</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违法时间</w:t>
            </w:r>
          </w:p>
        </w:tc>
        <w:tc>
          <w:tcPr>
            <w:tcW w:w="5641"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r>
              <w:rPr>
                <w:rFonts w:hint="eastAsia" w:ascii="Times New Roman" w:hAnsi="Times New Roman" w:eastAsia="仿宋_GB2312" w:cs="仿宋_GB2312"/>
                <w:highlight w:val="none"/>
              </w:rPr>
              <w:t>个月以内</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highlight w:val="none"/>
              </w:rPr>
              <w:t>3</w:t>
            </w:r>
            <w:r>
              <w:rPr>
                <w:rFonts w:hint="eastAsia" w:ascii="Times New Roman" w:hAnsi="Times New Roman" w:eastAsia="仿宋_GB2312" w:cs="仿宋_GB2312"/>
                <w:highlight w:val="none"/>
              </w:rPr>
              <w:t>个月以上</w:t>
            </w:r>
            <w:r>
              <w:rPr>
                <w:rFonts w:ascii="Times New Roman" w:hAnsi="Times New Roman" w:eastAsia="仿宋_GB2312" w:cs="Times New Roman"/>
                <w:highlight w:val="none"/>
              </w:rPr>
              <w:t>6</w:t>
            </w:r>
            <w:r>
              <w:rPr>
                <w:rFonts w:hint="eastAsia" w:ascii="Times New Roman" w:hAnsi="Times New Roman" w:eastAsia="仿宋_GB2312" w:cs="仿宋_GB2312"/>
                <w:highlight w:val="none"/>
              </w:rPr>
              <w:t>个月以内</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highlight w:val="none"/>
              </w:rPr>
              <w:t>6</w:t>
            </w:r>
            <w:r>
              <w:rPr>
                <w:rFonts w:hint="eastAsia" w:ascii="Times New Roman" w:hAnsi="Times New Roman" w:eastAsia="仿宋_GB2312" w:cs="仿宋_GB2312"/>
                <w:highlight w:val="none"/>
              </w:rPr>
              <w:t>个月以上</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5641" w:type="dxa"/>
            <w:vAlign w:val="center"/>
          </w:tcPr>
          <w:p>
            <w:pPr>
              <w:snapToGrid w:val="0"/>
              <w:jc w:val="center"/>
              <w:rPr>
                <w:rFonts w:ascii="Times New Roman" w:hAnsi="Times New Roman" w:cs="Times New Roman"/>
                <w:highlight w:val="none"/>
              </w:rPr>
            </w:pPr>
          </w:p>
        </w:tc>
        <w:tc>
          <w:tcPr>
            <w:tcW w:w="2297" w:type="dxa"/>
            <w:vAlign w:val="center"/>
          </w:tcPr>
          <w:p>
            <w:pPr>
              <w:snapToGrid w:val="0"/>
              <w:jc w:val="center"/>
              <w:rPr>
                <w:rFonts w:ascii="Times New Roman" w:hAnsi="Times New Roman" w:cs="Times New Roman"/>
                <w:highlight w:val="none"/>
              </w:rPr>
            </w:pPr>
          </w:p>
        </w:tc>
      </w:tr>
    </w:tbl>
    <w:p>
      <w:pPr>
        <w:snapToGrid w:val="0"/>
        <w:rPr>
          <w:rFonts w:ascii="Times New Roman" w:hAnsi="Times New Roman" w:eastAsia="仿宋_GB2312" w:cs="Times New Roman"/>
          <w:b/>
          <w:bCs/>
          <w:color w:val="FF0000"/>
          <w:sz w:val="10"/>
          <w:szCs w:val="10"/>
          <w:highlight w:val="none"/>
        </w:rPr>
      </w:pPr>
      <w:r>
        <w:rPr>
          <w:rFonts w:ascii="Times New Roman" w:hAnsi="Times New Roman" w:eastAsia="仿宋_GB2312" w:cs="Times New Roman"/>
          <w:b/>
          <w:bCs/>
          <w:color w:val="FF0000"/>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641"/>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（三）水污染防治类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38" w:type="dxa"/>
            <w:gridSpan w:val="2"/>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损毁、擅自移动饮用水水源保护区地理界标、警示标志和隔离防护设施的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vAlign w:val="center"/>
          </w:tcPr>
          <w:p>
            <w:pPr>
              <w:snapToGrid w:val="0"/>
              <w:spacing w:before="62" w:beforeLines="20" w:line="312"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《山东省水污染防治条例》第五十八条第三款</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禁止损毁、擅自移动地理界标、警示标志和隔离防护设施。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vAlign w:val="center"/>
          </w:tcPr>
          <w:p>
            <w:pPr>
              <w:snapToGrid w:val="0"/>
              <w:spacing w:before="62" w:beforeLines="20" w:line="312"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《山东省水污染防治条例》第八十五条</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违反本条例规定，损毁、擅自移动饮用水水源保护区地理界标、警示标志和隔离防护设施的，由县级以上人民政府环境保护主管部门或者其他负有监督管理职责的部门责令停止违法行为，处一千元以上一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64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29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宋体"/>
                <w:b/>
                <w:bCs/>
                <w:color w:val="000000"/>
                <w:highlight w:val="none"/>
              </w:rPr>
            </w:pPr>
            <w:r>
              <w:rPr>
                <w:rFonts w:hint="eastAsia" w:ascii="Times New Roman" w:hAnsi="Times New Roman" w:cs="宋体"/>
                <w:b/>
                <w:bCs/>
                <w:color w:val="000000"/>
                <w:highlight w:val="none"/>
              </w:rPr>
              <w:t>违法行为★</w:t>
            </w:r>
          </w:p>
        </w:tc>
        <w:tc>
          <w:tcPr>
            <w:tcW w:w="5641"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损毁、擅自移动地理界标</w:t>
            </w:r>
            <w:r>
              <w:rPr>
                <w:rFonts w:ascii="Times New Roman" w:hAnsi="Times New Roman" w:eastAsia="仿宋_GB2312" w:cs="仿宋_GB2312"/>
                <w:color w:val="000000"/>
                <w:highlight w:val="none"/>
              </w:rPr>
              <w:t>的</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宋体"/>
                <w:b/>
                <w:bCs/>
                <w:color w:val="000000"/>
                <w:highlight w:val="none"/>
              </w:rPr>
            </w:pPr>
          </w:p>
        </w:tc>
        <w:tc>
          <w:tcPr>
            <w:tcW w:w="5641"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损毁、擅自移动警示标志</w:t>
            </w:r>
            <w:r>
              <w:rPr>
                <w:rFonts w:ascii="Times New Roman" w:hAnsi="Times New Roman" w:eastAsia="仿宋_GB2312" w:cs="仿宋_GB2312"/>
                <w:color w:val="000000"/>
                <w:highlight w:val="none"/>
              </w:rPr>
              <w:t>的</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宋体"/>
                <w:b/>
                <w:bCs/>
                <w:color w:val="000000"/>
                <w:highlight w:val="none"/>
              </w:rPr>
            </w:pPr>
          </w:p>
        </w:tc>
        <w:tc>
          <w:tcPr>
            <w:tcW w:w="5641"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损毁、擅自移动隔离防护设施</w:t>
            </w:r>
            <w:r>
              <w:rPr>
                <w:rFonts w:ascii="Times New Roman" w:hAnsi="Times New Roman" w:eastAsia="仿宋_GB2312" w:cs="仿宋_GB2312"/>
                <w:color w:val="000000"/>
                <w:highlight w:val="none"/>
              </w:rPr>
              <w:t>的</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水体类别</w:t>
            </w:r>
          </w:p>
        </w:tc>
        <w:tc>
          <w:tcPr>
            <w:tcW w:w="564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饮用水水源准保护区</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饮用水水源二级保护区内</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饮用水水源一级保护区内</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w:t>
            </w:r>
            <w:r>
              <w:rPr>
                <w:rFonts w:ascii="Times New Roman" w:hAnsi="Times New Roman" w:cs="Times New Roman"/>
                <w:b/>
                <w:bCs/>
                <w:highlight w:val="none"/>
              </w:rPr>
              <w:t xml:space="preserve">  </w:t>
            </w:r>
            <w:r>
              <w:rPr>
                <w:rFonts w:hint="eastAsia" w:ascii="Times New Roman" w:hAnsi="Times New Roman" w:cs="宋体"/>
                <w:b/>
                <w:bCs/>
                <w:highlight w:val="none"/>
              </w:rPr>
              <w:t>注</w:t>
            </w:r>
          </w:p>
        </w:tc>
        <w:tc>
          <w:tcPr>
            <w:tcW w:w="5641" w:type="dxa"/>
            <w:vAlign w:val="center"/>
          </w:tcPr>
          <w:p>
            <w:pPr>
              <w:snapToGrid w:val="0"/>
              <w:jc w:val="center"/>
              <w:rPr>
                <w:rFonts w:ascii="Times New Roman" w:hAnsi="Times New Roman" w:cs="Times New Roman"/>
                <w:highlight w:val="none"/>
              </w:rPr>
            </w:pPr>
          </w:p>
        </w:tc>
        <w:tc>
          <w:tcPr>
            <w:tcW w:w="2297" w:type="dxa"/>
            <w:vAlign w:val="center"/>
          </w:tcPr>
          <w:p>
            <w:pPr>
              <w:snapToGrid w:val="0"/>
              <w:jc w:val="center"/>
              <w:rPr>
                <w:rFonts w:ascii="Times New Roman" w:hAnsi="Times New Roman" w:cs="Times New Roman"/>
                <w:highlight w:val="none"/>
              </w:rPr>
            </w:pPr>
          </w:p>
        </w:tc>
      </w:tr>
    </w:tbl>
    <w:p>
      <w:pPr>
        <w:snapToGrid w:val="0"/>
        <w:rPr>
          <w:rFonts w:ascii="Times New Roman" w:hAnsi="Times New Roman" w:eastAsia="仿宋_GB2312" w:cs="Times New Roman"/>
          <w:b/>
          <w:bCs/>
          <w:color w:val="FF0000"/>
          <w:sz w:val="10"/>
          <w:szCs w:val="10"/>
          <w:highlight w:val="none"/>
        </w:rPr>
      </w:pPr>
      <w:r>
        <w:rPr>
          <w:rFonts w:ascii="Times New Roman" w:hAnsi="Times New Roman" w:eastAsia="仿宋_GB2312" w:cs="Times New Roman"/>
          <w:b/>
          <w:bCs/>
          <w:color w:val="FF0000"/>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641"/>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（三）水污染防治类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spacing w:before="62" w:beforeLines="20"/>
              <w:ind w:firstLine="420"/>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在饮用水水源保护区内建设工业固体废物集中贮存、处置设施、场所或者生活垃圾填埋场的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vAlign w:val="center"/>
          </w:tcPr>
          <w:p>
            <w:pPr>
              <w:snapToGrid w:val="0"/>
              <w:spacing w:before="62" w:beforeLines="20" w:line="312"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《山东省水污染防治条例》第六十条第（三）项</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在饮用水水源二级保护区内，除禁止本条例第五十九条规定的行为以外，禁止从事下列行为：</w:t>
            </w:r>
          </w:p>
          <w:p>
            <w:pPr>
              <w:snapToGrid w:val="0"/>
              <w:spacing w:line="312" w:lineRule="auto"/>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（三）建设工业固体废物集中贮存、处置设施、场所或者生活垃圾填埋场。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vAlign w:val="center"/>
          </w:tcPr>
          <w:p>
            <w:pPr>
              <w:snapToGrid w:val="0"/>
              <w:spacing w:before="62" w:beforeLines="20" w:line="312"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《山东省水污染防治条例》第八十六条第一款第（一）项</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违反本条例规定，有下列情形之一的，由县级以上人民政府环境保护主管部门责令停止违法行为，处十万元以上五十万元以下的罚款，并报经有批准权的人民政府批准，责令拆除或者关闭：</w:t>
            </w:r>
          </w:p>
          <w:p>
            <w:pPr>
              <w:snapToGrid w:val="0"/>
              <w:spacing w:line="312" w:lineRule="auto"/>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（一）在饮用水水源保护区内建设工业固体废物集中贮存、处置设施、场所或者生活垃圾填埋场的。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64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29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建设情况★</w:t>
            </w: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项目未建成的</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项目已建成未投运，未造成水体污染的</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项目已建成投入使用，或造成水体污染的</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贮存、处置、填埋能力</w:t>
            </w:r>
          </w:p>
        </w:tc>
        <w:tc>
          <w:tcPr>
            <w:tcW w:w="5641" w:type="dxa"/>
            <w:vAlign w:val="center"/>
          </w:tcPr>
          <w:p>
            <w:pPr>
              <w:pStyle w:val="12"/>
              <w:snapToGrid w:val="0"/>
              <w:spacing w:before="0" w:beforeAutospacing="0" w:after="0" w:afterAutospacing="0"/>
              <w:ind w:left="2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1000m</w:t>
            </w:r>
            <w:r>
              <w:rPr>
                <w:rFonts w:ascii="Times New Roman" w:hAnsi="Times New Roman" w:eastAsia="仿宋_GB2312" w:cs="Times New Roman"/>
                <w:color w:val="000000"/>
                <w:sz w:val="21"/>
                <w:szCs w:val="21"/>
                <w:highlight w:val="none"/>
                <w:vertAlign w:val="superscript"/>
              </w:rPr>
              <w:t>3</w:t>
            </w:r>
            <w:r>
              <w:rPr>
                <w:rFonts w:hint="eastAsia" w:ascii="Times New Roman" w:hAnsi="Times New Roman" w:eastAsia="仿宋_GB2312" w:cs="仿宋_GB2312"/>
                <w:color w:val="000000"/>
                <w:sz w:val="21"/>
                <w:szCs w:val="21"/>
                <w:highlight w:val="none"/>
              </w:rPr>
              <w:t>以下的</w:t>
            </w:r>
          </w:p>
        </w:tc>
        <w:tc>
          <w:tcPr>
            <w:tcW w:w="2297" w:type="dxa"/>
            <w:vAlign w:val="center"/>
          </w:tcPr>
          <w:p>
            <w:pPr>
              <w:pStyle w:val="12"/>
              <w:snapToGrid w:val="0"/>
              <w:spacing w:before="0" w:beforeAutospacing="0" w:after="0" w:afterAutospacing="0"/>
              <w:jc w:val="center"/>
              <w:rPr>
                <w:rFonts w:ascii="Times New Roman" w:hAnsi="Times New Roman" w:cs="Times New Roman"/>
                <w:color w:val="000000"/>
                <w:highlight w:val="none"/>
              </w:rPr>
            </w:pPr>
            <w:r>
              <w:rPr>
                <w:rFonts w:ascii="Times New Roman" w:hAnsi="Times New Roman" w:eastAsia="仿宋_GB2312" w:cs="Times New Roman"/>
                <w:color w:val="000000"/>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641"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1000m</w:t>
            </w:r>
            <w:r>
              <w:rPr>
                <w:rFonts w:ascii="Times New Roman" w:hAnsi="Times New Roman" w:eastAsia="仿宋_GB2312" w:cs="Times New Roman"/>
                <w:color w:val="000000"/>
                <w:sz w:val="21"/>
                <w:szCs w:val="21"/>
                <w:highlight w:val="none"/>
                <w:vertAlign w:val="superscript"/>
              </w:rPr>
              <w:t>3</w:t>
            </w:r>
            <w:r>
              <w:rPr>
                <w:rFonts w:hint="eastAsia" w:ascii="Times New Roman" w:hAnsi="Times New Roman" w:eastAsia="仿宋_GB2312" w:cs="仿宋_GB2312"/>
                <w:color w:val="000000"/>
                <w:sz w:val="21"/>
                <w:szCs w:val="21"/>
                <w:highlight w:val="none"/>
              </w:rPr>
              <w:t>以上</w:t>
            </w:r>
            <w:r>
              <w:rPr>
                <w:rFonts w:ascii="Times New Roman" w:hAnsi="Times New Roman" w:eastAsia="仿宋_GB2312" w:cs="Times New Roman"/>
                <w:color w:val="000000"/>
                <w:sz w:val="21"/>
                <w:szCs w:val="21"/>
                <w:highlight w:val="none"/>
              </w:rPr>
              <w:t>2000m</w:t>
            </w:r>
            <w:r>
              <w:rPr>
                <w:rFonts w:ascii="Times New Roman" w:hAnsi="Times New Roman" w:eastAsia="仿宋_GB2312" w:cs="Times New Roman"/>
                <w:color w:val="000000"/>
                <w:sz w:val="21"/>
                <w:szCs w:val="21"/>
                <w:highlight w:val="none"/>
                <w:vertAlign w:val="superscript"/>
              </w:rPr>
              <w:t>3</w:t>
            </w:r>
            <w:r>
              <w:rPr>
                <w:rFonts w:hint="eastAsia" w:ascii="Times New Roman" w:hAnsi="Times New Roman" w:eastAsia="仿宋_GB2312" w:cs="仿宋_GB2312"/>
                <w:color w:val="000000"/>
                <w:sz w:val="21"/>
                <w:szCs w:val="21"/>
                <w:highlight w:val="none"/>
              </w:rPr>
              <w:t>以下的</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2000m</w:t>
            </w:r>
            <w:r>
              <w:rPr>
                <w:rFonts w:ascii="Times New Roman" w:hAnsi="Times New Roman" w:eastAsia="仿宋_GB2312" w:cs="Times New Roman"/>
                <w:color w:val="000000"/>
                <w:highlight w:val="none"/>
                <w:vertAlign w:val="superscript"/>
              </w:rPr>
              <w:t>3</w:t>
            </w:r>
            <w:r>
              <w:rPr>
                <w:rFonts w:hint="eastAsia" w:ascii="Times New Roman" w:hAnsi="Times New Roman" w:eastAsia="仿宋_GB2312" w:cs="仿宋_GB2312"/>
                <w:color w:val="000000"/>
                <w:highlight w:val="none"/>
              </w:rPr>
              <w:t>以上</w:t>
            </w:r>
            <w:r>
              <w:rPr>
                <w:rFonts w:ascii="Times New Roman" w:hAnsi="Times New Roman" w:eastAsia="仿宋_GB2312" w:cs="Times New Roman"/>
                <w:color w:val="000000"/>
                <w:highlight w:val="none"/>
              </w:rPr>
              <w:t>5000m</w:t>
            </w:r>
            <w:r>
              <w:rPr>
                <w:rFonts w:ascii="Times New Roman" w:hAnsi="Times New Roman" w:eastAsia="仿宋_GB2312" w:cs="Times New Roman"/>
                <w:color w:val="000000"/>
                <w:highlight w:val="none"/>
                <w:vertAlign w:val="superscript"/>
              </w:rPr>
              <w:t>3</w:t>
            </w:r>
            <w:r>
              <w:rPr>
                <w:rFonts w:hint="eastAsia" w:ascii="Times New Roman" w:hAnsi="Times New Roman" w:eastAsia="仿宋_GB2312" w:cs="仿宋_GB2312"/>
                <w:color w:val="000000"/>
                <w:highlight w:val="none"/>
              </w:rPr>
              <w:t>以下的</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641"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highlight w:val="none"/>
              </w:rPr>
              <w:t>5000</w:t>
            </w:r>
            <w:r>
              <w:rPr>
                <w:rFonts w:ascii="Times New Roman" w:hAnsi="Times New Roman" w:eastAsia="仿宋_GB2312" w:cs="Times New Roman"/>
                <w:color w:val="000000"/>
                <w:sz w:val="21"/>
                <w:szCs w:val="21"/>
                <w:highlight w:val="none"/>
              </w:rPr>
              <w:t>m</w:t>
            </w:r>
            <w:r>
              <w:rPr>
                <w:rFonts w:ascii="Times New Roman" w:hAnsi="Times New Roman" w:eastAsia="仿宋_GB2312" w:cs="Times New Roman"/>
                <w:color w:val="000000"/>
                <w:sz w:val="21"/>
                <w:szCs w:val="21"/>
                <w:highlight w:val="none"/>
                <w:vertAlign w:val="superscript"/>
              </w:rPr>
              <w:t>3</w:t>
            </w:r>
            <w:r>
              <w:rPr>
                <w:rFonts w:hint="eastAsia" w:ascii="Times New Roman" w:hAnsi="Times New Roman" w:eastAsia="仿宋_GB2312" w:cs="仿宋_GB2312"/>
                <w:color w:val="000000"/>
                <w:highlight w:val="none"/>
              </w:rPr>
              <w:t>以上</w:t>
            </w:r>
            <w:r>
              <w:rPr>
                <w:rFonts w:ascii="Times New Roman" w:hAnsi="Times New Roman" w:eastAsia="仿宋_GB2312" w:cs="Times New Roman"/>
                <w:color w:val="000000"/>
                <w:highlight w:val="none"/>
              </w:rPr>
              <w:t>10000</w:t>
            </w:r>
            <w:r>
              <w:rPr>
                <w:rFonts w:ascii="Times New Roman" w:hAnsi="Times New Roman" w:eastAsia="仿宋_GB2312" w:cs="Times New Roman"/>
                <w:color w:val="000000"/>
                <w:sz w:val="21"/>
                <w:szCs w:val="21"/>
                <w:highlight w:val="none"/>
              </w:rPr>
              <w:t>m</w:t>
            </w:r>
            <w:r>
              <w:rPr>
                <w:rFonts w:ascii="Times New Roman" w:hAnsi="Times New Roman" w:eastAsia="仿宋_GB2312" w:cs="Times New Roman"/>
                <w:color w:val="000000"/>
                <w:sz w:val="21"/>
                <w:szCs w:val="21"/>
                <w:highlight w:val="none"/>
                <w:vertAlign w:val="superscript"/>
              </w:rPr>
              <w:t>3</w:t>
            </w:r>
            <w:r>
              <w:rPr>
                <w:rFonts w:hint="eastAsia" w:ascii="Times New Roman" w:hAnsi="Times New Roman" w:eastAsia="仿宋_GB2312" w:cs="仿宋_GB2312"/>
                <w:color w:val="000000"/>
                <w:highlight w:val="none"/>
              </w:rPr>
              <w:t>以下的</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641"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10000m</w:t>
            </w:r>
            <w:r>
              <w:rPr>
                <w:rFonts w:ascii="Times New Roman" w:hAnsi="Times New Roman" w:eastAsia="仿宋_GB2312" w:cs="Times New Roman"/>
                <w:color w:val="000000"/>
                <w:sz w:val="21"/>
                <w:szCs w:val="21"/>
                <w:highlight w:val="none"/>
                <w:vertAlign w:val="superscript"/>
              </w:rPr>
              <w:t>3</w:t>
            </w:r>
            <w:r>
              <w:rPr>
                <w:rFonts w:hint="eastAsia" w:ascii="Times New Roman" w:hAnsi="Times New Roman" w:eastAsia="仿宋_GB2312" w:cs="仿宋_GB2312"/>
                <w:color w:val="000000"/>
                <w:sz w:val="21"/>
                <w:szCs w:val="21"/>
                <w:highlight w:val="none"/>
              </w:rPr>
              <w:t>以上的</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工业固体</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废物类别</w:t>
            </w: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color w:val="000000"/>
                <w:highlight w:val="none"/>
              </w:rPr>
              <w:t>Ⅰ</w:t>
            </w:r>
            <w:r>
              <w:rPr>
                <w:rFonts w:hint="eastAsia" w:ascii="Times New Roman" w:hAnsi="Times New Roman" w:eastAsia="仿宋_GB2312" w:cs="仿宋_GB2312"/>
                <w:color w:val="000000"/>
                <w:highlight w:val="none"/>
              </w:rPr>
              <w:t>类一般工业固体废物</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Ⅱ</w:t>
            </w:r>
            <w:r>
              <w:rPr>
                <w:rFonts w:hint="eastAsia" w:ascii="Times New Roman" w:hAnsi="Times New Roman" w:eastAsia="仿宋_GB2312" w:cs="仿宋_GB2312"/>
                <w:highlight w:val="none"/>
              </w:rPr>
              <w:t>类一般工业固体废物</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生活垃圾填埋场</w:t>
            </w:r>
          </w:p>
        </w:tc>
        <w:tc>
          <w:tcPr>
            <w:tcW w:w="229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5641" w:type="dxa"/>
            <w:vAlign w:val="center"/>
          </w:tcPr>
          <w:p>
            <w:pPr>
              <w:snapToGrid w:val="0"/>
              <w:jc w:val="center"/>
              <w:rPr>
                <w:rFonts w:ascii="Times New Roman" w:hAnsi="Times New Roman" w:cs="Times New Roman"/>
                <w:highlight w:val="none"/>
              </w:rPr>
            </w:pPr>
          </w:p>
        </w:tc>
        <w:tc>
          <w:tcPr>
            <w:tcW w:w="2297" w:type="dxa"/>
            <w:vAlign w:val="center"/>
          </w:tcPr>
          <w:p>
            <w:pPr>
              <w:snapToGrid w:val="0"/>
              <w:jc w:val="center"/>
              <w:rPr>
                <w:rFonts w:ascii="Times New Roman" w:hAnsi="Times New Roman" w:cs="Times New Roman"/>
                <w:highlight w:val="none"/>
              </w:rPr>
            </w:pPr>
          </w:p>
        </w:tc>
      </w:tr>
    </w:tbl>
    <w:p>
      <w:pPr>
        <w:snapToGrid w:val="0"/>
        <w:rPr>
          <w:rFonts w:ascii="Times New Roman" w:hAnsi="Times New Roman" w:eastAsia="仿宋_GB2312" w:cs="Times New Roman"/>
          <w:b/>
          <w:bCs/>
          <w:color w:val="FF0000"/>
          <w:sz w:val="10"/>
          <w:szCs w:val="10"/>
          <w:highlight w:val="none"/>
        </w:rPr>
      </w:pPr>
      <w:r>
        <w:rPr>
          <w:rFonts w:ascii="Times New Roman" w:hAnsi="Times New Roman" w:eastAsia="仿宋_GB2312" w:cs="Times New Roman"/>
          <w:b/>
          <w:bCs/>
          <w:color w:val="FF0000"/>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641"/>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（三）水污染防治类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在饮用水水源保护区设置装卸垃圾、粪便、油类及有毒有害物品的码头的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vAlign w:val="center"/>
          </w:tcPr>
          <w:p>
            <w:pPr>
              <w:snapToGrid w:val="0"/>
              <w:spacing w:before="62" w:beforeLines="20" w:line="264"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《山东省水污染防治条例》第六十条第（四）项</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在饮用水水源二级保护区内，除禁止本条例第五十九条规定的行为以外，禁止从事下列行为：</w:t>
            </w:r>
          </w:p>
          <w:p>
            <w:pPr>
              <w:snapToGrid w:val="0"/>
              <w:spacing w:line="264" w:lineRule="auto"/>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（四）设立装卸垃圾、粪便、油类和有毒物品的码头。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vAlign w:val="center"/>
          </w:tcPr>
          <w:p>
            <w:pPr>
              <w:snapToGrid w:val="0"/>
              <w:spacing w:before="62" w:beforeLines="20" w:line="264"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《山东省水污染防治条例》第八十六条第一款第（二）项</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违反本条例规定，有下列情形之一的，由县级以上人民政府环境保护主管部门责令停止违法行为，处十万元以上五十万元以下的罚款，并报经有批准权的人民政府批准，责令拆除或者关闭：</w:t>
            </w:r>
          </w:p>
          <w:p>
            <w:pPr>
              <w:snapToGrid w:val="0"/>
              <w:spacing w:line="264" w:lineRule="auto"/>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（二）在饮用水水源保护区设置装卸垃圾、粪便、油类及有毒有害物品的码头的。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64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29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建设情况★</w:t>
            </w: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项目未建成的</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项目已建成，未造成水体污染的</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项目已建成投入使用，或造成水体污染的</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码头规模</w:t>
            </w: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年吞吐量</w:t>
            </w:r>
            <w:r>
              <w:rPr>
                <w:rFonts w:hint="eastAsia" w:ascii="Times New Roman" w:hAnsi="Times New Roman" w:eastAsia="仿宋_GB2312" w:cs="仿宋_GB2312"/>
                <w:color w:val="000000"/>
                <w:highlight w:val="none"/>
                <w:shd w:val="clear" w:color="auto" w:fill="FFFFFF"/>
              </w:rPr>
              <w:t>少于</w:t>
            </w:r>
            <w:r>
              <w:rPr>
                <w:rFonts w:ascii="Times New Roman" w:hAnsi="Times New Roman" w:eastAsia="仿宋_GB2312" w:cs="Times New Roman"/>
                <w:color w:val="000000"/>
                <w:highlight w:val="none"/>
                <w:shd w:val="clear" w:color="auto" w:fill="FFFFFF"/>
              </w:rPr>
              <w:t>100</w:t>
            </w:r>
            <w:r>
              <w:rPr>
                <w:rFonts w:hint="eastAsia" w:ascii="Times New Roman" w:hAnsi="Times New Roman" w:eastAsia="仿宋_GB2312" w:cs="仿宋_GB2312"/>
                <w:color w:val="000000"/>
                <w:highlight w:val="none"/>
                <w:shd w:val="clear" w:color="auto" w:fill="FFFFFF"/>
              </w:rPr>
              <w:t>万吨</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shd w:val="clear" w:color="auto" w:fill="FFFFFF"/>
              </w:rPr>
              <w:t>年吞吐量大于</w:t>
            </w:r>
            <w:r>
              <w:rPr>
                <w:rFonts w:ascii="Times New Roman" w:hAnsi="Times New Roman" w:eastAsia="仿宋_GB2312" w:cs="Times New Roman"/>
                <w:color w:val="000000"/>
                <w:highlight w:val="none"/>
                <w:shd w:val="clear" w:color="auto" w:fill="FFFFFF"/>
              </w:rPr>
              <w:t>100</w:t>
            </w:r>
            <w:r>
              <w:rPr>
                <w:rFonts w:hint="eastAsia" w:ascii="Times New Roman" w:hAnsi="Times New Roman" w:eastAsia="仿宋_GB2312" w:cs="仿宋_GB2312"/>
                <w:color w:val="000000"/>
                <w:highlight w:val="none"/>
                <w:shd w:val="clear" w:color="auto" w:fill="FFFFFF"/>
              </w:rPr>
              <w:t>万吨少于</w:t>
            </w:r>
            <w:r>
              <w:rPr>
                <w:rFonts w:ascii="Times New Roman" w:hAnsi="Times New Roman" w:eastAsia="仿宋_GB2312" w:cs="Times New Roman"/>
                <w:color w:val="000000"/>
                <w:highlight w:val="none"/>
                <w:shd w:val="clear" w:color="auto" w:fill="FFFFFF"/>
              </w:rPr>
              <w:t>1000</w:t>
            </w:r>
            <w:r>
              <w:rPr>
                <w:rFonts w:hint="eastAsia" w:ascii="Times New Roman" w:hAnsi="Times New Roman" w:eastAsia="仿宋_GB2312" w:cs="仿宋_GB2312"/>
                <w:color w:val="000000"/>
                <w:highlight w:val="none"/>
                <w:shd w:val="clear" w:color="auto" w:fill="FFFFFF"/>
              </w:rPr>
              <w:t>万吨</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shd w:val="clear" w:color="auto" w:fill="FFFFFF"/>
              </w:rPr>
              <w:t>年吞吐量大于</w:t>
            </w:r>
            <w:r>
              <w:rPr>
                <w:rFonts w:ascii="Times New Roman" w:hAnsi="Times New Roman" w:eastAsia="仿宋_GB2312" w:cs="Times New Roman"/>
                <w:color w:val="000000"/>
                <w:highlight w:val="none"/>
                <w:shd w:val="clear" w:color="auto" w:fill="FFFFFF"/>
              </w:rPr>
              <w:t>1000</w:t>
            </w:r>
            <w:r>
              <w:rPr>
                <w:rFonts w:hint="eastAsia" w:ascii="Times New Roman" w:hAnsi="Times New Roman" w:eastAsia="仿宋_GB2312" w:cs="仿宋_GB2312"/>
                <w:color w:val="000000"/>
                <w:highlight w:val="none"/>
                <w:shd w:val="clear" w:color="auto" w:fill="FFFFFF"/>
              </w:rPr>
              <w:t>万吨少于</w:t>
            </w:r>
            <w:r>
              <w:rPr>
                <w:rFonts w:ascii="Times New Roman" w:hAnsi="Times New Roman" w:eastAsia="仿宋_GB2312" w:cs="Times New Roman"/>
                <w:color w:val="000000"/>
                <w:highlight w:val="none"/>
                <w:shd w:val="clear" w:color="auto" w:fill="FFFFFF"/>
              </w:rPr>
              <w:t>3000</w:t>
            </w:r>
            <w:r>
              <w:rPr>
                <w:rFonts w:hint="eastAsia" w:ascii="Times New Roman" w:hAnsi="Times New Roman" w:eastAsia="仿宋_GB2312" w:cs="仿宋_GB2312"/>
                <w:color w:val="000000"/>
                <w:highlight w:val="none"/>
                <w:shd w:val="clear" w:color="auto" w:fill="FFFFFF"/>
              </w:rPr>
              <w:t>万吨</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shd w:val="clear" w:color="auto" w:fill="FFFFFF"/>
              </w:rPr>
              <w:t>年吞吐量大于</w:t>
            </w:r>
            <w:r>
              <w:rPr>
                <w:rFonts w:ascii="Times New Roman" w:hAnsi="Times New Roman" w:eastAsia="仿宋_GB2312" w:cs="Times New Roman"/>
                <w:color w:val="000000"/>
                <w:highlight w:val="none"/>
                <w:shd w:val="clear" w:color="auto" w:fill="FFFFFF"/>
              </w:rPr>
              <w:t>3000</w:t>
            </w:r>
            <w:r>
              <w:rPr>
                <w:rFonts w:hint="eastAsia" w:ascii="Times New Roman" w:hAnsi="Times New Roman" w:eastAsia="仿宋_GB2312" w:cs="仿宋_GB2312"/>
                <w:color w:val="000000"/>
                <w:highlight w:val="none"/>
                <w:shd w:val="clear" w:color="auto" w:fill="FFFFFF"/>
              </w:rPr>
              <w:t>万吨</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涉及污染物种类</w:t>
            </w:r>
          </w:p>
        </w:tc>
        <w:tc>
          <w:tcPr>
            <w:tcW w:w="564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垃圾、粪便</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油类</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有毒有害物品</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5641" w:type="dxa"/>
            <w:vAlign w:val="center"/>
          </w:tcPr>
          <w:p>
            <w:pPr>
              <w:snapToGrid w:val="0"/>
              <w:jc w:val="center"/>
              <w:rPr>
                <w:rFonts w:ascii="Times New Roman" w:hAnsi="Times New Roman" w:cs="Times New Roman"/>
                <w:highlight w:val="none"/>
              </w:rPr>
            </w:pPr>
          </w:p>
        </w:tc>
        <w:tc>
          <w:tcPr>
            <w:tcW w:w="2297" w:type="dxa"/>
            <w:vAlign w:val="center"/>
          </w:tcPr>
          <w:p>
            <w:pPr>
              <w:snapToGrid w:val="0"/>
              <w:jc w:val="center"/>
              <w:rPr>
                <w:rFonts w:ascii="Times New Roman" w:hAnsi="Times New Roman" w:cs="Times New Roman"/>
                <w:highlight w:val="none"/>
              </w:rPr>
            </w:pPr>
          </w:p>
        </w:tc>
      </w:tr>
    </w:tbl>
    <w:p>
      <w:pPr>
        <w:snapToGrid w:val="0"/>
        <w:rPr>
          <w:rFonts w:ascii="Times New Roman" w:hAnsi="Times New Roman" w:eastAsia="仿宋_GB2312" w:cs="Times New Roman"/>
          <w:b/>
          <w:bCs/>
          <w:color w:val="FF0000"/>
          <w:sz w:val="10"/>
          <w:szCs w:val="10"/>
          <w:highlight w:val="none"/>
        </w:rPr>
      </w:pPr>
      <w:r>
        <w:rPr>
          <w:rFonts w:ascii="Times New Roman" w:hAnsi="Times New Roman" w:eastAsia="仿宋_GB2312" w:cs="Times New Roman"/>
          <w:b/>
          <w:bCs/>
          <w:color w:val="FF0000"/>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641"/>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（三）水污染防治类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38" w:type="dxa"/>
            <w:gridSpan w:val="2"/>
            <w:vAlign w:val="center"/>
          </w:tcPr>
          <w:p>
            <w:pPr>
              <w:snapToGrid w:val="0"/>
              <w:spacing w:before="62" w:beforeLines="20"/>
              <w:ind w:firstLine="420"/>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在饮用水水源一级保护区内从事除有污染物排放的畜禽养殖场、养殖小区的以外的畜禽养殖活动的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vAlign w:val="center"/>
          </w:tcPr>
          <w:p>
            <w:pPr>
              <w:snapToGrid w:val="0"/>
              <w:spacing w:before="62" w:beforeLines="20" w:line="264"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《山东省水污染防治条例》第六十一条第（五）项</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在饮用水水源一级保护区内，除禁止本条例第五十九条、第六十条规定的行为以外，禁止从事下列行为：</w:t>
            </w:r>
          </w:p>
          <w:p>
            <w:pPr>
              <w:snapToGrid w:val="0"/>
              <w:spacing w:line="264" w:lineRule="auto"/>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（五）从事畜禽养殖、网箱养殖、餐饮、旅游、游泳、垂钓或者其他可能污染饮用水水体的活动。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vAlign w:val="center"/>
          </w:tcPr>
          <w:p>
            <w:pPr>
              <w:snapToGrid w:val="0"/>
              <w:spacing w:line="312"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《山东省水污染防治条例》第八十六条第一款第（三）项、第二款</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违反本条例规定，有下列情形之一的，由县级以上人民政府环境保护主管部门责令停止违法行为，处十万元以上五十万元以下的罚款，并报经有批准权的人民政府批准，责令拆除或者关闭：</w:t>
            </w:r>
          </w:p>
          <w:p>
            <w:pPr>
              <w:snapToGrid w:val="0"/>
              <w:spacing w:line="312" w:lineRule="auto"/>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（三）在饮用水水源保护区建设有污染物排放的畜禽养殖场、养殖小区的。</w:t>
            </w:r>
          </w:p>
          <w:p>
            <w:pPr>
              <w:snapToGrid w:val="0"/>
              <w:spacing w:line="312" w:lineRule="auto"/>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在饮用水水源一级保护区内从事前款第三项规定以外的畜禽养殖活动的，由县级以上人民政府环境保护主管部门责令停止违法行为，处二万元以上十万元以下的罚款。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64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29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畜禽养殖</w:t>
            </w:r>
          </w:p>
          <w:p>
            <w:pPr>
              <w:snapToGrid w:val="0"/>
              <w:jc w:val="center"/>
              <w:rPr>
                <w:rFonts w:ascii="Times New Roman" w:hAnsi="Times New Roman" w:cs="Times New Roman"/>
                <w:b/>
                <w:bCs/>
                <w:highlight w:val="none"/>
              </w:rPr>
            </w:pPr>
            <w:r>
              <w:rPr>
                <w:rFonts w:hint="eastAsia" w:ascii="Times New Roman" w:hAnsi="Times New Roman" w:cs="宋体"/>
                <w:b/>
                <w:bCs/>
                <w:color w:val="000000"/>
                <w:highlight w:val="none"/>
              </w:rPr>
              <w:t>规模★</w:t>
            </w:r>
          </w:p>
        </w:tc>
        <w:tc>
          <w:tcPr>
            <w:tcW w:w="5641"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年出栏生猪不足</w:t>
            </w:r>
            <w:r>
              <w:rPr>
                <w:rFonts w:ascii="Times New Roman" w:hAnsi="Times New Roman" w:eastAsia="仿宋_GB2312" w:cs="Times New Roman"/>
                <w:sz w:val="21"/>
                <w:szCs w:val="21"/>
                <w:highlight w:val="none"/>
              </w:rPr>
              <w:t>100</w:t>
            </w:r>
            <w:r>
              <w:rPr>
                <w:rFonts w:hint="eastAsia" w:ascii="Times New Roman" w:hAnsi="Times New Roman" w:eastAsia="仿宋_GB2312" w:cs="仿宋_GB2312"/>
                <w:sz w:val="21"/>
                <w:szCs w:val="21"/>
                <w:highlight w:val="none"/>
              </w:rPr>
              <w:t>头</w:t>
            </w:r>
            <w:r>
              <w:rPr>
                <w:rFonts w:ascii="Times New Roman" w:hAnsi="Times New Roman" w:eastAsia="仿宋_GB2312" w:cs="Times New Roman"/>
                <w:sz w:val="21"/>
                <w:szCs w:val="21"/>
                <w:highlight w:val="none"/>
              </w:rPr>
              <w:t>(</w:t>
            </w:r>
            <w:r>
              <w:rPr>
                <w:rFonts w:hint="eastAsia" w:ascii="Times New Roman" w:hAnsi="Times New Roman" w:eastAsia="仿宋_GB2312" w:cs="仿宋_GB2312"/>
                <w:sz w:val="21"/>
                <w:szCs w:val="21"/>
                <w:highlight w:val="none"/>
              </w:rPr>
              <w:t>其他畜禽种类折合猪的养殖规模</w:t>
            </w:r>
            <w:r>
              <w:rPr>
                <w:rFonts w:ascii="Times New Roman" w:hAnsi="Times New Roman" w:eastAsia="仿宋_GB2312" w:cs="Times New Roman"/>
                <w:sz w:val="21"/>
                <w:szCs w:val="21"/>
                <w:highlight w:val="none"/>
              </w:rPr>
              <w:t>)</w:t>
            </w:r>
          </w:p>
        </w:tc>
        <w:tc>
          <w:tcPr>
            <w:tcW w:w="229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641"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年出栏生猪</w:t>
            </w:r>
            <w:r>
              <w:rPr>
                <w:rFonts w:ascii="Times New Roman" w:hAnsi="Times New Roman" w:eastAsia="仿宋_GB2312" w:cs="Times New Roman"/>
                <w:sz w:val="21"/>
                <w:szCs w:val="21"/>
                <w:highlight w:val="none"/>
              </w:rPr>
              <w:t>100</w:t>
            </w:r>
            <w:r>
              <w:rPr>
                <w:rFonts w:hint="eastAsia" w:ascii="Times New Roman" w:hAnsi="Times New Roman" w:eastAsia="仿宋_GB2312" w:cs="仿宋_GB2312"/>
                <w:sz w:val="21"/>
                <w:szCs w:val="21"/>
                <w:highlight w:val="none"/>
              </w:rPr>
              <w:t>头以上，不足</w:t>
            </w:r>
            <w:r>
              <w:rPr>
                <w:rFonts w:ascii="Times New Roman" w:hAnsi="Times New Roman" w:eastAsia="仿宋_GB2312" w:cs="Times New Roman"/>
                <w:sz w:val="21"/>
                <w:szCs w:val="21"/>
                <w:highlight w:val="none"/>
              </w:rPr>
              <w:t>500</w:t>
            </w:r>
            <w:r>
              <w:rPr>
                <w:rFonts w:hint="eastAsia" w:ascii="Times New Roman" w:hAnsi="Times New Roman" w:eastAsia="仿宋_GB2312" w:cs="仿宋_GB2312"/>
                <w:sz w:val="21"/>
                <w:szCs w:val="21"/>
                <w:highlight w:val="none"/>
              </w:rPr>
              <w:t>头</w:t>
            </w:r>
            <w:r>
              <w:rPr>
                <w:rFonts w:ascii="Times New Roman" w:hAnsi="Times New Roman" w:eastAsia="仿宋_GB2312" w:cs="Times New Roman"/>
                <w:sz w:val="21"/>
                <w:szCs w:val="21"/>
                <w:highlight w:val="none"/>
              </w:rPr>
              <w:t>(</w:t>
            </w:r>
            <w:r>
              <w:rPr>
                <w:rFonts w:hint="eastAsia" w:ascii="Times New Roman" w:hAnsi="Times New Roman" w:eastAsia="仿宋_GB2312" w:cs="仿宋_GB2312"/>
                <w:sz w:val="21"/>
                <w:szCs w:val="21"/>
                <w:highlight w:val="none"/>
              </w:rPr>
              <w:t>其他畜禽种类折合猪的养殖规模</w:t>
            </w:r>
            <w:r>
              <w:rPr>
                <w:rFonts w:ascii="Times New Roman" w:hAnsi="Times New Roman" w:eastAsia="仿宋_GB2312" w:cs="Times New Roman"/>
                <w:sz w:val="21"/>
                <w:szCs w:val="21"/>
                <w:highlight w:val="none"/>
              </w:rPr>
              <w:t>)</w:t>
            </w:r>
          </w:p>
        </w:tc>
        <w:tc>
          <w:tcPr>
            <w:tcW w:w="229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641"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年出栏生猪</w:t>
            </w:r>
            <w:r>
              <w:rPr>
                <w:rFonts w:ascii="Times New Roman" w:hAnsi="Times New Roman" w:eastAsia="仿宋_GB2312" w:cs="Times New Roman"/>
                <w:sz w:val="21"/>
                <w:szCs w:val="21"/>
                <w:highlight w:val="none"/>
              </w:rPr>
              <w:t>500</w:t>
            </w:r>
            <w:r>
              <w:rPr>
                <w:rFonts w:hint="eastAsia" w:ascii="Times New Roman" w:hAnsi="Times New Roman" w:eastAsia="仿宋_GB2312" w:cs="仿宋_GB2312"/>
                <w:sz w:val="21"/>
                <w:szCs w:val="21"/>
                <w:highlight w:val="none"/>
              </w:rPr>
              <w:t>头以上，不足</w:t>
            </w:r>
            <w:r>
              <w:rPr>
                <w:rFonts w:ascii="Times New Roman" w:hAnsi="Times New Roman" w:eastAsia="仿宋_GB2312" w:cs="Times New Roman"/>
                <w:sz w:val="21"/>
                <w:szCs w:val="21"/>
                <w:highlight w:val="none"/>
              </w:rPr>
              <w:t>1000</w:t>
            </w:r>
            <w:r>
              <w:rPr>
                <w:rFonts w:hint="eastAsia" w:ascii="Times New Roman" w:hAnsi="Times New Roman" w:eastAsia="仿宋_GB2312" w:cs="仿宋_GB2312"/>
                <w:sz w:val="21"/>
                <w:szCs w:val="21"/>
                <w:highlight w:val="none"/>
              </w:rPr>
              <w:t>头</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其他畜禽种类折合猪的养殖规模</w:t>
            </w:r>
            <w:r>
              <w:rPr>
                <w:rFonts w:ascii="Times New Roman" w:hAnsi="Times New Roman" w:eastAsia="仿宋_GB2312" w:cs="Times New Roman"/>
                <w:sz w:val="21"/>
                <w:szCs w:val="21"/>
                <w:highlight w:val="none"/>
              </w:rPr>
              <w:t>)</w:t>
            </w:r>
          </w:p>
        </w:tc>
        <w:tc>
          <w:tcPr>
            <w:tcW w:w="229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641"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年出栏生猪</w:t>
            </w:r>
            <w:r>
              <w:rPr>
                <w:rFonts w:ascii="Times New Roman" w:hAnsi="Times New Roman" w:eastAsia="仿宋_GB2312" w:cs="Times New Roman"/>
                <w:sz w:val="21"/>
                <w:szCs w:val="21"/>
                <w:highlight w:val="none"/>
              </w:rPr>
              <w:t>1000</w:t>
            </w:r>
            <w:r>
              <w:rPr>
                <w:rFonts w:hint="eastAsia" w:ascii="Times New Roman" w:hAnsi="Times New Roman" w:eastAsia="仿宋_GB2312" w:cs="仿宋_GB2312"/>
                <w:sz w:val="21"/>
                <w:szCs w:val="21"/>
                <w:highlight w:val="none"/>
              </w:rPr>
              <w:t>头以上，不足</w:t>
            </w:r>
            <w:r>
              <w:rPr>
                <w:rFonts w:ascii="Times New Roman" w:hAnsi="Times New Roman" w:eastAsia="仿宋_GB2312" w:cs="Times New Roman"/>
                <w:sz w:val="21"/>
                <w:szCs w:val="21"/>
                <w:highlight w:val="none"/>
              </w:rPr>
              <w:t>2000</w:t>
            </w:r>
            <w:r>
              <w:rPr>
                <w:rFonts w:hint="eastAsia" w:ascii="Times New Roman" w:hAnsi="Times New Roman" w:eastAsia="仿宋_GB2312" w:cs="仿宋_GB2312"/>
                <w:sz w:val="21"/>
                <w:szCs w:val="21"/>
                <w:highlight w:val="none"/>
              </w:rPr>
              <w:t>头</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其他畜禽种类折合猪的养殖规模</w:t>
            </w:r>
            <w:r>
              <w:rPr>
                <w:rFonts w:ascii="Times New Roman" w:hAnsi="Times New Roman" w:eastAsia="仿宋_GB2312" w:cs="Times New Roman"/>
                <w:sz w:val="21"/>
                <w:szCs w:val="21"/>
                <w:highlight w:val="none"/>
              </w:rPr>
              <w:t>)</w:t>
            </w:r>
          </w:p>
        </w:tc>
        <w:tc>
          <w:tcPr>
            <w:tcW w:w="229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641"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年出栏生猪</w:t>
            </w:r>
            <w:r>
              <w:rPr>
                <w:rFonts w:ascii="Times New Roman" w:hAnsi="Times New Roman" w:eastAsia="仿宋_GB2312" w:cs="Times New Roman"/>
                <w:sz w:val="21"/>
                <w:szCs w:val="21"/>
                <w:highlight w:val="none"/>
              </w:rPr>
              <w:t>2000</w:t>
            </w:r>
            <w:r>
              <w:rPr>
                <w:rFonts w:hint="eastAsia" w:ascii="Times New Roman" w:hAnsi="Times New Roman" w:eastAsia="仿宋_GB2312" w:cs="仿宋_GB2312"/>
                <w:sz w:val="21"/>
                <w:szCs w:val="21"/>
                <w:highlight w:val="none"/>
              </w:rPr>
              <w:t>头以上</w:t>
            </w:r>
            <w:r>
              <w:rPr>
                <w:rFonts w:ascii="Times New Roman" w:hAnsi="Times New Roman" w:eastAsia="仿宋_GB2312" w:cs="Times New Roman"/>
                <w:sz w:val="21"/>
                <w:szCs w:val="21"/>
                <w:highlight w:val="none"/>
              </w:rPr>
              <w:t>(</w:t>
            </w:r>
            <w:r>
              <w:rPr>
                <w:rFonts w:hint="eastAsia" w:ascii="Times New Roman" w:hAnsi="Times New Roman" w:eastAsia="仿宋_GB2312" w:cs="仿宋_GB2312"/>
                <w:sz w:val="21"/>
                <w:szCs w:val="21"/>
                <w:highlight w:val="none"/>
              </w:rPr>
              <w:t>其他畜禽种类折合猪的养殖规模</w:t>
            </w:r>
            <w:r>
              <w:rPr>
                <w:rFonts w:ascii="Times New Roman" w:hAnsi="Times New Roman" w:eastAsia="仿宋_GB2312" w:cs="Times New Roman"/>
                <w:sz w:val="21"/>
                <w:szCs w:val="21"/>
                <w:highlight w:val="none"/>
              </w:rPr>
              <w:t>)</w:t>
            </w:r>
          </w:p>
        </w:tc>
        <w:tc>
          <w:tcPr>
            <w:tcW w:w="229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违法持续</w:t>
            </w:r>
          </w:p>
          <w:p>
            <w:pPr>
              <w:snapToGrid w:val="0"/>
              <w:jc w:val="center"/>
              <w:rPr>
                <w:rFonts w:ascii="Times New Roman" w:hAnsi="Times New Roman" w:cs="Times New Roman"/>
                <w:color w:val="000000"/>
                <w:highlight w:val="none"/>
              </w:rPr>
            </w:pPr>
            <w:r>
              <w:rPr>
                <w:rFonts w:hint="eastAsia" w:ascii="Times New Roman" w:hAnsi="Times New Roman" w:cs="宋体"/>
                <w:b/>
                <w:bCs/>
                <w:color w:val="000000"/>
                <w:highlight w:val="none"/>
              </w:rPr>
              <w:t>时间</w:t>
            </w:r>
          </w:p>
        </w:tc>
        <w:tc>
          <w:tcPr>
            <w:tcW w:w="564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个月以内</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个月以上</w:t>
            </w: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个月以内</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个月以上</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5641" w:type="dxa"/>
            <w:vAlign w:val="center"/>
          </w:tcPr>
          <w:p>
            <w:pPr>
              <w:snapToGrid w:val="0"/>
              <w:jc w:val="center"/>
              <w:rPr>
                <w:rFonts w:ascii="Times New Roman" w:hAnsi="Times New Roman" w:cs="Times New Roman"/>
                <w:highlight w:val="none"/>
              </w:rPr>
            </w:pPr>
          </w:p>
        </w:tc>
        <w:tc>
          <w:tcPr>
            <w:tcW w:w="2297" w:type="dxa"/>
            <w:vAlign w:val="center"/>
          </w:tcPr>
          <w:p>
            <w:pPr>
              <w:snapToGrid w:val="0"/>
              <w:jc w:val="center"/>
              <w:rPr>
                <w:rFonts w:ascii="Times New Roman" w:hAnsi="Times New Roman" w:cs="Times New Roman"/>
                <w:highlight w:val="none"/>
              </w:rPr>
            </w:pPr>
          </w:p>
        </w:tc>
      </w:tr>
    </w:tbl>
    <w:p>
      <w:pPr>
        <w:snapToGrid w:val="0"/>
        <w:rPr>
          <w:rFonts w:ascii="Times New Roman" w:hAnsi="Times New Roman" w:eastAsia="仿宋_GB2312" w:cs="Times New Roman"/>
          <w:b/>
          <w:bCs/>
          <w:color w:val="FF0000"/>
          <w:sz w:val="10"/>
          <w:szCs w:val="10"/>
          <w:highlight w:val="none"/>
        </w:rPr>
      </w:pPr>
      <w:r>
        <w:rPr>
          <w:rFonts w:ascii="Times New Roman" w:hAnsi="Times New Roman" w:eastAsia="仿宋_GB2312" w:cs="Times New Roman"/>
          <w:b/>
          <w:bCs/>
          <w:color w:val="FF0000"/>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641"/>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（三）水污染防治类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spacing w:before="62" w:beforeLines="20" w:line="264" w:lineRule="auto"/>
              <w:ind w:firstLine="420"/>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重点排污单位和进入输水干线的机动船舶未按照规定制定突发环境事件预警和应急预案的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vAlign w:val="center"/>
          </w:tcPr>
          <w:p>
            <w:pPr>
              <w:snapToGrid w:val="0"/>
              <w:spacing w:line="312"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《山东南水北调工程沿线区域水污染防治条例》第十八条第二款</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重点排污单位应当制定突发环境事件预警和应急预案，并报当地环境保护、公安、水利、渔业、安全监督等部门备案。</w:t>
            </w:r>
          </w:p>
          <w:p>
            <w:pPr>
              <w:snapToGrid w:val="0"/>
              <w:spacing w:line="312"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第三十五条第一款</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进入输水干线的机动船舶，应当配备相应的防止污染的设备和油污、垃圾、污水等污染物集中收集、存储设施，并制定船舶污染事故应急预案。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vAlign w:val="center"/>
          </w:tcPr>
          <w:p>
            <w:pPr>
              <w:snapToGrid w:val="0"/>
              <w:spacing w:line="312"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《山东南水北调工程沿线区域水污染防治条例》第四十四条第（三）项</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违反本条例规定，有下列情形之一的，由县级以上人民政府环境保护行政主管部门按照下列规定进行处罚；构成犯罪的，依法追究刑事责任：</w:t>
            </w:r>
          </w:p>
          <w:p>
            <w:pPr>
              <w:snapToGrid w:val="0"/>
              <w:spacing w:line="312" w:lineRule="auto"/>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（三）重点排污单位和进入输水干线的机动船舶未按照规定制定突发环境事件预警和应急预案的，责令改正；情节严重的，处二万元以上十万元以下的罚款。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64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29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未按照规定制定突发环境事件预警和应急预案的</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未制定突发环境事件预警和应急预案的</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restart"/>
            <w:vAlign w:val="center"/>
          </w:tcPr>
          <w:p>
            <w:pPr>
              <w:snapToGrid w:val="0"/>
              <w:jc w:val="center"/>
              <w:rPr>
                <w:rFonts w:ascii="Times New Roman" w:hAnsi="Times New Roman" w:cs="Times New Roman"/>
                <w:color w:val="000000"/>
                <w:highlight w:val="none"/>
              </w:rPr>
            </w:pPr>
            <w:r>
              <w:rPr>
                <w:rFonts w:hint="eastAsia" w:ascii="Times New Roman" w:hAnsi="Times New Roman" w:cs="宋体"/>
                <w:b/>
                <w:bCs/>
                <w:color w:val="000000"/>
                <w:highlight w:val="none"/>
              </w:rPr>
              <w:t>违法主体</w:t>
            </w: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进入输水干线的机动船舶</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重点排污单位</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w:t>
            </w:r>
            <w:r>
              <w:rPr>
                <w:rFonts w:ascii="Times New Roman" w:hAnsi="Times New Roman" w:cs="Times New Roman"/>
                <w:b/>
                <w:bCs/>
                <w:highlight w:val="none"/>
              </w:rPr>
              <w:t xml:space="preserve">  </w:t>
            </w:r>
            <w:r>
              <w:rPr>
                <w:rFonts w:hint="eastAsia" w:ascii="Times New Roman" w:hAnsi="Times New Roman" w:cs="宋体"/>
                <w:b/>
                <w:bCs/>
                <w:highlight w:val="none"/>
              </w:rPr>
              <w:t>注</w:t>
            </w:r>
          </w:p>
        </w:tc>
        <w:tc>
          <w:tcPr>
            <w:tcW w:w="5641" w:type="dxa"/>
            <w:vAlign w:val="center"/>
          </w:tcPr>
          <w:p>
            <w:pPr>
              <w:snapToGrid w:val="0"/>
              <w:jc w:val="center"/>
              <w:rPr>
                <w:rFonts w:ascii="Times New Roman" w:hAnsi="Times New Roman" w:cs="Times New Roman"/>
                <w:highlight w:val="none"/>
              </w:rPr>
            </w:pPr>
          </w:p>
        </w:tc>
        <w:tc>
          <w:tcPr>
            <w:tcW w:w="2297" w:type="dxa"/>
            <w:vAlign w:val="center"/>
          </w:tcPr>
          <w:p>
            <w:pPr>
              <w:snapToGrid w:val="0"/>
              <w:jc w:val="center"/>
              <w:rPr>
                <w:rFonts w:ascii="Times New Roman" w:hAnsi="Times New Roman" w:cs="Times New Roman"/>
                <w:highlight w:val="none"/>
              </w:rPr>
            </w:pPr>
          </w:p>
        </w:tc>
      </w:tr>
    </w:tbl>
    <w:p>
      <w:pPr>
        <w:snapToGrid w:val="0"/>
        <w:rPr>
          <w:rFonts w:ascii="Times New Roman" w:hAnsi="Times New Roman" w:eastAsia="仿宋_GB2312" w:cs="Times New Roman"/>
          <w:b/>
          <w:bCs/>
          <w:color w:val="FF0000"/>
          <w:sz w:val="10"/>
          <w:szCs w:val="10"/>
          <w:highlight w:val="none"/>
        </w:rPr>
      </w:pPr>
      <w:r>
        <w:rPr>
          <w:rFonts w:ascii="Times New Roman" w:hAnsi="Times New Roman" w:eastAsia="仿宋_GB2312" w:cs="Times New Roman"/>
          <w:b/>
          <w:bCs/>
          <w:color w:val="FF0000"/>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641"/>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（三）水污染防治类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污水处理厂不运行或者不正常运行污水处理设施，导致超标排放污水的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vAlign w:val="center"/>
          </w:tcPr>
          <w:p>
            <w:pPr>
              <w:snapToGrid w:val="0"/>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《山东南水北调工程沿线区域水污染防治条例》第二十一条</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污水处理厂应当保证污水处理设施正常运行。因设施改造或者技术检修等原因确需停止运行的，必须启动应急预案，并向当地建设和环境保护行政主管部门报告。应急预案应当提前报设区的市建设和环境保护行政主管部门批准，并报省建设和环境保护行政主管部门备案。</w:t>
            </w:r>
          </w:p>
          <w:p>
            <w:pPr>
              <w:snapToGrid w:val="0"/>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污水处理厂不得超标排放污水。污水处理厂处理后的污水应当达到《山东省南水北调沿线水污染物综合排放标准》的要求。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vAlign w:val="center"/>
          </w:tcPr>
          <w:p>
            <w:pPr>
              <w:snapToGrid w:val="0"/>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《山东南水北调工程沿线区域水污染防治条例》第四十四条第（五）项</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违反本条例规定，有下列情形之一的，由县级以上人民政府环境保护行政主管部门按照下列规定进行处罚；构成犯罪的，依法追究刑事责任：</w:t>
            </w:r>
          </w:p>
          <w:p>
            <w:pPr>
              <w:snapToGrid w:val="0"/>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（五）污水处理厂不运行或者不正常运行污水处理设施，导致超标排放污水的，责令改正，处十万元以上一百万元以下的罚款；情节严重的，报经有批准权的人民政府批准，责令停业、关闭。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64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29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64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部分处理设施不能正常运行</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64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部分处理设施停运</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64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整体或关键处理设施不能正常运行</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64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整体或关键处理设施停运</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64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正常生产时不通过处理设施利用其他方式直接排放</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排污超标</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情况</w:t>
            </w:r>
          </w:p>
        </w:tc>
        <w:tc>
          <w:tcPr>
            <w:tcW w:w="564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超标</w:t>
            </w:r>
            <w:r>
              <w:rPr>
                <w:rFonts w:ascii="Times New Roman" w:hAnsi="Times New Roman" w:eastAsia="仿宋_GB2312" w:cs="Times New Roman"/>
                <w:highlight w:val="none"/>
              </w:rPr>
              <w:t>0.5</w:t>
            </w:r>
            <w:r>
              <w:rPr>
                <w:rFonts w:hint="eastAsia" w:ascii="Times New Roman" w:hAnsi="Times New Roman" w:eastAsia="仿宋_GB2312" w:cs="仿宋_GB2312"/>
                <w:highlight w:val="none"/>
              </w:rPr>
              <w:t>倍以下</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超标</w:t>
            </w:r>
            <w:r>
              <w:rPr>
                <w:rFonts w:ascii="Times New Roman" w:hAnsi="Times New Roman" w:eastAsia="仿宋_GB2312" w:cs="Times New Roman"/>
                <w:highlight w:val="none"/>
              </w:rPr>
              <w:t>0.5</w:t>
            </w:r>
            <w:r>
              <w:rPr>
                <w:rFonts w:hint="eastAsia" w:ascii="Times New Roman" w:hAnsi="Times New Roman" w:eastAsia="仿宋_GB2312" w:cs="仿宋_GB2312"/>
                <w:highlight w:val="none"/>
              </w:rPr>
              <w:t>倍以上</w:t>
            </w:r>
            <w:r>
              <w:rPr>
                <w:rFonts w:ascii="Times New Roman" w:hAnsi="Times New Roman" w:eastAsia="仿宋_GB2312" w:cs="Times New Roman"/>
                <w:highlight w:val="none"/>
              </w:rPr>
              <w:t>1</w:t>
            </w:r>
            <w:r>
              <w:rPr>
                <w:rFonts w:hint="eastAsia" w:ascii="Times New Roman" w:hAnsi="Times New Roman" w:eastAsia="仿宋_GB2312" w:cs="仿宋_GB2312"/>
                <w:highlight w:val="none"/>
              </w:rPr>
              <w:t>倍以下（</w:t>
            </w:r>
            <w:r>
              <w:rPr>
                <w:rFonts w:ascii="Times New Roman" w:hAnsi="Times New Roman" w:eastAsia="仿宋_GB2312" w:cs="Times New Roman"/>
                <w:highlight w:val="none"/>
              </w:rPr>
              <w:t>pH</w:t>
            </w:r>
            <w:r>
              <w:rPr>
                <w:rFonts w:hint="eastAsia" w:ascii="Times New Roman" w:hAnsi="Times New Roman" w:eastAsia="仿宋_GB2312" w:cs="仿宋_GB2312"/>
                <w:highlight w:val="none"/>
              </w:rPr>
              <w:t>值</w:t>
            </w:r>
            <w:r>
              <w:rPr>
                <w:rFonts w:ascii="Times New Roman" w:hAnsi="Times New Roman" w:eastAsia="仿宋_GB2312" w:cs="Times New Roman"/>
                <w:highlight w:val="none"/>
              </w:rPr>
              <w:t>9-10</w:t>
            </w:r>
            <w:r>
              <w:rPr>
                <w:rFonts w:hint="eastAsia" w:ascii="Times New Roman" w:hAnsi="Times New Roman" w:eastAsia="仿宋_GB2312" w:cs="仿宋_GB2312"/>
                <w:highlight w:val="none"/>
              </w:rPr>
              <w:t>或</w:t>
            </w:r>
            <w:r>
              <w:rPr>
                <w:rFonts w:ascii="Times New Roman" w:hAnsi="Times New Roman" w:eastAsia="仿宋_GB2312" w:cs="Times New Roman"/>
                <w:highlight w:val="none"/>
              </w:rPr>
              <w:t>pH</w:t>
            </w:r>
            <w:r>
              <w:rPr>
                <w:rFonts w:hint="eastAsia" w:ascii="Times New Roman" w:hAnsi="Times New Roman" w:eastAsia="仿宋_GB2312" w:cs="仿宋_GB2312"/>
                <w:highlight w:val="none"/>
              </w:rPr>
              <w:t>值</w:t>
            </w:r>
            <w:r>
              <w:rPr>
                <w:rFonts w:ascii="Times New Roman" w:hAnsi="Times New Roman" w:eastAsia="仿宋_GB2312" w:cs="Times New Roman"/>
                <w:highlight w:val="none"/>
              </w:rPr>
              <w:t>5-6</w:t>
            </w:r>
            <w:r>
              <w:rPr>
                <w:rFonts w:hint="eastAsia" w:ascii="Times New Roman" w:hAnsi="Times New Roman" w:eastAsia="仿宋_GB2312" w:cs="仿宋_GB2312"/>
                <w:highlight w:val="none"/>
              </w:rPr>
              <w:t>）</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超标</w:t>
            </w:r>
            <w:r>
              <w:rPr>
                <w:rFonts w:ascii="Times New Roman" w:hAnsi="Times New Roman" w:eastAsia="仿宋_GB2312" w:cs="Times New Roman"/>
                <w:highlight w:val="none"/>
              </w:rPr>
              <w:t>1</w:t>
            </w:r>
            <w:r>
              <w:rPr>
                <w:rFonts w:hint="eastAsia" w:ascii="Times New Roman" w:hAnsi="Times New Roman" w:eastAsia="仿宋_GB2312" w:cs="仿宋_GB2312"/>
                <w:highlight w:val="none"/>
              </w:rPr>
              <w:t>倍以上</w:t>
            </w:r>
            <w:r>
              <w:rPr>
                <w:rFonts w:ascii="Times New Roman" w:hAnsi="Times New Roman" w:eastAsia="仿宋_GB2312" w:cs="Times New Roman"/>
                <w:highlight w:val="none"/>
              </w:rPr>
              <w:t>3</w:t>
            </w:r>
            <w:r>
              <w:rPr>
                <w:rFonts w:hint="eastAsia" w:ascii="Times New Roman" w:hAnsi="Times New Roman" w:eastAsia="仿宋_GB2312" w:cs="仿宋_GB2312"/>
                <w:highlight w:val="none"/>
              </w:rPr>
              <w:t>倍以下（</w:t>
            </w:r>
            <w:r>
              <w:rPr>
                <w:rFonts w:ascii="Times New Roman" w:hAnsi="Times New Roman" w:eastAsia="仿宋_GB2312" w:cs="Times New Roman"/>
                <w:highlight w:val="none"/>
              </w:rPr>
              <w:t>pH</w:t>
            </w:r>
            <w:r>
              <w:rPr>
                <w:rFonts w:hint="eastAsia" w:ascii="Times New Roman" w:hAnsi="Times New Roman" w:eastAsia="仿宋_GB2312" w:cs="仿宋_GB2312"/>
                <w:highlight w:val="none"/>
              </w:rPr>
              <w:t>值</w:t>
            </w:r>
            <w:r>
              <w:rPr>
                <w:rFonts w:ascii="Times New Roman" w:hAnsi="Times New Roman" w:eastAsia="仿宋_GB2312" w:cs="Times New Roman"/>
                <w:highlight w:val="none"/>
              </w:rPr>
              <w:t>10-11</w:t>
            </w:r>
            <w:r>
              <w:rPr>
                <w:rFonts w:hint="eastAsia" w:ascii="Times New Roman" w:hAnsi="Times New Roman" w:eastAsia="仿宋_GB2312" w:cs="仿宋_GB2312"/>
                <w:highlight w:val="none"/>
              </w:rPr>
              <w:t>或</w:t>
            </w:r>
            <w:r>
              <w:rPr>
                <w:rFonts w:ascii="Times New Roman" w:hAnsi="Times New Roman" w:eastAsia="仿宋_GB2312" w:cs="Times New Roman"/>
                <w:highlight w:val="none"/>
              </w:rPr>
              <w:t>pH</w:t>
            </w:r>
            <w:r>
              <w:rPr>
                <w:rFonts w:hint="eastAsia" w:ascii="Times New Roman" w:hAnsi="Times New Roman" w:eastAsia="仿宋_GB2312" w:cs="仿宋_GB2312"/>
                <w:highlight w:val="none"/>
              </w:rPr>
              <w:t>值</w:t>
            </w:r>
            <w:r>
              <w:rPr>
                <w:rFonts w:ascii="Times New Roman" w:hAnsi="Times New Roman" w:eastAsia="仿宋_GB2312" w:cs="Times New Roman"/>
                <w:highlight w:val="none"/>
              </w:rPr>
              <w:t>4-5</w:t>
            </w:r>
            <w:r>
              <w:rPr>
                <w:rFonts w:hint="eastAsia" w:ascii="Times New Roman" w:hAnsi="Times New Roman" w:eastAsia="仿宋_GB2312" w:cs="仿宋_GB2312"/>
                <w:highlight w:val="none"/>
              </w:rPr>
              <w:t>）</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超标</w:t>
            </w:r>
            <w:r>
              <w:rPr>
                <w:rFonts w:ascii="Times New Roman" w:hAnsi="Times New Roman" w:eastAsia="仿宋_GB2312" w:cs="Times New Roman"/>
                <w:highlight w:val="none"/>
              </w:rPr>
              <w:t>3</w:t>
            </w:r>
            <w:r>
              <w:rPr>
                <w:rFonts w:hint="eastAsia" w:ascii="Times New Roman" w:hAnsi="Times New Roman" w:eastAsia="仿宋_GB2312" w:cs="仿宋_GB2312"/>
                <w:highlight w:val="none"/>
              </w:rPr>
              <w:t>倍以上</w:t>
            </w:r>
            <w:r>
              <w:rPr>
                <w:rFonts w:ascii="Times New Roman" w:hAnsi="Times New Roman" w:eastAsia="仿宋_GB2312" w:cs="Times New Roman"/>
                <w:highlight w:val="none"/>
              </w:rPr>
              <w:t>5</w:t>
            </w:r>
            <w:r>
              <w:rPr>
                <w:rFonts w:hint="eastAsia" w:ascii="Times New Roman" w:hAnsi="Times New Roman" w:eastAsia="仿宋_GB2312" w:cs="仿宋_GB2312"/>
                <w:highlight w:val="none"/>
              </w:rPr>
              <w:t>倍以下（</w:t>
            </w:r>
            <w:r>
              <w:rPr>
                <w:rFonts w:ascii="Times New Roman" w:hAnsi="Times New Roman" w:eastAsia="仿宋_GB2312" w:cs="Times New Roman"/>
                <w:highlight w:val="none"/>
              </w:rPr>
              <w:t>pH</w:t>
            </w:r>
            <w:r>
              <w:rPr>
                <w:rFonts w:hint="eastAsia" w:ascii="Times New Roman" w:hAnsi="Times New Roman" w:eastAsia="仿宋_GB2312" w:cs="仿宋_GB2312"/>
                <w:highlight w:val="none"/>
              </w:rPr>
              <w:t>值</w:t>
            </w:r>
            <w:r>
              <w:rPr>
                <w:rFonts w:ascii="Times New Roman" w:hAnsi="Times New Roman" w:eastAsia="仿宋_GB2312" w:cs="Times New Roman"/>
                <w:highlight w:val="none"/>
              </w:rPr>
              <w:t>11-12.5</w:t>
            </w:r>
            <w:r>
              <w:rPr>
                <w:rFonts w:hint="eastAsia" w:ascii="Times New Roman" w:hAnsi="Times New Roman" w:eastAsia="仿宋_GB2312" w:cs="仿宋_GB2312"/>
                <w:highlight w:val="none"/>
              </w:rPr>
              <w:t>或</w:t>
            </w:r>
            <w:r>
              <w:rPr>
                <w:rFonts w:ascii="Times New Roman" w:hAnsi="Times New Roman" w:eastAsia="仿宋_GB2312" w:cs="Times New Roman"/>
                <w:highlight w:val="none"/>
              </w:rPr>
              <w:t>pH</w:t>
            </w:r>
            <w:r>
              <w:rPr>
                <w:rFonts w:hint="eastAsia" w:ascii="Times New Roman" w:hAnsi="Times New Roman" w:eastAsia="仿宋_GB2312" w:cs="仿宋_GB2312"/>
                <w:highlight w:val="none"/>
              </w:rPr>
              <w:t>值</w:t>
            </w:r>
            <w:r>
              <w:rPr>
                <w:rFonts w:ascii="Times New Roman" w:hAnsi="Times New Roman" w:eastAsia="仿宋_GB2312" w:cs="Times New Roman"/>
                <w:highlight w:val="none"/>
              </w:rPr>
              <w:t>2-4</w:t>
            </w:r>
            <w:r>
              <w:rPr>
                <w:rFonts w:hint="eastAsia" w:ascii="Times New Roman" w:hAnsi="Times New Roman" w:eastAsia="仿宋_GB2312" w:cs="仿宋_GB2312"/>
                <w:highlight w:val="none"/>
              </w:rPr>
              <w:t>）</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超标</w:t>
            </w:r>
            <w:r>
              <w:rPr>
                <w:rFonts w:ascii="Times New Roman" w:hAnsi="Times New Roman" w:eastAsia="仿宋_GB2312" w:cs="Times New Roman"/>
                <w:highlight w:val="none"/>
              </w:rPr>
              <w:t>5</w:t>
            </w:r>
            <w:r>
              <w:rPr>
                <w:rFonts w:hint="eastAsia" w:ascii="Times New Roman" w:hAnsi="Times New Roman" w:eastAsia="仿宋_GB2312" w:cs="仿宋_GB2312"/>
                <w:highlight w:val="none"/>
              </w:rPr>
              <w:t>倍以上（</w:t>
            </w:r>
            <w:r>
              <w:rPr>
                <w:rFonts w:ascii="Times New Roman" w:hAnsi="Times New Roman" w:eastAsia="仿宋_GB2312" w:cs="Times New Roman"/>
                <w:highlight w:val="none"/>
              </w:rPr>
              <w:t>pH</w:t>
            </w:r>
            <w:r>
              <w:rPr>
                <w:rFonts w:hint="eastAsia" w:ascii="Times New Roman" w:hAnsi="Times New Roman" w:eastAsia="仿宋_GB2312" w:cs="仿宋_GB2312"/>
                <w:highlight w:val="none"/>
              </w:rPr>
              <w:t>值</w:t>
            </w:r>
            <w:r>
              <w:rPr>
                <w:rFonts w:ascii="Times New Roman" w:hAnsi="Times New Roman" w:eastAsia="仿宋_GB2312" w:cs="Times New Roman"/>
                <w:highlight w:val="none"/>
              </w:rPr>
              <w:t>12.5</w:t>
            </w:r>
            <w:r>
              <w:rPr>
                <w:rFonts w:hint="eastAsia" w:ascii="Times New Roman" w:hAnsi="Times New Roman" w:eastAsia="仿宋_GB2312" w:cs="仿宋_GB2312"/>
                <w:highlight w:val="none"/>
              </w:rPr>
              <w:t>以上或</w:t>
            </w:r>
            <w:r>
              <w:rPr>
                <w:rFonts w:ascii="Times New Roman" w:hAnsi="Times New Roman" w:eastAsia="仿宋_GB2312" w:cs="Times New Roman"/>
                <w:highlight w:val="none"/>
              </w:rPr>
              <w:t>pH</w:t>
            </w:r>
            <w:r>
              <w:rPr>
                <w:rFonts w:hint="eastAsia" w:ascii="Times New Roman" w:hAnsi="Times New Roman" w:eastAsia="仿宋_GB2312" w:cs="仿宋_GB2312"/>
                <w:highlight w:val="none"/>
              </w:rPr>
              <w:t>值</w:t>
            </w:r>
            <w:r>
              <w:rPr>
                <w:rFonts w:ascii="Times New Roman" w:hAnsi="Times New Roman" w:eastAsia="仿宋_GB2312" w:cs="Times New Roman"/>
                <w:highlight w:val="none"/>
              </w:rPr>
              <w:t>2</w:t>
            </w:r>
            <w:r>
              <w:rPr>
                <w:rFonts w:hint="eastAsia" w:ascii="Times New Roman" w:hAnsi="Times New Roman" w:eastAsia="仿宋_GB2312" w:cs="仿宋_GB2312"/>
                <w:highlight w:val="none"/>
              </w:rPr>
              <w:t>以下）</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排放去向</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或区域</w:t>
            </w:r>
          </w:p>
        </w:tc>
        <w:tc>
          <w:tcPr>
            <w:tcW w:w="5641"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Ⅴ</w:t>
            </w:r>
            <w:r>
              <w:rPr>
                <w:rFonts w:hint="eastAsia" w:ascii="Times New Roman" w:hAnsi="Times New Roman" w:eastAsia="仿宋_GB2312" w:cs="仿宋_GB2312"/>
                <w:highlight w:val="none"/>
              </w:rPr>
              <w:t>类水体</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641"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Ⅳ</w:t>
            </w:r>
            <w:r>
              <w:rPr>
                <w:rFonts w:hint="eastAsia" w:ascii="Times New Roman" w:hAnsi="Times New Roman" w:eastAsia="仿宋_GB2312" w:cs="仿宋_GB2312"/>
                <w:highlight w:val="none"/>
              </w:rPr>
              <w:t>类水体</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641"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Ⅲ</w:t>
            </w:r>
            <w:r>
              <w:rPr>
                <w:rFonts w:hint="eastAsia" w:ascii="Times New Roman" w:hAnsi="Times New Roman" w:eastAsia="仿宋_GB2312" w:cs="仿宋_GB2312"/>
                <w:highlight w:val="none"/>
              </w:rPr>
              <w:t>类水体</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641"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Ⅱ</w:t>
            </w:r>
            <w:r>
              <w:rPr>
                <w:rFonts w:hint="eastAsia" w:ascii="Times New Roman" w:hAnsi="Times New Roman" w:eastAsia="仿宋_GB2312" w:cs="仿宋_GB2312"/>
                <w:highlight w:val="none"/>
              </w:rPr>
              <w:t>类水体</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641"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Ⅰ</w:t>
            </w:r>
            <w:r>
              <w:rPr>
                <w:rFonts w:hint="eastAsia" w:ascii="Times New Roman" w:hAnsi="Times New Roman" w:eastAsia="仿宋_GB2312" w:cs="仿宋_GB2312"/>
                <w:highlight w:val="none"/>
              </w:rPr>
              <w:t>类水体</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5641" w:type="dxa"/>
            <w:vAlign w:val="center"/>
          </w:tcPr>
          <w:p>
            <w:pPr>
              <w:snapToGrid w:val="0"/>
              <w:jc w:val="center"/>
              <w:rPr>
                <w:rFonts w:ascii="Times New Roman" w:hAnsi="Times New Roman" w:cs="Times New Roman"/>
                <w:highlight w:val="none"/>
              </w:rPr>
            </w:pPr>
          </w:p>
        </w:tc>
        <w:tc>
          <w:tcPr>
            <w:tcW w:w="2297" w:type="dxa"/>
            <w:vAlign w:val="center"/>
          </w:tcPr>
          <w:p>
            <w:pPr>
              <w:snapToGrid w:val="0"/>
              <w:jc w:val="center"/>
              <w:rPr>
                <w:rFonts w:ascii="Times New Roman" w:hAnsi="Times New Roman" w:cs="Times New Roman"/>
                <w:highlight w:val="none"/>
              </w:rPr>
            </w:pPr>
          </w:p>
        </w:tc>
      </w:tr>
    </w:tbl>
    <w:p>
      <w:pPr>
        <w:snapToGrid w:val="0"/>
        <w:rPr>
          <w:rFonts w:ascii="Times New Roman" w:hAnsi="Times New Roman" w:eastAsia="仿宋_GB2312" w:cs="Times New Roman"/>
          <w:b/>
          <w:bCs/>
          <w:color w:val="FF0000"/>
          <w:sz w:val="10"/>
          <w:szCs w:val="10"/>
          <w:highlight w:val="none"/>
        </w:rPr>
      </w:pPr>
      <w:r>
        <w:rPr>
          <w:rFonts w:ascii="Times New Roman" w:hAnsi="Times New Roman" w:eastAsia="仿宋_GB2312" w:cs="Times New Roman"/>
          <w:b/>
          <w:bCs/>
          <w:color w:val="FF0000"/>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641"/>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209" w:type="dxa"/>
            <w:gridSpan w:val="3"/>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仿宋_GB2312"/>
                <w:b/>
                <w:bCs/>
                <w:color w:val="000000"/>
                <w:sz w:val="32"/>
                <w:szCs w:val="32"/>
                <w:highlight w:val="none"/>
              </w:rPr>
              <w:t>（三）水污染防治类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938" w:type="dxa"/>
            <w:gridSpan w:val="2"/>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38" w:type="dxa"/>
            <w:gridSpan w:val="2"/>
            <w:vAlign w:val="center"/>
          </w:tcPr>
          <w:p>
            <w:pPr>
              <w:snapToGrid w:val="0"/>
              <w:ind w:firstLine="420"/>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在核心保护区内从事规模化畜禽养殖的，责令改正逾期不改正的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spacing w:line="312"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违反条款</w:t>
            </w:r>
          </w:p>
        </w:tc>
        <w:tc>
          <w:tcPr>
            <w:tcW w:w="7938" w:type="dxa"/>
            <w:gridSpan w:val="2"/>
            <w:vAlign w:val="center"/>
          </w:tcPr>
          <w:p>
            <w:pPr>
              <w:snapToGrid w:val="0"/>
              <w:spacing w:before="62" w:beforeLines="20" w:line="312" w:lineRule="auto"/>
              <w:ind w:firstLine="420"/>
              <w:rPr>
                <w:rFonts w:ascii="Times New Roman" w:hAnsi="Times New Roman" w:eastAsia="仿宋_GB2312" w:cs="Times New Roman"/>
                <w:color w:val="000000"/>
                <w:highlight w:val="none"/>
              </w:rPr>
            </w:pPr>
            <w:r>
              <w:rPr>
                <w:rFonts w:hint="eastAsia" w:ascii="Times New Roman" w:hAnsi="Times New Roman" w:eastAsia="仿宋_GB2312" w:cs="仿宋_GB2312"/>
                <w:b/>
                <w:bCs/>
                <w:color w:val="000000"/>
                <w:highlight w:val="none"/>
              </w:rPr>
              <w:t>《山东南水北调工程沿线区域水污染防治条例》三十二条第一款</w:t>
            </w:r>
            <w:r>
              <w:rPr>
                <w:rFonts w:ascii="Times New Roman" w:hAnsi="Times New Roman" w:eastAsia="仿宋_GB2312" w:cs="Times New Roman"/>
                <w:color w:val="000000"/>
                <w:highlight w:val="none"/>
              </w:rPr>
              <w:t xml:space="preserve"> </w:t>
            </w:r>
            <w:r>
              <w:rPr>
                <w:rFonts w:hint="eastAsia" w:ascii="Times New Roman" w:hAnsi="Times New Roman" w:eastAsia="仿宋_GB2312" w:cs="仿宋_GB2312"/>
                <w:color w:val="000000"/>
                <w:highlight w:val="none"/>
              </w:rPr>
              <w:t>在核心保护区内禁止从事规模化畜禽养殖；在其他区域内从事规模化养殖的，应当建设配套的污染防治设施，并保证污染防治设施正常运行。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spacing w:line="312"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处罚依据</w:t>
            </w:r>
          </w:p>
        </w:tc>
        <w:tc>
          <w:tcPr>
            <w:tcW w:w="7938" w:type="dxa"/>
            <w:gridSpan w:val="2"/>
            <w:vAlign w:val="center"/>
          </w:tcPr>
          <w:p>
            <w:pPr>
              <w:snapToGrid w:val="0"/>
              <w:spacing w:before="62" w:beforeLines="20" w:line="312" w:lineRule="auto"/>
              <w:ind w:firstLine="420"/>
              <w:rPr>
                <w:rFonts w:ascii="Times New Roman" w:hAnsi="Times New Roman" w:eastAsia="仿宋_GB2312" w:cs="Times New Roman"/>
                <w:color w:val="000000"/>
                <w:highlight w:val="none"/>
              </w:rPr>
            </w:pPr>
            <w:r>
              <w:rPr>
                <w:rFonts w:hint="eastAsia" w:ascii="Times New Roman" w:hAnsi="Times New Roman" w:eastAsia="仿宋_GB2312" w:cs="仿宋_GB2312"/>
                <w:b/>
                <w:bCs/>
                <w:color w:val="000000"/>
                <w:highlight w:val="none"/>
              </w:rPr>
              <w:t>《山东南水北调工程沿线区域水污染防治条例》第四十四条第（六）项</w:t>
            </w:r>
            <w:r>
              <w:rPr>
                <w:rFonts w:ascii="Times New Roman" w:hAnsi="Times New Roman" w:eastAsia="仿宋_GB2312" w:cs="Times New Roman"/>
                <w:b/>
                <w:bCs/>
                <w:color w:val="000000"/>
                <w:highlight w:val="none"/>
              </w:rPr>
              <w:t xml:space="preserve"> </w:t>
            </w:r>
            <w:r>
              <w:rPr>
                <w:rFonts w:hint="eastAsia" w:ascii="Times New Roman" w:hAnsi="Times New Roman" w:eastAsia="仿宋_GB2312" w:cs="仿宋_GB2312"/>
                <w:color w:val="000000"/>
                <w:highlight w:val="none"/>
              </w:rPr>
              <w:t>违反本条例规定，有下列情形之一的，由县级以上人民政府环境保护行政主管部门按照下列规定进行处罚；构成犯罪的，依法追究刑事责任：</w:t>
            </w:r>
          </w:p>
          <w:p>
            <w:pPr>
              <w:snapToGrid w:val="0"/>
              <w:spacing w:line="312" w:lineRule="auto"/>
              <w:ind w:firstLine="420"/>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（六）在核心保护区内从事规模化畜禽养殖的，责令改正；逾期不改正的，处三万元以上十万元以下的罚款，并报县级以上人民政府责令拆除或者关闭。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64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297"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污染物设施★</w:t>
            </w: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污染物处理设施已建成并配套使用的</w:t>
            </w:r>
          </w:p>
        </w:tc>
        <w:tc>
          <w:tcPr>
            <w:tcW w:w="2297"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污染物处理设施已建成投运，仍造成一定污染的</w:t>
            </w:r>
          </w:p>
        </w:tc>
        <w:tc>
          <w:tcPr>
            <w:tcW w:w="2297"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未建设污染物处理设施的</w:t>
            </w:r>
          </w:p>
        </w:tc>
        <w:tc>
          <w:tcPr>
            <w:tcW w:w="2297"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畜禽养殖</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规模</w:t>
            </w:r>
          </w:p>
        </w:tc>
        <w:tc>
          <w:tcPr>
            <w:tcW w:w="5641"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年出栏生猪不足</w:t>
            </w:r>
            <w:r>
              <w:rPr>
                <w:rFonts w:ascii="Times New Roman" w:hAnsi="Times New Roman" w:eastAsia="仿宋_GB2312" w:cs="Times New Roman"/>
                <w:color w:val="000000"/>
                <w:sz w:val="21"/>
                <w:szCs w:val="21"/>
                <w:highlight w:val="none"/>
              </w:rPr>
              <w:t>1000</w:t>
            </w:r>
            <w:r>
              <w:rPr>
                <w:rFonts w:hint="eastAsia" w:ascii="Times New Roman" w:hAnsi="Times New Roman" w:eastAsia="仿宋_GB2312" w:cs="仿宋_GB2312"/>
                <w:color w:val="000000"/>
                <w:sz w:val="21"/>
                <w:szCs w:val="21"/>
                <w:highlight w:val="none"/>
              </w:rPr>
              <w:t>头</w:t>
            </w:r>
            <w:r>
              <w:rPr>
                <w:rFonts w:ascii="Times New Roman" w:hAnsi="Times New Roman" w:eastAsia="仿宋_GB2312" w:cs="Times New Roman"/>
                <w:color w:val="000000"/>
                <w:sz w:val="21"/>
                <w:szCs w:val="21"/>
                <w:highlight w:val="none"/>
              </w:rPr>
              <w:t>(</w:t>
            </w:r>
            <w:r>
              <w:rPr>
                <w:rFonts w:hint="eastAsia" w:ascii="Times New Roman" w:hAnsi="Times New Roman" w:eastAsia="仿宋_GB2312" w:cs="仿宋_GB2312"/>
                <w:color w:val="000000"/>
                <w:sz w:val="21"/>
                <w:szCs w:val="21"/>
                <w:highlight w:val="none"/>
              </w:rPr>
              <w:t>其他畜禽种类折合猪的养殖规模</w:t>
            </w:r>
            <w:r>
              <w:rPr>
                <w:rFonts w:ascii="Times New Roman" w:hAnsi="Times New Roman" w:eastAsia="仿宋_GB2312" w:cs="Times New Roman"/>
                <w:color w:val="000000"/>
                <w:sz w:val="21"/>
                <w:szCs w:val="21"/>
                <w:highlight w:val="none"/>
              </w:rPr>
              <w:t>)</w:t>
            </w:r>
          </w:p>
        </w:tc>
        <w:tc>
          <w:tcPr>
            <w:tcW w:w="2297"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年出栏生猪</w:t>
            </w:r>
            <w:r>
              <w:rPr>
                <w:rFonts w:ascii="Times New Roman" w:hAnsi="Times New Roman" w:eastAsia="仿宋_GB2312" w:cs="Times New Roman"/>
                <w:color w:val="000000"/>
                <w:highlight w:val="none"/>
              </w:rPr>
              <w:t>1000</w:t>
            </w:r>
            <w:r>
              <w:rPr>
                <w:rFonts w:hint="eastAsia" w:ascii="Times New Roman" w:hAnsi="Times New Roman" w:eastAsia="仿宋_GB2312" w:cs="仿宋_GB2312"/>
                <w:color w:val="000000"/>
                <w:highlight w:val="none"/>
              </w:rPr>
              <w:t>头以上，不足</w:t>
            </w:r>
            <w:r>
              <w:rPr>
                <w:rFonts w:ascii="Times New Roman" w:hAnsi="Times New Roman" w:eastAsia="仿宋_GB2312" w:cs="Times New Roman"/>
                <w:color w:val="000000"/>
                <w:highlight w:val="none"/>
              </w:rPr>
              <w:t>2000</w:t>
            </w:r>
            <w:r>
              <w:rPr>
                <w:rFonts w:hint="eastAsia" w:ascii="Times New Roman" w:hAnsi="Times New Roman" w:eastAsia="仿宋_GB2312" w:cs="仿宋_GB2312"/>
                <w:color w:val="000000"/>
                <w:highlight w:val="none"/>
              </w:rPr>
              <w:t>头</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其他畜禽种类折合猪的养殖规模</w:t>
            </w:r>
            <w:r>
              <w:rPr>
                <w:rFonts w:ascii="Times New Roman" w:hAnsi="Times New Roman" w:eastAsia="仿宋_GB2312" w:cs="Times New Roman"/>
                <w:color w:val="000000"/>
                <w:highlight w:val="none"/>
              </w:rPr>
              <w:t>)</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年出栏生猪</w:t>
            </w:r>
            <w:r>
              <w:rPr>
                <w:rFonts w:ascii="Times New Roman" w:hAnsi="Times New Roman" w:eastAsia="仿宋_GB2312" w:cs="Times New Roman"/>
                <w:color w:val="000000"/>
                <w:highlight w:val="none"/>
              </w:rPr>
              <w:t>2000</w:t>
            </w:r>
            <w:r>
              <w:rPr>
                <w:rFonts w:hint="eastAsia" w:ascii="Times New Roman" w:hAnsi="Times New Roman" w:eastAsia="仿宋_GB2312" w:cs="仿宋_GB2312"/>
                <w:color w:val="000000"/>
                <w:highlight w:val="none"/>
              </w:rPr>
              <w:t>头以上</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其他畜禽种类折合猪的养殖规模</w:t>
            </w:r>
            <w:r>
              <w:rPr>
                <w:rFonts w:ascii="Times New Roman" w:hAnsi="Times New Roman" w:eastAsia="仿宋_GB2312" w:cs="Times New Roman"/>
                <w:color w:val="000000"/>
                <w:highlight w:val="none"/>
              </w:rPr>
              <w:t>)</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逾期时间</w:t>
            </w: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641" w:type="dxa"/>
            <w:vAlign w:val="center"/>
          </w:tcPr>
          <w:p>
            <w:pPr>
              <w:pStyle w:val="12"/>
              <w:snapToGrid w:val="0"/>
              <w:spacing w:before="0" w:beforeAutospacing="0" w:after="0" w:afterAutospacing="0"/>
              <w:jc w:val="center"/>
              <w:rPr>
                <w:rFonts w:ascii="Times New Roman" w:hAnsi="Times New Roman" w:cs="Times New Roman"/>
                <w:color w:val="000000"/>
                <w:sz w:val="21"/>
                <w:szCs w:val="21"/>
                <w:highlight w:val="none"/>
              </w:rPr>
            </w:pPr>
            <w:r>
              <w:rPr>
                <w:rFonts w:ascii="Times New Roman" w:hAnsi="Times New Roman" w:eastAsia="仿宋_GB2312" w:cs="Times New Roman"/>
                <w:color w:val="000000"/>
                <w:sz w:val="21"/>
                <w:szCs w:val="21"/>
                <w:highlight w:val="none"/>
              </w:rPr>
              <w:t>5</w:t>
            </w:r>
            <w:r>
              <w:rPr>
                <w:rFonts w:hint="eastAsia" w:ascii="Times New Roman" w:hAnsi="Times New Roman" w:eastAsia="仿宋_GB2312" w:cs="仿宋_GB2312"/>
                <w:color w:val="000000"/>
                <w:sz w:val="21"/>
                <w:szCs w:val="21"/>
                <w:highlight w:val="none"/>
              </w:rPr>
              <w:t>天以上不足</w:t>
            </w: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天</w:t>
            </w:r>
          </w:p>
        </w:tc>
        <w:tc>
          <w:tcPr>
            <w:tcW w:w="2297"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641" w:type="dxa"/>
            <w:vAlign w:val="center"/>
          </w:tcPr>
          <w:p>
            <w:pPr>
              <w:pStyle w:val="12"/>
              <w:snapToGrid w:val="0"/>
              <w:spacing w:before="0" w:beforeAutospacing="0" w:after="0" w:afterAutospacing="0"/>
              <w:jc w:val="center"/>
              <w:rPr>
                <w:rFonts w:ascii="Times New Roman" w:hAnsi="Times New Roman" w:cs="Times New Roman"/>
                <w:color w:val="000000"/>
                <w:sz w:val="21"/>
                <w:szCs w:val="21"/>
                <w:highlight w:val="none"/>
              </w:rPr>
            </w:pP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天以上不足</w:t>
            </w:r>
            <w:r>
              <w:rPr>
                <w:rFonts w:ascii="Times New Roman" w:hAnsi="Times New Roman" w:eastAsia="仿宋_GB2312" w:cs="Times New Roman"/>
                <w:color w:val="000000"/>
                <w:sz w:val="21"/>
                <w:szCs w:val="21"/>
                <w:highlight w:val="none"/>
              </w:rPr>
              <w:t>20</w:t>
            </w:r>
            <w:r>
              <w:rPr>
                <w:rFonts w:hint="eastAsia" w:ascii="Times New Roman" w:hAnsi="Times New Roman" w:eastAsia="仿宋_GB2312" w:cs="仿宋_GB2312"/>
                <w:color w:val="000000"/>
                <w:sz w:val="21"/>
                <w:szCs w:val="21"/>
                <w:highlight w:val="none"/>
              </w:rPr>
              <w:t>天</w:t>
            </w:r>
          </w:p>
        </w:tc>
        <w:tc>
          <w:tcPr>
            <w:tcW w:w="2297"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641" w:type="dxa"/>
            <w:vAlign w:val="center"/>
          </w:tcPr>
          <w:p>
            <w:pPr>
              <w:pStyle w:val="12"/>
              <w:snapToGrid w:val="0"/>
              <w:spacing w:before="0" w:beforeAutospacing="0" w:after="0" w:afterAutospacing="0"/>
              <w:jc w:val="center"/>
              <w:rPr>
                <w:rFonts w:ascii="Times New Roman" w:hAnsi="Times New Roman" w:cs="Times New Roman"/>
                <w:color w:val="000000"/>
                <w:sz w:val="21"/>
                <w:szCs w:val="21"/>
                <w:highlight w:val="none"/>
              </w:rPr>
            </w:pPr>
            <w:r>
              <w:rPr>
                <w:rFonts w:ascii="Times New Roman" w:hAnsi="Times New Roman" w:eastAsia="仿宋_GB2312" w:cs="Times New Roman"/>
                <w:color w:val="000000"/>
                <w:sz w:val="21"/>
                <w:szCs w:val="21"/>
                <w:highlight w:val="none"/>
              </w:rPr>
              <w:t>20</w:t>
            </w:r>
            <w:r>
              <w:rPr>
                <w:rFonts w:hint="eastAsia" w:ascii="Times New Roman" w:hAnsi="Times New Roman" w:eastAsia="仿宋_GB2312" w:cs="仿宋_GB2312"/>
                <w:color w:val="000000"/>
                <w:sz w:val="21"/>
                <w:szCs w:val="21"/>
                <w:highlight w:val="none"/>
              </w:rPr>
              <w:t>天以上不足</w:t>
            </w: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个月</w:t>
            </w:r>
          </w:p>
        </w:tc>
        <w:tc>
          <w:tcPr>
            <w:tcW w:w="2297"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641" w:type="dxa"/>
            <w:vAlign w:val="center"/>
          </w:tcPr>
          <w:p>
            <w:pPr>
              <w:pStyle w:val="12"/>
              <w:snapToGrid w:val="0"/>
              <w:spacing w:before="0" w:beforeAutospacing="0" w:after="0" w:afterAutospacing="0"/>
              <w:jc w:val="center"/>
              <w:rPr>
                <w:rFonts w:ascii="Times New Roman" w:hAnsi="Times New Roman" w:cs="Times New Roman"/>
                <w:color w:val="000000"/>
                <w:sz w:val="21"/>
                <w:szCs w:val="21"/>
                <w:highlight w:val="none"/>
              </w:rPr>
            </w:pP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个月以上</w:t>
            </w:r>
          </w:p>
        </w:tc>
        <w:tc>
          <w:tcPr>
            <w:tcW w:w="2297"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5641" w:type="dxa"/>
            <w:vAlign w:val="center"/>
          </w:tcPr>
          <w:p>
            <w:pPr>
              <w:snapToGrid w:val="0"/>
              <w:jc w:val="center"/>
              <w:rPr>
                <w:rFonts w:ascii="Times New Roman" w:hAnsi="Times New Roman" w:cs="Times New Roman"/>
                <w:color w:val="000000"/>
                <w:highlight w:val="none"/>
              </w:rPr>
            </w:pPr>
          </w:p>
        </w:tc>
        <w:tc>
          <w:tcPr>
            <w:tcW w:w="2297" w:type="dxa"/>
            <w:vAlign w:val="center"/>
          </w:tcPr>
          <w:p>
            <w:pPr>
              <w:snapToGrid w:val="0"/>
              <w:jc w:val="center"/>
              <w:rPr>
                <w:rFonts w:ascii="Times New Roman" w:hAnsi="Times New Roman" w:cs="Times New Roman"/>
                <w:color w:val="000000"/>
                <w:highlight w:val="none"/>
              </w:rPr>
            </w:pPr>
          </w:p>
        </w:tc>
      </w:tr>
    </w:tbl>
    <w:p>
      <w:pPr>
        <w:snapToGrid w:val="0"/>
        <w:rPr>
          <w:rFonts w:ascii="Times New Roman" w:hAnsi="Times New Roman" w:eastAsia="仿宋_GB2312" w:cs="Times New Roman"/>
          <w:b/>
          <w:bCs/>
          <w:color w:val="FF0000"/>
          <w:sz w:val="10"/>
          <w:szCs w:val="10"/>
          <w:highlight w:val="none"/>
        </w:rPr>
      </w:pPr>
      <w:r>
        <w:rPr>
          <w:rFonts w:ascii="Times New Roman" w:hAnsi="Times New Roman" w:eastAsia="仿宋_GB2312" w:cs="Times New Roman"/>
          <w:b/>
          <w:bCs/>
          <w:color w:val="FF0000"/>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641"/>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（三）水污染防治类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38" w:type="dxa"/>
            <w:gridSpan w:val="2"/>
            <w:vAlign w:val="center"/>
          </w:tcPr>
          <w:p>
            <w:pPr>
              <w:snapToGrid w:val="0"/>
              <w:ind w:firstLine="42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在核心保护区或者河流两岸堆放、存贮固体废弃物和其他污染物的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vAlign w:val="center"/>
          </w:tcPr>
          <w:p>
            <w:pPr>
              <w:snapToGrid w:val="0"/>
              <w:spacing w:before="62" w:beforeLines="20" w:line="312"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《山东南水北调工程沿线区域水污染防治条例》第三十条第二款</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禁止在核心保护区或者河流两岸堆放、存贮固体废弃物和其他污染物。露天堆放、储存煤炭、石灰等易污染水体的物质的，应当采取必要的防止污染水体的措施。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vAlign w:val="center"/>
          </w:tcPr>
          <w:p>
            <w:pPr>
              <w:snapToGrid w:val="0"/>
              <w:spacing w:before="62" w:beforeLines="20" w:line="312"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《山东南水北调工程沿线区域水污染防治条例》第四十五条第（一）项</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违反本条例规定，有下列情形之一的，由县级以上人民政府环境保护行政主管部门或者其他依法行使监督管理职责的部门按照下列规定进行处罚；构成犯罪的，依法追究刑事责任：</w:t>
            </w:r>
          </w:p>
          <w:p>
            <w:pPr>
              <w:snapToGrid w:val="0"/>
              <w:spacing w:line="312" w:lineRule="auto"/>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一）在核心保护区或者河流两岸堆放、存贮固体废弃物和其他污染物的，责令停止违法行为，限期采取治理措施，消除污染，处二万元以上二十万元以下的罚款；逾期不采取治理措施的，环境保护行政主管部门可以指定有治理能力的单位代为治理，所需费用由违法者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64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29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w:t>
            </w:r>
            <w:r>
              <w:rPr>
                <w:rFonts w:ascii="Times New Roman" w:hAnsi="Times New Roman" w:cs="宋体"/>
                <w:b/>
                <w:bCs/>
                <w:color w:val="000000"/>
                <w:highlight w:val="none"/>
              </w:rPr>
              <w:t>事实</w:t>
            </w:r>
            <w:r>
              <w:rPr>
                <w:rFonts w:hint="eastAsia" w:ascii="Times New Roman" w:hAnsi="Times New Roman" w:cs="宋体"/>
                <w:b/>
                <w:bCs/>
                <w:color w:val="000000"/>
                <w:highlight w:val="none"/>
              </w:rPr>
              <w:t>★</w:t>
            </w:r>
          </w:p>
        </w:tc>
        <w:tc>
          <w:tcPr>
            <w:tcW w:w="564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在河流两岸堆放、存贮污染物</w:t>
            </w:r>
            <w:r>
              <w:rPr>
                <w:rFonts w:ascii="Times New Roman" w:hAnsi="Times New Roman" w:eastAsia="仿宋_GB2312" w:cs="仿宋_GB2312"/>
                <w:highlight w:val="none"/>
              </w:rPr>
              <w:t>不足</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吨的</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641" w:type="dxa"/>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在核心保护区堆放、存贮污染物</w:t>
            </w:r>
            <w:r>
              <w:rPr>
                <w:rFonts w:ascii="Times New Roman" w:hAnsi="Times New Roman" w:eastAsia="仿宋_GB2312" w:cs="仿宋_GB2312"/>
                <w:highlight w:val="none"/>
              </w:rPr>
              <w:t>不足</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吨的</w:t>
            </w:r>
          </w:p>
        </w:tc>
        <w:tc>
          <w:tcPr>
            <w:tcW w:w="2297" w:type="dxa"/>
            <w:vAlign w:val="center"/>
          </w:tcPr>
          <w:p>
            <w:pPr>
              <w:snapToGrid w:val="0"/>
              <w:jc w:val="center"/>
              <w:rPr>
                <w:rFonts w:ascii="Times New Roman" w:hAnsi="Times New Roman" w:cs="Times New Roman"/>
                <w:highlight w:val="none"/>
              </w:rPr>
            </w:pPr>
            <w:r>
              <w:rPr>
                <w:rFonts w:hint="eastAsia"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641" w:type="dxa"/>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在河流两岸堆放、存贮污染物</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吨以上不足</w:t>
            </w:r>
            <w:r>
              <w:rPr>
                <w:rFonts w:ascii="Times New Roman" w:hAnsi="Times New Roman" w:eastAsia="仿宋_GB2312" w:cs="Times New Roman"/>
                <w:color w:val="000000"/>
                <w:highlight w:val="none"/>
              </w:rPr>
              <w:t>50</w:t>
            </w:r>
            <w:r>
              <w:rPr>
                <w:rFonts w:hint="eastAsia" w:ascii="Times New Roman" w:hAnsi="Times New Roman" w:eastAsia="仿宋_GB2312" w:cs="仿宋_GB2312"/>
                <w:color w:val="000000"/>
                <w:highlight w:val="none"/>
              </w:rPr>
              <w:t>吨的</w:t>
            </w:r>
          </w:p>
        </w:tc>
        <w:tc>
          <w:tcPr>
            <w:tcW w:w="2297" w:type="dxa"/>
            <w:vAlign w:val="center"/>
          </w:tcPr>
          <w:p>
            <w:pPr>
              <w:snapToGrid w:val="0"/>
              <w:jc w:val="center"/>
              <w:rPr>
                <w:rFonts w:ascii="Times New Roman" w:hAnsi="Times New Roman" w:cs="Times New Roman"/>
                <w:highlight w:val="none"/>
              </w:rPr>
            </w:pPr>
            <w:r>
              <w:rPr>
                <w:rFonts w:hint="eastAsia"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64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在核心保护区堆放、存贮污染物</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吨以上不足</w:t>
            </w:r>
            <w:r>
              <w:rPr>
                <w:rFonts w:ascii="Times New Roman" w:hAnsi="Times New Roman" w:eastAsia="仿宋_GB2312" w:cs="Times New Roman"/>
                <w:color w:val="000000"/>
                <w:highlight w:val="none"/>
              </w:rPr>
              <w:t>50</w:t>
            </w:r>
            <w:r>
              <w:rPr>
                <w:rFonts w:hint="eastAsia" w:ascii="Times New Roman" w:hAnsi="Times New Roman" w:eastAsia="仿宋_GB2312" w:cs="仿宋_GB2312"/>
                <w:color w:val="000000"/>
                <w:highlight w:val="none"/>
              </w:rPr>
              <w:t>吨的</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641" w:type="dxa"/>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在核心保护区或者河流两岸堆放、存贮污染物50吨以上</w:t>
            </w:r>
            <w:r>
              <w:rPr>
                <w:rFonts w:ascii="Times New Roman" w:hAnsi="Times New Roman" w:eastAsia="仿宋_GB2312" w:cs="仿宋_GB2312"/>
                <w:highlight w:val="none"/>
              </w:rPr>
              <w:t>的</w:t>
            </w:r>
          </w:p>
        </w:tc>
        <w:tc>
          <w:tcPr>
            <w:tcW w:w="2297" w:type="dxa"/>
            <w:vAlign w:val="center"/>
          </w:tcPr>
          <w:p>
            <w:pPr>
              <w:snapToGrid w:val="0"/>
              <w:jc w:val="center"/>
              <w:rPr>
                <w:rFonts w:ascii="Times New Roman" w:hAnsi="Times New Roman" w:cs="Times New Roman"/>
                <w:highlight w:val="none"/>
              </w:rPr>
            </w:pPr>
            <w:r>
              <w:rPr>
                <w:rFonts w:hint="eastAsia"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违法持续</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时间或违法</w:t>
            </w:r>
          </w:p>
          <w:p>
            <w:pPr>
              <w:snapToGrid w:val="0"/>
              <w:jc w:val="center"/>
              <w:rPr>
                <w:rFonts w:ascii="Times New Roman" w:hAnsi="Times New Roman" w:cs="Times New Roman"/>
                <w:color w:val="000000"/>
                <w:highlight w:val="none"/>
              </w:rPr>
            </w:pPr>
            <w:r>
              <w:rPr>
                <w:rFonts w:hint="eastAsia" w:ascii="Times New Roman" w:hAnsi="Times New Roman" w:cs="宋体"/>
                <w:b/>
                <w:bCs/>
                <w:color w:val="000000"/>
                <w:highlight w:val="none"/>
              </w:rPr>
              <w:t>次数（两年内，含本次）</w:t>
            </w:r>
          </w:p>
        </w:tc>
        <w:tc>
          <w:tcPr>
            <w:tcW w:w="564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个月以内或</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次以下</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个月以上</w:t>
            </w: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个月以内或</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次</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tcBorders>
              <w:bottom w:val="single" w:color="auto" w:sz="4" w:space="0"/>
            </w:tcBorders>
            <w:vAlign w:val="center"/>
          </w:tcPr>
          <w:p>
            <w:pPr>
              <w:snapToGrid w:val="0"/>
              <w:jc w:val="center"/>
              <w:rPr>
                <w:rFonts w:ascii="Times New Roman" w:hAnsi="Times New Roman" w:cs="Times New Roman"/>
                <w:b/>
                <w:bCs/>
                <w:color w:val="000000"/>
                <w:highlight w:val="none"/>
              </w:rPr>
            </w:pPr>
          </w:p>
        </w:tc>
        <w:tc>
          <w:tcPr>
            <w:tcW w:w="5641" w:type="dxa"/>
            <w:tcBorders>
              <w:bottom w:val="single" w:color="auto" w:sz="4" w:space="0"/>
            </w:tcBorders>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个月以上或</w:t>
            </w: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次以上</w:t>
            </w:r>
          </w:p>
        </w:tc>
        <w:tc>
          <w:tcPr>
            <w:tcW w:w="2297" w:type="dxa"/>
            <w:tcBorders>
              <w:bottom w:val="single" w:color="auto" w:sz="4" w:space="0"/>
            </w:tcBorders>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5641" w:type="dxa"/>
            <w:vAlign w:val="center"/>
          </w:tcPr>
          <w:p>
            <w:pPr>
              <w:snapToGrid w:val="0"/>
              <w:jc w:val="center"/>
              <w:rPr>
                <w:rFonts w:ascii="Times New Roman" w:hAnsi="Times New Roman" w:cs="Times New Roman"/>
                <w:highlight w:val="none"/>
              </w:rPr>
            </w:pPr>
          </w:p>
        </w:tc>
        <w:tc>
          <w:tcPr>
            <w:tcW w:w="2297" w:type="dxa"/>
            <w:vAlign w:val="center"/>
          </w:tcPr>
          <w:p>
            <w:pPr>
              <w:snapToGrid w:val="0"/>
              <w:jc w:val="center"/>
              <w:rPr>
                <w:rFonts w:ascii="Times New Roman" w:hAnsi="Times New Roman" w:cs="Times New Roman"/>
                <w:highlight w:val="none"/>
              </w:rPr>
            </w:pPr>
          </w:p>
        </w:tc>
      </w:tr>
    </w:tbl>
    <w:p>
      <w:pPr>
        <w:snapToGrid w:val="0"/>
        <w:rPr>
          <w:rFonts w:ascii="Times New Roman" w:hAnsi="Times New Roman" w:eastAsia="仿宋_GB2312" w:cs="Times New Roman"/>
          <w:b/>
          <w:bCs/>
          <w:color w:val="FF0000"/>
          <w:sz w:val="10"/>
          <w:szCs w:val="10"/>
          <w:highlight w:val="none"/>
        </w:rPr>
      </w:pPr>
      <w:r>
        <w:rPr>
          <w:rFonts w:ascii="Times New Roman" w:hAnsi="Times New Roman" w:eastAsia="仿宋_GB2312" w:cs="Times New Roman"/>
          <w:b/>
          <w:bCs/>
          <w:color w:val="FF0000"/>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641"/>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（三）水污染防治类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spacing w:before="62" w:beforeLines="20"/>
              <w:ind w:firstLine="420"/>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在核心保护区或者河流两岸露天堆放、储存煤炭、石灰等易污染水体的物质，未按规定采取必要的防止污染水体的措施的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vAlign w:val="center"/>
          </w:tcPr>
          <w:p>
            <w:pPr>
              <w:snapToGrid w:val="0"/>
              <w:spacing w:before="62" w:beforeLines="20" w:line="288"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《山东南水北调工程沿线区域水污染防治条例》第三十条第二款</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禁止在核心保护区或者河流两岸堆放、存贮固体废弃物和其他污染物。露天堆放、储存煤炭、石灰等易污染水体的物质的，应当采取必要的防止污染水体的措施。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vAlign w:val="center"/>
          </w:tcPr>
          <w:p>
            <w:pPr>
              <w:snapToGrid w:val="0"/>
              <w:spacing w:before="62" w:beforeLines="20" w:line="288"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《山东南水北调工程沿线区域水污染防治条例》第四十五条第（二）项</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违反本条例规定，有下列情形之一的，由县级以上人民政府环境保护行政主管部门或者其他依法行使监督管理职责的部门按照下列规定进行处罚；构成犯罪的，依法追究刑事责任：</w:t>
            </w:r>
          </w:p>
          <w:p>
            <w:pPr>
              <w:snapToGrid w:val="0"/>
              <w:spacing w:line="288" w:lineRule="auto"/>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（二）在核心保护区或者河流两岸露天堆放、储存煤炭、石灰等易污染水体的物质，未按规定采取必要的防止污染水体的措施的，责令改正，可以处一万元以上三万元以下的罚款。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64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29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64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在河流两岸，未</w:t>
            </w:r>
            <w:r>
              <w:rPr>
                <w:rFonts w:ascii="Times New Roman" w:hAnsi="Times New Roman" w:eastAsia="仿宋_GB2312" w:cs="仿宋_GB2312"/>
                <w:highlight w:val="none"/>
              </w:rPr>
              <w:t>规范采取防治污染水体的措施的</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64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在核心保护区，未</w:t>
            </w:r>
            <w:r>
              <w:rPr>
                <w:rFonts w:ascii="Times New Roman" w:hAnsi="Times New Roman" w:eastAsia="仿宋_GB2312" w:cs="仿宋_GB2312"/>
                <w:highlight w:val="none"/>
              </w:rPr>
              <w:t>规范采取防治污染水体的措施的</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641" w:type="dxa"/>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未采取</w:t>
            </w:r>
            <w:r>
              <w:rPr>
                <w:rFonts w:ascii="Times New Roman" w:hAnsi="Times New Roman" w:eastAsia="仿宋_GB2312" w:cs="仿宋_GB2312"/>
                <w:highlight w:val="none"/>
              </w:rPr>
              <w:t>防治污染水体措施的</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易污染水体</w:t>
            </w:r>
          </w:p>
          <w:p>
            <w:pPr>
              <w:snapToGrid w:val="0"/>
              <w:jc w:val="center"/>
              <w:rPr>
                <w:rFonts w:ascii="Times New Roman" w:hAnsi="Times New Roman" w:cs="Times New Roman"/>
                <w:highlight w:val="none"/>
              </w:rPr>
            </w:pPr>
            <w:r>
              <w:rPr>
                <w:rFonts w:hint="eastAsia" w:ascii="Times New Roman" w:hAnsi="Times New Roman" w:cs="宋体"/>
                <w:b/>
                <w:bCs/>
                <w:highlight w:val="none"/>
              </w:rPr>
              <w:t>物质数量</w:t>
            </w:r>
          </w:p>
        </w:tc>
        <w:tc>
          <w:tcPr>
            <w:tcW w:w="564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吨</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highlight w:val="none"/>
              </w:rPr>
            </w:pPr>
          </w:p>
        </w:tc>
        <w:tc>
          <w:tcPr>
            <w:tcW w:w="5641"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吨以上不足</w:t>
            </w:r>
            <w:r>
              <w:rPr>
                <w:rFonts w:ascii="Times New Roman" w:hAnsi="Times New Roman" w:eastAsia="仿宋_GB2312" w:cs="Times New Roman"/>
                <w:color w:val="000000"/>
                <w:highlight w:val="none"/>
              </w:rPr>
              <w:t>50</w:t>
            </w:r>
            <w:r>
              <w:rPr>
                <w:rFonts w:hint="eastAsia" w:ascii="Times New Roman" w:hAnsi="Times New Roman" w:eastAsia="仿宋_GB2312" w:cs="仿宋_GB2312"/>
                <w:color w:val="000000"/>
                <w:highlight w:val="none"/>
              </w:rPr>
              <w:t>吨</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pStyle w:val="12"/>
              <w:snapToGrid w:val="0"/>
              <w:spacing w:before="0" w:beforeAutospacing="0" w:after="0" w:afterAutospacing="0"/>
              <w:jc w:val="center"/>
              <w:rPr>
                <w:rFonts w:ascii="Times New Roman" w:hAnsi="Times New Roman" w:eastAsia="仿宋_GB2312" w:cs="Times New Roman"/>
                <w:color w:val="000000"/>
                <w:kern w:val="2"/>
                <w:sz w:val="21"/>
                <w:szCs w:val="21"/>
                <w:highlight w:val="none"/>
              </w:rPr>
            </w:pPr>
            <w:r>
              <w:rPr>
                <w:rFonts w:ascii="Times New Roman" w:hAnsi="Times New Roman" w:eastAsia="仿宋_GB2312" w:cs="Times New Roman"/>
                <w:color w:val="000000"/>
                <w:kern w:val="2"/>
                <w:sz w:val="21"/>
                <w:szCs w:val="21"/>
                <w:highlight w:val="none"/>
              </w:rPr>
              <w:t>50</w:t>
            </w:r>
            <w:r>
              <w:rPr>
                <w:rFonts w:hint="eastAsia" w:ascii="Times New Roman" w:hAnsi="Times New Roman" w:eastAsia="仿宋_GB2312" w:cs="仿宋_GB2312"/>
                <w:color w:val="000000"/>
                <w:kern w:val="2"/>
                <w:sz w:val="21"/>
                <w:szCs w:val="21"/>
                <w:highlight w:val="none"/>
              </w:rPr>
              <w:t>吨以上</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违法持续</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时间或违法</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次数（两年内，含本次）</w:t>
            </w:r>
          </w:p>
        </w:tc>
        <w:tc>
          <w:tcPr>
            <w:tcW w:w="564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个月以内或</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次以下</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个月以上</w:t>
            </w: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个月以内或</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次</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个月以上或</w:t>
            </w: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次以上</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w:t>
            </w:r>
            <w:r>
              <w:rPr>
                <w:rFonts w:ascii="Times New Roman" w:hAnsi="Times New Roman" w:cs="Times New Roman"/>
                <w:b/>
                <w:bCs/>
                <w:highlight w:val="none"/>
              </w:rPr>
              <w:t xml:space="preserve">  </w:t>
            </w:r>
            <w:r>
              <w:rPr>
                <w:rFonts w:hint="eastAsia" w:ascii="Times New Roman" w:hAnsi="Times New Roman" w:cs="宋体"/>
                <w:b/>
                <w:bCs/>
                <w:highlight w:val="none"/>
              </w:rPr>
              <w:t>注</w:t>
            </w:r>
          </w:p>
        </w:tc>
        <w:tc>
          <w:tcPr>
            <w:tcW w:w="5641" w:type="dxa"/>
            <w:vAlign w:val="center"/>
          </w:tcPr>
          <w:p>
            <w:pPr>
              <w:snapToGrid w:val="0"/>
              <w:jc w:val="center"/>
              <w:rPr>
                <w:rFonts w:ascii="Times New Roman" w:hAnsi="Times New Roman" w:cs="Times New Roman"/>
                <w:highlight w:val="none"/>
              </w:rPr>
            </w:pPr>
          </w:p>
        </w:tc>
        <w:tc>
          <w:tcPr>
            <w:tcW w:w="2297" w:type="dxa"/>
            <w:vAlign w:val="center"/>
          </w:tcPr>
          <w:p>
            <w:pPr>
              <w:snapToGrid w:val="0"/>
              <w:jc w:val="center"/>
              <w:rPr>
                <w:rFonts w:ascii="Times New Roman" w:hAnsi="Times New Roman" w:cs="Times New Roman"/>
                <w:highlight w:val="none"/>
              </w:rPr>
            </w:pPr>
          </w:p>
        </w:tc>
      </w:tr>
    </w:tbl>
    <w:p>
      <w:pPr>
        <w:snapToGrid w:val="0"/>
        <w:rPr>
          <w:rFonts w:ascii="Times New Roman" w:hAnsi="Times New Roman" w:eastAsia="仿宋_GB2312" w:cs="Times New Roman"/>
          <w:b/>
          <w:bCs/>
          <w:color w:val="FF0000"/>
          <w:sz w:val="10"/>
          <w:szCs w:val="10"/>
          <w:highlight w:val="none"/>
        </w:rPr>
      </w:pPr>
      <w:r>
        <w:rPr>
          <w:rFonts w:ascii="Times New Roman" w:hAnsi="Times New Roman" w:eastAsia="仿宋_GB2312" w:cs="Times New Roman"/>
          <w:b/>
          <w:bCs/>
          <w:color w:val="FF0000"/>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641"/>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（三）水污染防治类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ind w:firstLine="42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在人工养殖区内使用违禁药物的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vAlign w:val="center"/>
          </w:tcPr>
          <w:p>
            <w:pPr>
              <w:snapToGrid w:val="0"/>
              <w:spacing w:before="62" w:beforeLines="20" w:line="264"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《山东南水北调工程沿线区域水污染防治条例》第三十三条第三款</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人工养殖区内应当合理确定养殖规模、品种和密度，鼓励推广使用污染物产生量少和自然水体养殖技术，限量发展并逐步取消人工投饵性鱼类网箱、网围等养殖方式，并不得使用违禁药物。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vAlign w:val="center"/>
          </w:tcPr>
          <w:p>
            <w:pPr>
              <w:snapToGrid w:val="0"/>
              <w:spacing w:before="62" w:beforeLines="20" w:line="264"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《山东南水北调工程沿线区域水污染防治条例》第四十五条第（五）项</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违反本条例规定，有下列情形之一的，由县级以上人民政府环境保护行政主管部门或者其他依法行使监督管理职责的部门按照下列规定进行处罚；构成犯罪的，依法追究刑事责任：</w:t>
            </w:r>
          </w:p>
          <w:p>
            <w:pPr>
              <w:snapToGrid w:val="0"/>
              <w:spacing w:line="264" w:lineRule="auto"/>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（五）在人工养殖区内使用违禁药物的，给予警告，责令停止使用，没收其药物，可以并处一万元以上五万元以下的罚款。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64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29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宋体"/>
                <w:b/>
                <w:bCs/>
                <w:color w:val="000000"/>
                <w:highlight w:val="none"/>
              </w:rPr>
            </w:pPr>
            <w:r>
              <w:rPr>
                <w:rFonts w:hint="eastAsia" w:ascii="Times New Roman" w:hAnsi="Times New Roman" w:cs="宋体"/>
                <w:b/>
                <w:bCs/>
                <w:color w:val="000000"/>
                <w:highlight w:val="none"/>
              </w:rPr>
              <w:t>违法行为★</w:t>
            </w:r>
          </w:p>
        </w:tc>
        <w:tc>
          <w:tcPr>
            <w:tcW w:w="5641"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在人工养殖区内使用违禁药物，未造成污染后果</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宋体"/>
                <w:b/>
                <w:bCs/>
                <w:color w:val="000000"/>
                <w:highlight w:val="none"/>
              </w:rPr>
            </w:pPr>
          </w:p>
        </w:tc>
        <w:tc>
          <w:tcPr>
            <w:tcW w:w="5641"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在人工养殖区内使用违禁药物，造成一般污染后果</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宋体"/>
                <w:b/>
                <w:bCs/>
                <w:color w:val="000000"/>
                <w:highlight w:val="none"/>
              </w:rPr>
            </w:pPr>
          </w:p>
        </w:tc>
        <w:tc>
          <w:tcPr>
            <w:tcW w:w="5641"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在人工养殖区内使用违禁药物，造成严重污染后果</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人工养殖</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规模</w:t>
            </w: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占地面积小于</w:t>
            </w:r>
            <w:r>
              <w:rPr>
                <w:rFonts w:ascii="Times New Roman" w:hAnsi="Times New Roman" w:eastAsia="仿宋_GB2312" w:cs="Times New Roman"/>
                <w:color w:val="000000"/>
                <w:highlight w:val="none"/>
              </w:rPr>
              <w:t>50m</w:t>
            </w:r>
            <w:r>
              <w:rPr>
                <w:rFonts w:ascii="Times New Roman" w:hAnsi="Times New Roman" w:eastAsia="仿宋_GB2312" w:cs="Times New Roman"/>
                <w:color w:val="000000"/>
                <w:highlight w:val="none"/>
                <w:vertAlign w:val="superscript"/>
              </w:rPr>
              <w:t>2</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占地面积在</w:t>
            </w:r>
            <w:r>
              <w:rPr>
                <w:rFonts w:ascii="Times New Roman" w:hAnsi="Times New Roman" w:eastAsia="仿宋_GB2312" w:cs="Times New Roman"/>
                <w:color w:val="000000"/>
                <w:highlight w:val="none"/>
              </w:rPr>
              <w:t>50m</w:t>
            </w:r>
            <w:r>
              <w:rPr>
                <w:rFonts w:ascii="Times New Roman" w:hAnsi="Times New Roman" w:eastAsia="仿宋_GB2312" w:cs="Times New Roman"/>
                <w:color w:val="000000"/>
                <w:highlight w:val="none"/>
                <w:vertAlign w:val="superscript"/>
              </w:rPr>
              <w:t>2</w:t>
            </w:r>
            <w:r>
              <w:rPr>
                <w:rFonts w:hint="eastAsia" w:ascii="Times New Roman" w:hAnsi="Times New Roman" w:eastAsia="仿宋_GB2312" w:cs="仿宋_GB2312"/>
                <w:color w:val="000000"/>
                <w:highlight w:val="none"/>
              </w:rPr>
              <w:t>以上</w:t>
            </w:r>
            <w:r>
              <w:rPr>
                <w:rFonts w:ascii="Times New Roman" w:hAnsi="Times New Roman" w:eastAsia="仿宋_GB2312" w:cs="Times New Roman"/>
                <w:color w:val="000000"/>
                <w:highlight w:val="none"/>
              </w:rPr>
              <w:t>200m</w:t>
            </w:r>
            <w:r>
              <w:rPr>
                <w:rFonts w:ascii="Times New Roman" w:hAnsi="Times New Roman" w:eastAsia="仿宋_GB2312" w:cs="Times New Roman"/>
                <w:color w:val="000000"/>
                <w:highlight w:val="none"/>
                <w:vertAlign w:val="superscript"/>
              </w:rPr>
              <w:t>2</w:t>
            </w:r>
            <w:r>
              <w:rPr>
                <w:rFonts w:hint="eastAsia" w:ascii="Times New Roman" w:hAnsi="Times New Roman" w:eastAsia="仿宋_GB2312" w:cs="仿宋_GB2312"/>
                <w:color w:val="000000"/>
                <w:highlight w:val="none"/>
              </w:rPr>
              <w:t>以内的</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占地面积在</w:t>
            </w:r>
            <w:r>
              <w:rPr>
                <w:rFonts w:ascii="Times New Roman" w:hAnsi="Times New Roman" w:eastAsia="仿宋_GB2312" w:cs="Times New Roman"/>
                <w:color w:val="000000"/>
                <w:highlight w:val="none"/>
              </w:rPr>
              <w:t>200m</w:t>
            </w:r>
            <w:r>
              <w:rPr>
                <w:rFonts w:ascii="Times New Roman" w:hAnsi="Times New Roman" w:eastAsia="仿宋_GB2312" w:cs="Times New Roman"/>
                <w:color w:val="000000"/>
                <w:highlight w:val="none"/>
                <w:vertAlign w:val="superscript"/>
              </w:rPr>
              <w:t>2</w:t>
            </w:r>
            <w:r>
              <w:rPr>
                <w:rFonts w:hint="eastAsia" w:ascii="Times New Roman" w:hAnsi="Times New Roman" w:eastAsia="仿宋_GB2312" w:cs="仿宋_GB2312"/>
                <w:color w:val="000000"/>
                <w:highlight w:val="none"/>
              </w:rPr>
              <w:t>以上的</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违法持续时间或违法次数</w:t>
            </w:r>
          </w:p>
        </w:tc>
        <w:tc>
          <w:tcPr>
            <w:tcW w:w="564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个月以内或</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次以下</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个月以上</w:t>
            </w: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个月以内或</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次</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个月以上或</w:t>
            </w: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次以上</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w:t>
            </w:r>
            <w:r>
              <w:rPr>
                <w:rFonts w:ascii="Times New Roman" w:hAnsi="Times New Roman" w:cs="Times New Roman"/>
                <w:b/>
                <w:bCs/>
                <w:highlight w:val="none"/>
              </w:rPr>
              <w:t xml:space="preserve">  </w:t>
            </w:r>
            <w:r>
              <w:rPr>
                <w:rFonts w:hint="eastAsia" w:ascii="Times New Roman" w:hAnsi="Times New Roman" w:cs="宋体"/>
                <w:b/>
                <w:bCs/>
                <w:highlight w:val="none"/>
              </w:rPr>
              <w:t>注</w:t>
            </w:r>
          </w:p>
        </w:tc>
        <w:tc>
          <w:tcPr>
            <w:tcW w:w="5641" w:type="dxa"/>
            <w:vAlign w:val="center"/>
          </w:tcPr>
          <w:p>
            <w:pPr>
              <w:snapToGrid w:val="0"/>
              <w:jc w:val="center"/>
              <w:rPr>
                <w:rFonts w:ascii="Times New Roman" w:hAnsi="Times New Roman" w:cs="Times New Roman"/>
                <w:highlight w:val="none"/>
              </w:rPr>
            </w:pPr>
          </w:p>
        </w:tc>
        <w:tc>
          <w:tcPr>
            <w:tcW w:w="2297" w:type="dxa"/>
            <w:vAlign w:val="center"/>
          </w:tcPr>
          <w:p>
            <w:pPr>
              <w:snapToGrid w:val="0"/>
              <w:jc w:val="center"/>
              <w:rPr>
                <w:rFonts w:ascii="Times New Roman" w:hAnsi="Times New Roman" w:cs="Times New Roman"/>
                <w:highlight w:val="none"/>
              </w:rPr>
            </w:pPr>
          </w:p>
        </w:tc>
      </w:tr>
    </w:tbl>
    <w:p>
      <w:pPr>
        <w:snapToGrid w:val="0"/>
        <w:rPr>
          <w:rFonts w:ascii="Times New Roman" w:hAnsi="Times New Roman" w:eastAsia="仿宋_GB2312" w:cs="Times New Roman"/>
          <w:b/>
          <w:bCs/>
          <w:color w:val="FF0000"/>
          <w:sz w:val="10"/>
          <w:szCs w:val="10"/>
          <w:highlight w:val="none"/>
        </w:rPr>
      </w:pPr>
      <w:r>
        <w:rPr>
          <w:rFonts w:ascii="Times New Roman" w:hAnsi="Times New Roman" w:eastAsia="仿宋_GB2312" w:cs="Times New Roman"/>
          <w:b/>
          <w:bCs/>
          <w:color w:val="FF0000"/>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641"/>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（三）水污染防治类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ind w:firstLine="42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进入输水干线的机动船舶，未配备、设置污染物接收与处理设施、设备的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vAlign w:val="center"/>
          </w:tcPr>
          <w:p>
            <w:pPr>
              <w:snapToGrid w:val="0"/>
              <w:spacing w:line="312"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《山东南水北调工程沿线区域水污染防治条例》第三十五条第一款</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进入输水干线的机动船舶，应当配备相应的防止污染的设备和油污、垃圾、污水等污染物集中收集、存储设施，并制定船舶污染事故应急预案。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vAlign w:val="center"/>
          </w:tcPr>
          <w:p>
            <w:pPr>
              <w:snapToGrid w:val="0"/>
              <w:spacing w:line="312"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《山东南水北调工程沿线区域水污染防治条例》第四十五条第（六）项</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违反本条例规定，有下列情形之一的，由县级以上人民政府环境保护行政主管部门或者其他依法行使监督管理职责的部门按照下列规定进行处罚；构成犯罪的，依法追究刑事责任：</w:t>
            </w:r>
          </w:p>
          <w:p>
            <w:pPr>
              <w:snapToGrid w:val="0"/>
              <w:spacing w:line="312" w:lineRule="auto"/>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（六）进入输水干线的机动船舶，未配备、设置污染物接收与处理设施、设备的，责令限期改正，处二千元以上二万元以下的罚款；逾期不改正的，责令船舶临时停航。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64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29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未规范配备、设置污染物接收与处理设施、设备的</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未配备、设置污染物接收与处理设施、设备的</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船舶规模</w:t>
            </w:r>
          </w:p>
        </w:tc>
        <w:tc>
          <w:tcPr>
            <w:tcW w:w="5641"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300</w:t>
            </w:r>
            <w:r>
              <w:rPr>
                <w:rFonts w:hint="eastAsia" w:ascii="Times New Roman" w:hAnsi="Times New Roman" w:eastAsia="仿宋_GB2312" w:cs="仿宋_GB2312"/>
                <w:highlight w:val="none"/>
              </w:rPr>
              <w:t>总吨以下的内河船舶以及</w:t>
            </w:r>
            <w:r>
              <w:rPr>
                <w:rFonts w:ascii="Times New Roman" w:hAnsi="Times New Roman" w:eastAsia="仿宋_GB2312" w:cs="Times New Roman"/>
                <w:highlight w:val="none"/>
              </w:rPr>
              <w:t>150</w:t>
            </w:r>
            <w:r>
              <w:rPr>
                <w:rFonts w:hint="eastAsia" w:ascii="Times New Roman" w:hAnsi="Times New Roman" w:eastAsia="仿宋_GB2312" w:cs="仿宋_GB2312"/>
                <w:highlight w:val="none"/>
              </w:rPr>
              <w:t>千瓦以下的内河拖轮</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300</w:t>
            </w:r>
            <w:r>
              <w:rPr>
                <w:rFonts w:hint="eastAsia" w:ascii="Times New Roman" w:hAnsi="Times New Roman" w:eastAsia="仿宋_GB2312" w:cs="仿宋_GB2312"/>
                <w:color w:val="000000"/>
                <w:highlight w:val="none"/>
              </w:rPr>
              <w:t>总吨及以上至</w:t>
            </w:r>
            <w:r>
              <w:rPr>
                <w:rFonts w:ascii="Times New Roman" w:hAnsi="Times New Roman" w:eastAsia="仿宋_GB2312" w:cs="Times New Roman"/>
                <w:color w:val="000000"/>
                <w:highlight w:val="none"/>
              </w:rPr>
              <w:t>1000</w:t>
            </w:r>
            <w:r>
              <w:rPr>
                <w:rFonts w:hint="eastAsia" w:ascii="Times New Roman" w:hAnsi="Times New Roman" w:eastAsia="仿宋_GB2312" w:cs="仿宋_GB2312"/>
                <w:color w:val="000000"/>
                <w:highlight w:val="none"/>
              </w:rPr>
              <w:t>总吨的内河船舶以及</w:t>
            </w:r>
            <w:r>
              <w:rPr>
                <w:rFonts w:ascii="Times New Roman" w:hAnsi="Times New Roman" w:eastAsia="仿宋_GB2312" w:cs="Times New Roman"/>
                <w:color w:val="000000"/>
                <w:highlight w:val="none"/>
              </w:rPr>
              <w:t>150</w:t>
            </w:r>
            <w:r>
              <w:rPr>
                <w:rFonts w:hint="eastAsia" w:ascii="Times New Roman" w:hAnsi="Times New Roman" w:eastAsia="仿宋_GB2312" w:cs="仿宋_GB2312"/>
                <w:color w:val="000000"/>
                <w:highlight w:val="none"/>
              </w:rPr>
              <w:t>千瓦及以上至</w:t>
            </w:r>
            <w:r>
              <w:rPr>
                <w:rFonts w:ascii="Times New Roman" w:hAnsi="Times New Roman" w:eastAsia="仿宋_GB2312" w:cs="Times New Roman"/>
                <w:color w:val="000000"/>
                <w:highlight w:val="none"/>
              </w:rPr>
              <w:t>500</w:t>
            </w:r>
            <w:r>
              <w:rPr>
                <w:rFonts w:hint="eastAsia" w:ascii="Times New Roman" w:hAnsi="Times New Roman" w:eastAsia="仿宋_GB2312" w:cs="仿宋_GB2312"/>
                <w:color w:val="000000"/>
                <w:highlight w:val="none"/>
              </w:rPr>
              <w:t>千瓦的内河拖轮</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1000</w:t>
            </w:r>
            <w:r>
              <w:rPr>
                <w:rFonts w:hint="eastAsia" w:ascii="Times New Roman" w:hAnsi="Times New Roman" w:eastAsia="仿宋_GB2312" w:cs="仿宋_GB2312"/>
                <w:color w:val="000000"/>
                <w:highlight w:val="none"/>
              </w:rPr>
              <w:t>总吨及以上的内河船舶以及</w:t>
            </w:r>
            <w:r>
              <w:rPr>
                <w:rFonts w:ascii="Times New Roman" w:hAnsi="Times New Roman" w:eastAsia="仿宋_GB2312" w:cs="Times New Roman"/>
                <w:color w:val="000000"/>
                <w:highlight w:val="none"/>
              </w:rPr>
              <w:t>500</w:t>
            </w:r>
            <w:r>
              <w:rPr>
                <w:rFonts w:hint="eastAsia" w:ascii="Times New Roman" w:hAnsi="Times New Roman" w:eastAsia="仿宋_GB2312" w:cs="仿宋_GB2312"/>
                <w:color w:val="000000"/>
                <w:highlight w:val="none"/>
              </w:rPr>
              <w:t>千瓦及以上的内河拖轮</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bookmarkStart w:id="58" w:name="_Hlk24649032"/>
            <w:r>
              <w:rPr>
                <w:rFonts w:hint="eastAsia" w:ascii="Times New Roman" w:hAnsi="Times New Roman" w:cs="宋体"/>
                <w:b/>
                <w:bCs/>
                <w:color w:val="000000"/>
                <w:highlight w:val="none"/>
              </w:rPr>
              <w:t>违法持续</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时间</w:t>
            </w:r>
          </w:p>
        </w:tc>
        <w:tc>
          <w:tcPr>
            <w:tcW w:w="564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个月以内</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个月以上</w:t>
            </w: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个月以内</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个月以上</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bookmarkEnd w:id="5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w:t>
            </w:r>
            <w:r>
              <w:rPr>
                <w:rFonts w:ascii="Times New Roman" w:hAnsi="Times New Roman" w:cs="Times New Roman"/>
                <w:b/>
                <w:bCs/>
                <w:highlight w:val="none"/>
              </w:rPr>
              <w:t xml:space="preserve">  </w:t>
            </w:r>
            <w:r>
              <w:rPr>
                <w:rFonts w:hint="eastAsia" w:ascii="Times New Roman" w:hAnsi="Times New Roman" w:cs="宋体"/>
                <w:b/>
                <w:bCs/>
                <w:highlight w:val="none"/>
              </w:rPr>
              <w:t>注</w:t>
            </w:r>
          </w:p>
        </w:tc>
        <w:tc>
          <w:tcPr>
            <w:tcW w:w="5641" w:type="dxa"/>
            <w:vAlign w:val="center"/>
          </w:tcPr>
          <w:p>
            <w:pPr>
              <w:snapToGrid w:val="0"/>
              <w:jc w:val="center"/>
              <w:rPr>
                <w:rFonts w:ascii="Times New Roman" w:hAnsi="Times New Roman" w:cs="Times New Roman"/>
                <w:highlight w:val="none"/>
              </w:rPr>
            </w:pPr>
          </w:p>
        </w:tc>
        <w:tc>
          <w:tcPr>
            <w:tcW w:w="2297" w:type="dxa"/>
            <w:vAlign w:val="center"/>
          </w:tcPr>
          <w:p>
            <w:pPr>
              <w:snapToGrid w:val="0"/>
              <w:jc w:val="center"/>
              <w:rPr>
                <w:rFonts w:ascii="Times New Roman" w:hAnsi="Times New Roman" w:cs="Times New Roman"/>
                <w:highlight w:val="none"/>
              </w:rPr>
            </w:pPr>
          </w:p>
        </w:tc>
      </w:tr>
    </w:tbl>
    <w:p>
      <w:pPr>
        <w:snapToGrid w:val="0"/>
        <w:rPr>
          <w:rFonts w:ascii="Times New Roman" w:hAnsi="Times New Roman" w:eastAsia="仿宋_GB2312" w:cs="Times New Roman"/>
          <w:b/>
          <w:bCs/>
          <w:color w:val="FF0000"/>
          <w:sz w:val="10"/>
          <w:szCs w:val="10"/>
          <w:highlight w:val="none"/>
        </w:rPr>
      </w:pPr>
      <w:r>
        <w:rPr>
          <w:rFonts w:ascii="Times New Roman" w:hAnsi="Times New Roman" w:eastAsia="仿宋_GB2312" w:cs="Times New Roman"/>
          <w:b/>
          <w:bCs/>
          <w:color w:val="FF0000"/>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6067"/>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（三）水污染防治类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spacing w:line="312" w:lineRule="auto"/>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港口、码头、船闸等船舶集中停泊区域，未配备、设置污染物接收与处理设施、设备，责令限期改正逾期不改正的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vAlign w:val="center"/>
          </w:tcPr>
          <w:p>
            <w:pPr>
              <w:snapToGrid w:val="0"/>
              <w:spacing w:line="312"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《山东南水北调工程沿线区域水污染防治条例》第三十五条第二款</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在港口、码头、船闸等船舶集中停泊区域，应当设置与其吞吐能力或者通行能力相适应的船舶油污、污水、垃圾等污染物接收与处理设施、设备。污染物接收与处理设施、设备的建设，由港口、码头、船闸的经营单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vAlign w:val="center"/>
          </w:tcPr>
          <w:p>
            <w:pPr>
              <w:snapToGrid w:val="0"/>
              <w:spacing w:line="312"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《山东南水北调工程沿线区域水污染防治条例》第四十五条第（七）项</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违反本条例规定，有下列情形之一的，由县级以上人民政府环境保护行政主管部门或者其他依法行使监督管理职责的部门按照下列规定进行处罚；构成犯罪的，依法追究刑事责任：</w:t>
            </w:r>
          </w:p>
          <w:p>
            <w:pPr>
              <w:snapToGrid w:val="0"/>
              <w:spacing w:line="312" w:lineRule="auto"/>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（七）港口、码头、船闸等船舶集中停泊区域，未配备、设置污染物接收与处理设施、设备的，责令限期改正；逾期不改正的，处一万元以上三万元以下罚款。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60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18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6067"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已配备、设置污染物接收与处理设施、设备的，但是不规范的</w:t>
            </w:r>
          </w:p>
        </w:tc>
        <w:tc>
          <w:tcPr>
            <w:tcW w:w="187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6067"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已配备、设置部分污染物接收与处理设施、设备的，但是不全的</w:t>
            </w:r>
          </w:p>
        </w:tc>
        <w:tc>
          <w:tcPr>
            <w:tcW w:w="187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6067"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未配备、设置污染物接收与处理设施、设备的</w:t>
            </w:r>
          </w:p>
        </w:tc>
        <w:tc>
          <w:tcPr>
            <w:tcW w:w="187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船舶集中停泊区域规模</w:t>
            </w:r>
          </w:p>
        </w:tc>
        <w:tc>
          <w:tcPr>
            <w:tcW w:w="6067"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年吞吐量</w:t>
            </w:r>
            <w:r>
              <w:rPr>
                <w:rFonts w:hint="eastAsia" w:ascii="Times New Roman" w:hAnsi="Times New Roman" w:eastAsia="仿宋_GB2312" w:cs="仿宋_GB2312"/>
                <w:color w:val="333333"/>
                <w:highlight w:val="none"/>
                <w:shd w:val="clear" w:color="auto" w:fill="FFFFFF"/>
              </w:rPr>
              <w:t>少于</w:t>
            </w:r>
            <w:r>
              <w:rPr>
                <w:rFonts w:ascii="Times New Roman" w:hAnsi="Times New Roman" w:eastAsia="仿宋_GB2312" w:cs="Times New Roman"/>
                <w:color w:val="333333"/>
                <w:highlight w:val="none"/>
                <w:shd w:val="clear" w:color="auto" w:fill="FFFFFF"/>
              </w:rPr>
              <w:t>100</w:t>
            </w:r>
            <w:r>
              <w:rPr>
                <w:rFonts w:hint="eastAsia" w:ascii="Times New Roman" w:hAnsi="Times New Roman" w:eastAsia="仿宋_GB2312" w:cs="仿宋_GB2312"/>
                <w:color w:val="333333"/>
                <w:highlight w:val="none"/>
                <w:shd w:val="clear" w:color="auto" w:fill="FFFFFF"/>
              </w:rPr>
              <w:t>万吨</w:t>
            </w:r>
          </w:p>
        </w:tc>
        <w:tc>
          <w:tcPr>
            <w:tcW w:w="1871"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6067"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333333"/>
                <w:highlight w:val="none"/>
                <w:shd w:val="clear" w:color="auto" w:fill="FFFFFF"/>
              </w:rPr>
              <w:t>年吞吐量大于</w:t>
            </w:r>
            <w:r>
              <w:rPr>
                <w:rFonts w:ascii="Times New Roman" w:hAnsi="Times New Roman" w:eastAsia="仿宋_GB2312" w:cs="Times New Roman"/>
                <w:color w:val="333333"/>
                <w:highlight w:val="none"/>
                <w:shd w:val="clear" w:color="auto" w:fill="FFFFFF"/>
              </w:rPr>
              <w:t>100</w:t>
            </w:r>
            <w:r>
              <w:rPr>
                <w:rFonts w:hint="eastAsia" w:ascii="Times New Roman" w:hAnsi="Times New Roman" w:eastAsia="仿宋_GB2312" w:cs="仿宋_GB2312"/>
                <w:color w:val="333333"/>
                <w:highlight w:val="none"/>
                <w:shd w:val="clear" w:color="auto" w:fill="FFFFFF"/>
              </w:rPr>
              <w:t>万吨少于</w:t>
            </w:r>
            <w:r>
              <w:rPr>
                <w:rFonts w:ascii="Times New Roman" w:hAnsi="Times New Roman" w:eastAsia="仿宋_GB2312" w:cs="Times New Roman"/>
                <w:color w:val="333333"/>
                <w:highlight w:val="none"/>
                <w:shd w:val="clear" w:color="auto" w:fill="FFFFFF"/>
              </w:rPr>
              <w:t>1000</w:t>
            </w:r>
            <w:r>
              <w:rPr>
                <w:rFonts w:hint="eastAsia" w:ascii="Times New Roman" w:hAnsi="Times New Roman" w:eastAsia="仿宋_GB2312" w:cs="仿宋_GB2312"/>
                <w:color w:val="333333"/>
                <w:highlight w:val="none"/>
                <w:shd w:val="clear" w:color="auto" w:fill="FFFFFF"/>
              </w:rPr>
              <w:t>万吨</w:t>
            </w:r>
          </w:p>
        </w:tc>
        <w:tc>
          <w:tcPr>
            <w:tcW w:w="187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6067"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333333"/>
                <w:highlight w:val="none"/>
                <w:shd w:val="clear" w:color="auto" w:fill="FFFFFF"/>
              </w:rPr>
              <w:t>年吞吐量大于</w:t>
            </w:r>
            <w:r>
              <w:rPr>
                <w:rFonts w:ascii="Times New Roman" w:hAnsi="Times New Roman" w:eastAsia="仿宋_GB2312" w:cs="Times New Roman"/>
                <w:color w:val="333333"/>
                <w:highlight w:val="none"/>
                <w:shd w:val="clear" w:color="auto" w:fill="FFFFFF"/>
              </w:rPr>
              <w:t>1000</w:t>
            </w:r>
            <w:r>
              <w:rPr>
                <w:rFonts w:hint="eastAsia" w:ascii="Times New Roman" w:hAnsi="Times New Roman" w:eastAsia="仿宋_GB2312" w:cs="仿宋_GB2312"/>
                <w:color w:val="333333"/>
                <w:highlight w:val="none"/>
                <w:shd w:val="clear" w:color="auto" w:fill="FFFFFF"/>
              </w:rPr>
              <w:t>万吨少于</w:t>
            </w:r>
            <w:r>
              <w:rPr>
                <w:rFonts w:ascii="Times New Roman" w:hAnsi="Times New Roman" w:eastAsia="仿宋_GB2312" w:cs="Times New Roman"/>
                <w:color w:val="333333"/>
                <w:highlight w:val="none"/>
                <w:shd w:val="clear" w:color="auto" w:fill="FFFFFF"/>
              </w:rPr>
              <w:t>3000</w:t>
            </w:r>
            <w:r>
              <w:rPr>
                <w:rFonts w:hint="eastAsia" w:ascii="Times New Roman" w:hAnsi="Times New Roman" w:eastAsia="仿宋_GB2312" w:cs="仿宋_GB2312"/>
                <w:color w:val="333333"/>
                <w:highlight w:val="none"/>
                <w:shd w:val="clear" w:color="auto" w:fill="FFFFFF"/>
              </w:rPr>
              <w:t>万吨</w:t>
            </w:r>
          </w:p>
        </w:tc>
        <w:tc>
          <w:tcPr>
            <w:tcW w:w="187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6067"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333333"/>
                <w:highlight w:val="none"/>
                <w:shd w:val="clear" w:color="auto" w:fill="FFFFFF"/>
              </w:rPr>
              <w:t>年吞吐量大于</w:t>
            </w:r>
            <w:r>
              <w:rPr>
                <w:rFonts w:ascii="Times New Roman" w:hAnsi="Times New Roman" w:eastAsia="仿宋_GB2312" w:cs="Times New Roman"/>
                <w:color w:val="333333"/>
                <w:highlight w:val="none"/>
                <w:shd w:val="clear" w:color="auto" w:fill="FFFFFF"/>
              </w:rPr>
              <w:t>3000</w:t>
            </w:r>
            <w:r>
              <w:rPr>
                <w:rFonts w:hint="eastAsia" w:ascii="Times New Roman" w:hAnsi="Times New Roman" w:eastAsia="仿宋_GB2312" w:cs="仿宋_GB2312"/>
                <w:color w:val="333333"/>
                <w:highlight w:val="none"/>
                <w:shd w:val="clear" w:color="auto" w:fill="FFFFFF"/>
              </w:rPr>
              <w:t>万吨</w:t>
            </w:r>
          </w:p>
        </w:tc>
        <w:tc>
          <w:tcPr>
            <w:tcW w:w="187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违法持续</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时间</w:t>
            </w:r>
          </w:p>
        </w:tc>
        <w:tc>
          <w:tcPr>
            <w:tcW w:w="6067"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个月以内</w:t>
            </w:r>
          </w:p>
        </w:tc>
        <w:tc>
          <w:tcPr>
            <w:tcW w:w="1871"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6067"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个月以上</w:t>
            </w: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个月以内</w:t>
            </w:r>
          </w:p>
        </w:tc>
        <w:tc>
          <w:tcPr>
            <w:tcW w:w="1871"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6067"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个月以上</w:t>
            </w:r>
          </w:p>
        </w:tc>
        <w:tc>
          <w:tcPr>
            <w:tcW w:w="1871"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超过限期</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改正时间（仅适用于</w:t>
            </w:r>
            <w:r>
              <w:rPr>
                <w:rFonts w:ascii="Times New Roman" w:hAnsi="Times New Roman" w:cs="宋体"/>
                <w:b/>
                <w:bCs/>
                <w:color w:val="000000"/>
                <w:highlight w:val="none"/>
              </w:rPr>
              <w:t>逾期不改正情形</w:t>
            </w:r>
            <w:r>
              <w:rPr>
                <w:rFonts w:hint="eastAsia" w:ascii="Times New Roman" w:hAnsi="Times New Roman" w:cs="宋体"/>
                <w:b/>
                <w:bCs/>
                <w:color w:val="000000"/>
                <w:highlight w:val="none"/>
              </w:rPr>
              <w:t>）</w:t>
            </w:r>
          </w:p>
        </w:tc>
        <w:tc>
          <w:tcPr>
            <w:tcW w:w="6067"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w:t>
            </w:r>
          </w:p>
        </w:tc>
        <w:tc>
          <w:tcPr>
            <w:tcW w:w="1871"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6067"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天</w:t>
            </w:r>
          </w:p>
        </w:tc>
        <w:tc>
          <w:tcPr>
            <w:tcW w:w="1871"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6067"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天</w:t>
            </w:r>
          </w:p>
        </w:tc>
        <w:tc>
          <w:tcPr>
            <w:tcW w:w="1871"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6067"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w:t>
            </w:r>
          </w:p>
        </w:tc>
        <w:tc>
          <w:tcPr>
            <w:tcW w:w="1871"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color w:val="000000"/>
                <w:highlight w:val="none"/>
              </w:rPr>
            </w:pPr>
          </w:p>
        </w:tc>
        <w:tc>
          <w:tcPr>
            <w:tcW w:w="6067"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个月以上</w:t>
            </w:r>
          </w:p>
        </w:tc>
        <w:tc>
          <w:tcPr>
            <w:tcW w:w="1871"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w:t>
            </w:r>
            <w:r>
              <w:rPr>
                <w:rFonts w:ascii="Times New Roman" w:hAnsi="Times New Roman" w:cs="Times New Roman"/>
                <w:b/>
                <w:bCs/>
                <w:highlight w:val="none"/>
              </w:rPr>
              <w:t xml:space="preserve">  </w:t>
            </w:r>
            <w:r>
              <w:rPr>
                <w:rFonts w:hint="eastAsia" w:ascii="Times New Roman" w:hAnsi="Times New Roman" w:cs="宋体"/>
                <w:b/>
                <w:bCs/>
                <w:highlight w:val="none"/>
              </w:rPr>
              <w:t>注</w:t>
            </w:r>
          </w:p>
        </w:tc>
        <w:tc>
          <w:tcPr>
            <w:tcW w:w="6067" w:type="dxa"/>
            <w:vAlign w:val="center"/>
          </w:tcPr>
          <w:p>
            <w:pPr>
              <w:snapToGrid w:val="0"/>
              <w:jc w:val="center"/>
              <w:rPr>
                <w:rFonts w:ascii="Times New Roman" w:hAnsi="Times New Roman" w:cs="Times New Roman"/>
                <w:highlight w:val="none"/>
              </w:rPr>
            </w:pPr>
          </w:p>
        </w:tc>
        <w:tc>
          <w:tcPr>
            <w:tcW w:w="1871" w:type="dxa"/>
            <w:vAlign w:val="center"/>
          </w:tcPr>
          <w:p>
            <w:pPr>
              <w:snapToGrid w:val="0"/>
              <w:jc w:val="center"/>
              <w:rPr>
                <w:rFonts w:ascii="Times New Roman" w:hAnsi="Times New Roman" w:cs="Times New Roman"/>
                <w:highlight w:val="none"/>
              </w:rPr>
            </w:pPr>
          </w:p>
        </w:tc>
      </w:tr>
    </w:tbl>
    <w:p>
      <w:pPr>
        <w:snapToGrid w:val="0"/>
        <w:rPr>
          <w:rFonts w:ascii="Times New Roman" w:hAnsi="Times New Roman" w:eastAsia="仿宋_GB2312" w:cs="Times New Roman"/>
          <w:b/>
          <w:bCs/>
          <w:color w:val="FF0000"/>
          <w:sz w:val="10"/>
          <w:szCs w:val="10"/>
          <w:highlight w:val="none"/>
        </w:rPr>
      </w:pPr>
      <w:r>
        <w:rPr>
          <w:rFonts w:ascii="Times New Roman" w:hAnsi="Times New Roman" w:eastAsia="仿宋_GB2312" w:cs="Times New Roman"/>
          <w:b/>
          <w:bCs/>
          <w:color w:val="FF0000"/>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641"/>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（三）水污染防治类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ind w:firstLine="42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在湿地或者核心保护区内从事造田、圩田、筑田、挖池养鱼等破坏湿地行为的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vAlign w:val="center"/>
          </w:tcPr>
          <w:p>
            <w:pPr>
              <w:snapToGrid w:val="0"/>
              <w:spacing w:line="312"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《山东南水北调工程沿线区域水污染防治条例》第三十九条第三款</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任何单位和个人不得在湿地和核心保护区内从事造田、圩田、筑田、挖池养鱼等破坏湿地的行为。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vAlign w:val="center"/>
          </w:tcPr>
          <w:p>
            <w:pPr>
              <w:snapToGrid w:val="0"/>
              <w:spacing w:line="312" w:lineRule="auto"/>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《山东南水北调工程沿线区域水污染防治条例》第四十五条第（八）项</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违反本条例规定，有下列情形之一的，由县级以上人民政府环境保护行政主管部门或者其他依法行使监督管理职责的部门按照下列规定进行处罚；构成犯罪的，依法追究刑事责任：</w:t>
            </w:r>
          </w:p>
          <w:p>
            <w:pPr>
              <w:snapToGrid w:val="0"/>
              <w:spacing w:line="312" w:lineRule="auto"/>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（八）在湿地或者核心保护区内从事造田、圩田、筑田、挖池养鱼等破坏湿地行为的，责令改正，处三千元以上一万元以下的罚款；情节严重的，处一万元以上三万元以下罚款。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64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29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p>
            <w:pPr>
              <w:snapToGrid w:val="0"/>
              <w:jc w:val="center"/>
              <w:rPr>
                <w:rFonts w:ascii="Times New Roman" w:hAnsi="Times New Roman" w:cs="Times New Roman"/>
                <w:b/>
                <w:bCs/>
                <w:highlight w:val="none"/>
              </w:rPr>
            </w:pPr>
            <w:r>
              <w:rPr>
                <w:rFonts w:hint="eastAsia" w:ascii="Times New Roman" w:hAnsi="Times New Roman" w:cs="宋体"/>
                <w:b/>
                <w:bCs/>
                <w:color w:val="000000"/>
                <w:highlight w:val="none"/>
              </w:rPr>
              <w:t>涉及面积★</w:t>
            </w:r>
          </w:p>
        </w:tc>
        <w:tc>
          <w:tcPr>
            <w:tcW w:w="564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涉及面积小于</w:t>
            </w:r>
            <w:r>
              <w:rPr>
                <w:rFonts w:ascii="Times New Roman" w:hAnsi="Times New Roman" w:eastAsia="仿宋_GB2312" w:cs="Times New Roman"/>
                <w:highlight w:val="none"/>
              </w:rPr>
              <w:t>50m</w:t>
            </w:r>
            <w:r>
              <w:rPr>
                <w:rFonts w:ascii="Times New Roman" w:hAnsi="Times New Roman" w:eastAsia="仿宋_GB2312" w:cs="Times New Roman"/>
                <w:highlight w:val="none"/>
                <w:vertAlign w:val="superscript"/>
              </w:rPr>
              <w:t>2</w:t>
            </w:r>
          </w:p>
        </w:tc>
        <w:tc>
          <w:tcPr>
            <w:tcW w:w="229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64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涉及面积在</w:t>
            </w:r>
            <w:r>
              <w:rPr>
                <w:rFonts w:ascii="Times New Roman" w:hAnsi="Times New Roman" w:eastAsia="仿宋_GB2312" w:cs="Times New Roman"/>
                <w:highlight w:val="none"/>
              </w:rPr>
              <w:t>50m</w:t>
            </w:r>
            <w:r>
              <w:rPr>
                <w:rFonts w:ascii="Times New Roman" w:hAnsi="Times New Roman" w:eastAsia="仿宋_GB2312" w:cs="Times New Roman"/>
                <w:highlight w:val="none"/>
                <w:vertAlign w:val="superscript"/>
              </w:rPr>
              <w:t>2</w:t>
            </w:r>
            <w:r>
              <w:rPr>
                <w:rFonts w:hint="eastAsia" w:ascii="Times New Roman" w:hAnsi="Times New Roman" w:eastAsia="仿宋_GB2312" w:cs="仿宋_GB2312"/>
                <w:highlight w:val="none"/>
              </w:rPr>
              <w:t>以上</w:t>
            </w:r>
            <w:r>
              <w:rPr>
                <w:rFonts w:ascii="Times New Roman" w:hAnsi="Times New Roman" w:eastAsia="仿宋_GB2312" w:cs="Times New Roman"/>
                <w:highlight w:val="none"/>
              </w:rPr>
              <w:t>200 m</w:t>
            </w:r>
            <w:r>
              <w:rPr>
                <w:rFonts w:ascii="Times New Roman" w:hAnsi="Times New Roman" w:eastAsia="仿宋_GB2312" w:cs="Times New Roman"/>
                <w:highlight w:val="none"/>
                <w:vertAlign w:val="superscript"/>
              </w:rPr>
              <w:t>2</w:t>
            </w:r>
            <w:r>
              <w:rPr>
                <w:rFonts w:hint="eastAsia" w:ascii="Times New Roman" w:hAnsi="Times New Roman" w:eastAsia="仿宋_GB2312" w:cs="仿宋_GB2312"/>
                <w:highlight w:val="none"/>
              </w:rPr>
              <w:t>以内的</w:t>
            </w:r>
          </w:p>
        </w:tc>
        <w:tc>
          <w:tcPr>
            <w:tcW w:w="229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64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涉及面积在</w:t>
            </w:r>
            <w:r>
              <w:rPr>
                <w:rFonts w:ascii="Times New Roman" w:hAnsi="Times New Roman" w:eastAsia="仿宋_GB2312" w:cs="Times New Roman"/>
                <w:highlight w:val="none"/>
              </w:rPr>
              <w:t>200m</w:t>
            </w:r>
            <w:r>
              <w:rPr>
                <w:rFonts w:ascii="Times New Roman" w:hAnsi="Times New Roman" w:eastAsia="仿宋_GB2312" w:cs="Times New Roman"/>
                <w:highlight w:val="none"/>
                <w:vertAlign w:val="superscript"/>
              </w:rPr>
              <w:t>2</w:t>
            </w:r>
            <w:r>
              <w:rPr>
                <w:rFonts w:hint="eastAsia" w:ascii="Times New Roman" w:hAnsi="Times New Roman" w:eastAsia="仿宋_GB2312" w:cs="仿宋_GB2312"/>
                <w:highlight w:val="none"/>
              </w:rPr>
              <w:t>以上的</w:t>
            </w:r>
          </w:p>
        </w:tc>
        <w:tc>
          <w:tcPr>
            <w:tcW w:w="229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发生地点</w:t>
            </w: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湿地</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64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核心保护区</w:t>
            </w:r>
          </w:p>
        </w:tc>
        <w:tc>
          <w:tcPr>
            <w:tcW w:w="229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发生频次（两年内，含本次）</w:t>
            </w:r>
          </w:p>
        </w:tc>
        <w:tc>
          <w:tcPr>
            <w:tcW w:w="5641"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r>
              <w:rPr>
                <w:rFonts w:hint="eastAsia" w:ascii="Times New Roman" w:hAnsi="Times New Roman" w:eastAsia="仿宋_GB2312" w:cs="仿宋_GB2312"/>
                <w:highlight w:val="none"/>
              </w:rPr>
              <w:t>个月以内或</w:t>
            </w:r>
            <w:r>
              <w:rPr>
                <w:rFonts w:ascii="Times New Roman" w:hAnsi="Times New Roman" w:eastAsia="仿宋_GB2312" w:cs="Times New Roman"/>
                <w:highlight w:val="none"/>
              </w:rPr>
              <w:t>2</w:t>
            </w:r>
            <w:r>
              <w:rPr>
                <w:rFonts w:hint="eastAsia" w:ascii="Times New Roman" w:hAnsi="Times New Roman" w:eastAsia="仿宋_GB2312" w:cs="仿宋_GB2312"/>
                <w:highlight w:val="none"/>
              </w:rPr>
              <w:t>次以下</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641"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r>
              <w:rPr>
                <w:rFonts w:hint="eastAsia" w:ascii="Times New Roman" w:hAnsi="Times New Roman" w:eastAsia="仿宋_GB2312" w:cs="仿宋_GB2312"/>
                <w:highlight w:val="none"/>
              </w:rPr>
              <w:t>个月以上</w:t>
            </w:r>
            <w:r>
              <w:rPr>
                <w:rFonts w:ascii="Times New Roman" w:hAnsi="Times New Roman" w:eastAsia="仿宋_GB2312" w:cs="Times New Roman"/>
                <w:highlight w:val="none"/>
              </w:rPr>
              <w:t>6</w:t>
            </w:r>
            <w:r>
              <w:rPr>
                <w:rFonts w:hint="eastAsia" w:ascii="Times New Roman" w:hAnsi="Times New Roman" w:eastAsia="仿宋_GB2312" w:cs="仿宋_GB2312"/>
                <w:highlight w:val="none"/>
              </w:rPr>
              <w:t>个月以内或</w:t>
            </w:r>
            <w:r>
              <w:rPr>
                <w:rFonts w:ascii="Times New Roman" w:hAnsi="Times New Roman" w:eastAsia="仿宋_GB2312" w:cs="Times New Roman"/>
                <w:highlight w:val="none"/>
              </w:rPr>
              <w:t>2</w:t>
            </w:r>
            <w:r>
              <w:rPr>
                <w:rFonts w:hint="eastAsia" w:ascii="Times New Roman" w:hAnsi="Times New Roman" w:eastAsia="仿宋_GB2312" w:cs="仿宋_GB2312"/>
                <w:highlight w:val="none"/>
              </w:rPr>
              <w:t>次</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ind w:firstLine="420"/>
              <w:jc w:val="center"/>
              <w:rPr>
                <w:rFonts w:ascii="Times New Roman" w:hAnsi="Times New Roman" w:cs="Times New Roman"/>
                <w:highlight w:val="none"/>
              </w:rPr>
            </w:pPr>
          </w:p>
        </w:tc>
        <w:tc>
          <w:tcPr>
            <w:tcW w:w="5641"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6</w:t>
            </w:r>
            <w:r>
              <w:rPr>
                <w:rFonts w:hint="eastAsia" w:ascii="Times New Roman" w:hAnsi="Times New Roman" w:eastAsia="仿宋_GB2312" w:cs="仿宋_GB2312"/>
                <w:highlight w:val="none"/>
              </w:rPr>
              <w:t>个月或</w:t>
            </w:r>
            <w:r>
              <w:rPr>
                <w:rFonts w:ascii="Times New Roman" w:hAnsi="Times New Roman" w:eastAsia="仿宋_GB2312" w:cs="Times New Roman"/>
                <w:highlight w:val="none"/>
              </w:rPr>
              <w:t>3</w:t>
            </w:r>
            <w:r>
              <w:rPr>
                <w:rFonts w:hint="eastAsia" w:ascii="Times New Roman" w:hAnsi="Times New Roman" w:eastAsia="仿宋_GB2312" w:cs="仿宋_GB2312"/>
                <w:highlight w:val="none"/>
              </w:rPr>
              <w:t>次以上</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w:t>
            </w:r>
            <w:r>
              <w:rPr>
                <w:rFonts w:ascii="Times New Roman" w:hAnsi="Times New Roman" w:cs="Times New Roman"/>
                <w:b/>
                <w:bCs/>
                <w:highlight w:val="none"/>
              </w:rPr>
              <w:t xml:space="preserve">  </w:t>
            </w:r>
            <w:r>
              <w:rPr>
                <w:rFonts w:hint="eastAsia" w:ascii="Times New Roman" w:hAnsi="Times New Roman" w:cs="宋体"/>
                <w:b/>
                <w:bCs/>
                <w:highlight w:val="none"/>
              </w:rPr>
              <w:t>注</w:t>
            </w:r>
          </w:p>
        </w:tc>
        <w:tc>
          <w:tcPr>
            <w:tcW w:w="5641" w:type="dxa"/>
            <w:vAlign w:val="center"/>
          </w:tcPr>
          <w:p>
            <w:pPr>
              <w:snapToGrid w:val="0"/>
              <w:jc w:val="center"/>
              <w:rPr>
                <w:rFonts w:ascii="Times New Roman" w:hAnsi="Times New Roman" w:cs="Times New Roman"/>
                <w:highlight w:val="none"/>
              </w:rPr>
            </w:pPr>
          </w:p>
        </w:tc>
        <w:tc>
          <w:tcPr>
            <w:tcW w:w="2297" w:type="dxa"/>
            <w:vAlign w:val="center"/>
          </w:tcPr>
          <w:p>
            <w:pPr>
              <w:snapToGrid w:val="0"/>
              <w:jc w:val="center"/>
              <w:rPr>
                <w:rFonts w:ascii="Times New Roman" w:hAnsi="Times New Roman" w:cs="Times New Roman"/>
                <w:highlight w:val="none"/>
              </w:rPr>
            </w:pPr>
          </w:p>
        </w:tc>
      </w:tr>
    </w:tbl>
    <w:p>
      <w:pPr>
        <w:jc w:val="center"/>
        <w:outlineLvl w:val="1"/>
        <w:rPr>
          <w:rFonts w:ascii="Times New Roman" w:hAnsi="Times New Roman" w:eastAsia="仿宋_GB2312" w:cs="Times New Roman"/>
          <w:b/>
          <w:bCs/>
          <w:sz w:val="32"/>
          <w:szCs w:val="32"/>
          <w:highlight w:val="none"/>
        </w:rPr>
      </w:pPr>
      <w:r>
        <w:rPr>
          <w:rFonts w:ascii="Times New Roman" w:hAnsi="Times New Roman" w:eastAsia="仿宋_GB2312" w:cs="Times New Roman"/>
          <w:b/>
          <w:bCs/>
          <w:color w:val="FF0000"/>
          <w:highlight w:val="none"/>
        </w:rPr>
        <w:br w:type="page"/>
      </w:r>
      <w:bookmarkStart w:id="59" w:name="_Toc91081271"/>
      <w:r>
        <w:rPr>
          <w:rFonts w:hint="eastAsia" w:ascii="Times New Roman" w:hAnsi="Times New Roman" w:eastAsia="仿宋_GB2312" w:cs="仿宋_GB2312"/>
          <w:b/>
          <w:bCs/>
          <w:sz w:val="32"/>
          <w:szCs w:val="32"/>
          <w:highlight w:val="none"/>
        </w:rPr>
        <w:t>（四）固体废物污染防治类</w:t>
      </w:r>
      <w:bookmarkEnd w:id="59"/>
    </w:p>
    <w:p>
      <w:pPr>
        <w:snapToGrid w:val="0"/>
        <w:spacing w:line="288" w:lineRule="auto"/>
        <w:jc w:val="center"/>
        <w:outlineLvl w:val="1"/>
        <w:rPr>
          <w:rFonts w:ascii="Times New Roman" w:hAnsi="Times New Roman" w:cs="Times New Roman"/>
          <w:color w:val="000000"/>
          <w:highlight w:val="none"/>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50" w:lineRule="exact"/>
        <w:ind w:firstLine="640" w:firstLineChars="200"/>
        <w:rPr>
          <w:rFonts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1.产生、收集、贮存、运输、利用、处置固体废物的单位未依法及时公开固体废物污染环境防治信息的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50" w:lineRule="exact"/>
        <w:ind w:firstLine="640" w:firstLineChars="200"/>
        <w:rPr>
          <w:rFonts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2.</w:t>
      </w:r>
      <w:r>
        <w:rPr>
          <w:rFonts w:hint="eastAsia"/>
          <w:highlight w:val="none"/>
        </w:rPr>
        <w:t xml:space="preserve"> </w:t>
      </w:r>
      <w:r>
        <w:rPr>
          <w:rFonts w:hint="eastAsia" w:ascii="Times New Roman" w:hAnsi="Times New Roman" w:eastAsia="仿宋_GB2312" w:cs="仿宋_GB2312"/>
          <w:color w:val="000000"/>
          <w:kern w:val="0"/>
          <w:sz w:val="32"/>
          <w:szCs w:val="32"/>
          <w:highlight w:val="none"/>
        </w:rPr>
        <w:t>生活垃圾处理单位未按照国家有关规定安装使用监测设备、实时监测污染物的排放情况并公开污染排放数据的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50" w:lineRule="exact"/>
        <w:ind w:firstLine="640" w:firstLineChars="200"/>
        <w:rPr>
          <w:rFonts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3.</w:t>
      </w:r>
      <w:r>
        <w:rPr>
          <w:rFonts w:hint="eastAsia"/>
          <w:highlight w:val="none"/>
        </w:rPr>
        <w:t xml:space="preserve"> </w:t>
      </w:r>
      <w:r>
        <w:rPr>
          <w:rFonts w:hint="eastAsia" w:ascii="Times New Roman" w:hAnsi="Times New Roman" w:eastAsia="仿宋_GB2312" w:cs="仿宋_GB2312"/>
          <w:color w:val="000000"/>
          <w:kern w:val="0"/>
          <w:sz w:val="32"/>
          <w:szCs w:val="32"/>
          <w:highlight w:val="none"/>
        </w:rPr>
        <w:t>将列入限期淘汰名录被淘汰的设备转让给他人使用的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50" w:lineRule="exact"/>
        <w:ind w:firstLine="640" w:firstLineChars="200"/>
        <w:rPr>
          <w:rFonts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4.</w:t>
      </w:r>
      <w:r>
        <w:rPr>
          <w:rFonts w:hint="eastAsia"/>
          <w:highlight w:val="none"/>
        </w:rPr>
        <w:t xml:space="preserve"> </w:t>
      </w:r>
      <w:r>
        <w:rPr>
          <w:rFonts w:hint="eastAsia" w:ascii="Times New Roman" w:hAnsi="Times New Roman" w:eastAsia="仿宋_GB2312" w:cs="仿宋_GB2312"/>
          <w:color w:val="000000"/>
          <w:kern w:val="0"/>
          <w:sz w:val="32"/>
          <w:szCs w:val="32"/>
          <w:highlight w:val="none"/>
        </w:rPr>
        <w:t>在生态保护红线区域、永久基本农田集中区域和其他需要特别保护的区域内，建设工业固体废物、危险废物集中贮存、利用、处置的设施、场所和生活垃圾填埋场的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50" w:lineRule="exact"/>
        <w:ind w:firstLine="640" w:firstLineChars="200"/>
        <w:rPr>
          <w:rFonts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5.</w:t>
      </w:r>
      <w:r>
        <w:rPr>
          <w:rFonts w:hint="eastAsia"/>
          <w:highlight w:val="none"/>
        </w:rPr>
        <w:t xml:space="preserve"> </w:t>
      </w:r>
      <w:r>
        <w:rPr>
          <w:rFonts w:hint="eastAsia" w:ascii="Times New Roman" w:hAnsi="Times New Roman" w:eastAsia="仿宋_GB2312" w:cs="仿宋_GB2312"/>
          <w:color w:val="000000"/>
          <w:kern w:val="0"/>
          <w:sz w:val="32"/>
          <w:szCs w:val="32"/>
          <w:highlight w:val="none"/>
        </w:rPr>
        <w:t>转移固体废物出省、自治区、直辖市行政区域贮存、处置未经批准的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50" w:lineRule="exact"/>
        <w:ind w:firstLine="640" w:firstLineChars="200"/>
        <w:rPr>
          <w:rFonts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6.</w:t>
      </w:r>
      <w:r>
        <w:rPr>
          <w:rFonts w:hint="eastAsia"/>
          <w:highlight w:val="none"/>
        </w:rPr>
        <w:t xml:space="preserve"> </w:t>
      </w:r>
      <w:r>
        <w:rPr>
          <w:rFonts w:hint="eastAsia" w:ascii="Times New Roman" w:hAnsi="Times New Roman" w:eastAsia="仿宋_GB2312" w:cs="仿宋_GB2312"/>
          <w:color w:val="000000"/>
          <w:kern w:val="0"/>
          <w:sz w:val="32"/>
          <w:szCs w:val="32"/>
          <w:highlight w:val="none"/>
        </w:rPr>
        <w:t>擅自转移固体废物出省、自治区、直辖市行政区域贮存、处置的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50" w:lineRule="exact"/>
        <w:ind w:firstLine="640" w:firstLineChars="200"/>
        <w:rPr>
          <w:rFonts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7.</w:t>
      </w:r>
      <w:r>
        <w:rPr>
          <w:rFonts w:hint="eastAsia"/>
          <w:highlight w:val="none"/>
        </w:rPr>
        <w:t xml:space="preserve"> </w:t>
      </w:r>
      <w:r>
        <w:rPr>
          <w:rFonts w:hint="eastAsia" w:ascii="Times New Roman" w:hAnsi="Times New Roman" w:eastAsia="仿宋_GB2312" w:cs="仿宋_GB2312"/>
          <w:color w:val="000000"/>
          <w:kern w:val="0"/>
          <w:sz w:val="32"/>
          <w:szCs w:val="32"/>
          <w:highlight w:val="none"/>
        </w:rPr>
        <w:t>擅自倾倒、堆放、丢弃、遗撒工业固体废物，或者未采取相应防范措施，造成工业固体废物扬散、流失、渗漏或者其他环境污染的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50" w:lineRule="exact"/>
        <w:ind w:firstLine="640" w:firstLineChars="200"/>
        <w:rPr>
          <w:rFonts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8.</w:t>
      </w:r>
      <w:r>
        <w:rPr>
          <w:rFonts w:hint="eastAsia"/>
          <w:highlight w:val="none"/>
        </w:rPr>
        <w:t xml:space="preserve"> </w:t>
      </w:r>
      <w:r>
        <w:rPr>
          <w:rFonts w:hint="eastAsia" w:ascii="Times New Roman" w:hAnsi="Times New Roman" w:eastAsia="仿宋_GB2312" w:cs="仿宋_GB2312"/>
          <w:color w:val="000000"/>
          <w:kern w:val="0"/>
          <w:sz w:val="32"/>
          <w:szCs w:val="32"/>
          <w:highlight w:val="none"/>
        </w:rPr>
        <w:t>产生工业固体废物的单位未建立固体废物管理台账并如实记录的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50" w:lineRule="exact"/>
        <w:ind w:firstLine="640" w:firstLineChars="200"/>
        <w:rPr>
          <w:rFonts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9.</w:t>
      </w:r>
      <w:r>
        <w:rPr>
          <w:rFonts w:hint="eastAsia"/>
          <w:highlight w:val="none"/>
        </w:rPr>
        <w:t xml:space="preserve"> </w:t>
      </w:r>
      <w:r>
        <w:rPr>
          <w:rFonts w:hint="eastAsia" w:ascii="Times New Roman" w:hAnsi="Times New Roman" w:eastAsia="仿宋_GB2312" w:cs="仿宋_GB2312"/>
          <w:color w:val="000000"/>
          <w:kern w:val="0"/>
          <w:sz w:val="32"/>
          <w:szCs w:val="32"/>
          <w:highlight w:val="none"/>
        </w:rPr>
        <w:t>产生工业固体废物的单位违反本法规定委托他人运输、利用、处置工业固体废物的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50" w:lineRule="exact"/>
        <w:ind w:firstLine="640" w:firstLineChars="200"/>
        <w:rPr>
          <w:rFonts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10.</w:t>
      </w:r>
      <w:r>
        <w:rPr>
          <w:rFonts w:hint="eastAsia"/>
          <w:highlight w:val="none"/>
        </w:rPr>
        <w:t xml:space="preserve"> </w:t>
      </w:r>
      <w:r>
        <w:rPr>
          <w:rFonts w:hint="eastAsia" w:ascii="Times New Roman" w:hAnsi="Times New Roman" w:eastAsia="仿宋_GB2312" w:cs="仿宋_GB2312"/>
          <w:color w:val="000000"/>
          <w:kern w:val="0"/>
          <w:sz w:val="32"/>
          <w:szCs w:val="32"/>
          <w:highlight w:val="none"/>
        </w:rPr>
        <w:t>贮存工业固体废物未采取符合国家环境保护标准的防护措施的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50" w:lineRule="exact"/>
        <w:ind w:firstLine="640" w:firstLineChars="200"/>
        <w:rPr>
          <w:rFonts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11.</w:t>
      </w:r>
      <w:r>
        <w:rPr>
          <w:rFonts w:hint="eastAsia"/>
          <w:highlight w:val="none"/>
        </w:rPr>
        <w:t xml:space="preserve"> </w:t>
      </w:r>
      <w:r>
        <w:rPr>
          <w:rFonts w:hint="eastAsia" w:ascii="Times New Roman" w:hAnsi="Times New Roman" w:eastAsia="仿宋_GB2312" w:cs="仿宋_GB2312"/>
          <w:color w:val="000000"/>
          <w:kern w:val="0"/>
          <w:sz w:val="32"/>
          <w:szCs w:val="32"/>
          <w:highlight w:val="none"/>
        </w:rPr>
        <w:t>以拖延、围堵、滞留执法人员等方式拒绝、阻挠监督检查，或者在接受监督检查时弄虚作假的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50" w:lineRule="exact"/>
        <w:ind w:firstLine="640" w:firstLineChars="200"/>
        <w:rPr>
          <w:rFonts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12.</w:t>
      </w:r>
      <w:r>
        <w:rPr>
          <w:rFonts w:hint="eastAsia"/>
          <w:highlight w:val="none"/>
        </w:rPr>
        <w:t xml:space="preserve"> </w:t>
      </w:r>
      <w:r>
        <w:rPr>
          <w:rFonts w:hint="eastAsia" w:ascii="Times New Roman" w:hAnsi="Times New Roman" w:eastAsia="仿宋_GB2312" w:cs="仿宋_GB2312"/>
          <w:color w:val="000000"/>
          <w:kern w:val="0"/>
          <w:sz w:val="32"/>
          <w:szCs w:val="32"/>
          <w:highlight w:val="none"/>
        </w:rPr>
        <w:t>未依法取得排污许可证产生工业固体废物的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50" w:lineRule="exact"/>
        <w:ind w:firstLine="640" w:firstLineChars="200"/>
        <w:rPr>
          <w:rFonts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13.</w:t>
      </w:r>
      <w:r>
        <w:rPr>
          <w:rFonts w:hint="eastAsia"/>
          <w:highlight w:val="none"/>
        </w:rPr>
        <w:t xml:space="preserve"> </w:t>
      </w:r>
      <w:r>
        <w:rPr>
          <w:rFonts w:hint="eastAsia" w:ascii="Times New Roman" w:hAnsi="Times New Roman" w:eastAsia="仿宋_GB2312" w:cs="仿宋_GB2312"/>
          <w:color w:val="000000"/>
          <w:kern w:val="0"/>
          <w:sz w:val="32"/>
          <w:szCs w:val="32"/>
          <w:highlight w:val="none"/>
        </w:rPr>
        <w:t>从事畜禽规模养殖未及时收集、贮存、利用或者处置养殖过程中产生的畜禽粪污等固体废物的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50" w:lineRule="exact"/>
        <w:ind w:firstLine="640" w:firstLineChars="200"/>
        <w:rPr>
          <w:rFonts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14.</w:t>
      </w:r>
      <w:r>
        <w:rPr>
          <w:rFonts w:hint="eastAsia"/>
          <w:highlight w:val="none"/>
        </w:rPr>
        <w:t xml:space="preserve"> </w:t>
      </w:r>
      <w:r>
        <w:rPr>
          <w:rFonts w:hint="eastAsia" w:ascii="Times New Roman" w:hAnsi="Times New Roman" w:eastAsia="仿宋_GB2312" w:cs="仿宋_GB2312"/>
          <w:color w:val="000000"/>
          <w:kern w:val="0"/>
          <w:sz w:val="32"/>
          <w:szCs w:val="32"/>
          <w:highlight w:val="none"/>
        </w:rPr>
        <w:t>尾矿、煤矸石、废石等矿业固体废物贮存设施停止使用后，未按照国家有关环境保护规定进行封场的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50" w:lineRule="exact"/>
        <w:ind w:firstLine="640" w:firstLineChars="200"/>
        <w:rPr>
          <w:rFonts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1</w:t>
      </w:r>
      <w:r>
        <w:rPr>
          <w:rFonts w:ascii="Times New Roman" w:hAnsi="Times New Roman" w:eastAsia="仿宋_GB2312" w:cs="仿宋_GB2312"/>
          <w:color w:val="000000"/>
          <w:kern w:val="0"/>
          <w:sz w:val="32"/>
          <w:szCs w:val="32"/>
          <w:highlight w:val="none"/>
        </w:rPr>
        <w:t>5.</w:t>
      </w:r>
      <w:r>
        <w:rPr>
          <w:rFonts w:hint="eastAsia"/>
          <w:highlight w:val="none"/>
        </w:rPr>
        <w:t xml:space="preserve"> </w:t>
      </w:r>
      <w:r>
        <w:rPr>
          <w:rFonts w:hint="eastAsia" w:ascii="Times New Roman" w:hAnsi="Times New Roman" w:eastAsia="仿宋_GB2312" w:cs="仿宋_GB2312"/>
          <w:color w:val="000000"/>
          <w:kern w:val="0"/>
          <w:sz w:val="32"/>
          <w:szCs w:val="32"/>
          <w:highlight w:val="none"/>
        </w:rPr>
        <w:t>未按照规定设置危险废物识别标志的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50" w:lineRule="exact"/>
        <w:ind w:firstLine="640" w:firstLineChars="200"/>
        <w:rPr>
          <w:rFonts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16.</w:t>
      </w:r>
      <w:r>
        <w:rPr>
          <w:rFonts w:hint="eastAsia"/>
          <w:highlight w:val="none"/>
        </w:rPr>
        <w:t xml:space="preserve"> </w:t>
      </w:r>
      <w:r>
        <w:rPr>
          <w:rFonts w:hint="eastAsia" w:ascii="Times New Roman" w:hAnsi="Times New Roman" w:eastAsia="仿宋_GB2312" w:cs="仿宋_GB2312"/>
          <w:color w:val="000000"/>
          <w:kern w:val="0"/>
          <w:sz w:val="32"/>
          <w:szCs w:val="32"/>
          <w:highlight w:val="none"/>
        </w:rPr>
        <w:t>未按照国家有关规定制定危险废物管理计划或者申报危险废物有关资料的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50" w:lineRule="exact"/>
        <w:ind w:firstLine="640" w:firstLineChars="200"/>
        <w:rPr>
          <w:rFonts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17.</w:t>
      </w:r>
      <w:r>
        <w:rPr>
          <w:rFonts w:hint="eastAsia"/>
          <w:highlight w:val="none"/>
        </w:rPr>
        <w:t xml:space="preserve"> </w:t>
      </w:r>
      <w:r>
        <w:rPr>
          <w:rFonts w:hint="eastAsia" w:ascii="Times New Roman" w:hAnsi="Times New Roman" w:eastAsia="仿宋_GB2312" w:cs="仿宋_GB2312"/>
          <w:color w:val="000000"/>
          <w:kern w:val="0"/>
          <w:sz w:val="32"/>
          <w:szCs w:val="32"/>
          <w:highlight w:val="none"/>
        </w:rPr>
        <w:t>擅自倾倒、堆放危险废物的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50" w:lineRule="exact"/>
        <w:ind w:firstLine="640" w:firstLineChars="200"/>
        <w:rPr>
          <w:rFonts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18.</w:t>
      </w:r>
      <w:r>
        <w:rPr>
          <w:rFonts w:hint="eastAsia"/>
          <w:highlight w:val="none"/>
        </w:rPr>
        <w:t xml:space="preserve"> </w:t>
      </w:r>
      <w:r>
        <w:rPr>
          <w:rFonts w:hint="eastAsia" w:ascii="Times New Roman" w:hAnsi="Times New Roman" w:eastAsia="仿宋_GB2312" w:cs="仿宋_GB2312"/>
          <w:color w:val="000000"/>
          <w:kern w:val="0"/>
          <w:sz w:val="32"/>
          <w:szCs w:val="32"/>
          <w:highlight w:val="none"/>
        </w:rPr>
        <w:t>将危险废物提供或者委托给无许可证的单位从事经营活动的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50" w:lineRule="exact"/>
        <w:ind w:firstLine="640" w:firstLineChars="200"/>
        <w:rPr>
          <w:rFonts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19.</w:t>
      </w:r>
      <w:r>
        <w:rPr>
          <w:rFonts w:hint="eastAsia"/>
          <w:highlight w:val="none"/>
        </w:rPr>
        <w:t xml:space="preserve"> </w:t>
      </w:r>
      <w:r>
        <w:rPr>
          <w:rFonts w:hint="eastAsia" w:ascii="Times New Roman" w:hAnsi="Times New Roman" w:eastAsia="仿宋_GB2312" w:cs="仿宋_GB2312"/>
          <w:color w:val="000000"/>
          <w:kern w:val="0"/>
          <w:sz w:val="32"/>
          <w:szCs w:val="32"/>
          <w:highlight w:val="none"/>
        </w:rPr>
        <w:t>不按照国家规定填写、运行危险废物转移联单或者未经批准擅自转移危险废物的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50" w:lineRule="exact"/>
        <w:ind w:firstLine="640" w:firstLineChars="200"/>
        <w:rPr>
          <w:rFonts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20.</w:t>
      </w:r>
      <w:r>
        <w:rPr>
          <w:rFonts w:hint="eastAsia"/>
          <w:highlight w:val="none"/>
        </w:rPr>
        <w:t xml:space="preserve"> </w:t>
      </w:r>
      <w:r>
        <w:rPr>
          <w:rFonts w:hint="eastAsia" w:ascii="Times New Roman" w:hAnsi="Times New Roman" w:eastAsia="仿宋_GB2312" w:cs="仿宋_GB2312"/>
          <w:color w:val="000000"/>
          <w:kern w:val="0"/>
          <w:sz w:val="32"/>
          <w:szCs w:val="32"/>
          <w:highlight w:val="none"/>
        </w:rPr>
        <w:t>未按照国家环境保护标准贮存、利用、处置危险废物或者将危险废物混入非危险废物中贮存</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50" w:lineRule="exact"/>
        <w:ind w:firstLine="640" w:firstLineChars="200"/>
        <w:rPr>
          <w:rFonts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21.</w:t>
      </w:r>
      <w:r>
        <w:rPr>
          <w:rFonts w:hint="eastAsia"/>
          <w:highlight w:val="none"/>
        </w:rPr>
        <w:t xml:space="preserve"> </w:t>
      </w:r>
      <w:r>
        <w:rPr>
          <w:rFonts w:hint="eastAsia" w:ascii="Times New Roman" w:hAnsi="Times New Roman" w:eastAsia="仿宋_GB2312" w:cs="仿宋_GB2312"/>
          <w:color w:val="000000"/>
          <w:kern w:val="0"/>
          <w:sz w:val="32"/>
          <w:szCs w:val="32"/>
          <w:highlight w:val="none"/>
        </w:rPr>
        <w:t>未经安全性处置，混合收集、贮存、运输、处置具有不相容性质的危险废物的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50" w:lineRule="exact"/>
        <w:ind w:firstLine="640" w:firstLineChars="200"/>
        <w:rPr>
          <w:rFonts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22.</w:t>
      </w:r>
      <w:r>
        <w:rPr>
          <w:rFonts w:hint="eastAsia"/>
          <w:highlight w:val="none"/>
        </w:rPr>
        <w:t xml:space="preserve"> </w:t>
      </w:r>
      <w:r>
        <w:rPr>
          <w:rFonts w:hint="eastAsia" w:ascii="Times New Roman" w:hAnsi="Times New Roman" w:eastAsia="仿宋_GB2312" w:cs="仿宋_GB2312"/>
          <w:color w:val="000000"/>
          <w:kern w:val="0"/>
          <w:sz w:val="32"/>
          <w:szCs w:val="32"/>
          <w:highlight w:val="none"/>
        </w:rPr>
        <w:t>将危险废物与旅客在同一运输工具上载运的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50" w:lineRule="exact"/>
        <w:ind w:firstLine="640" w:firstLineChars="200"/>
        <w:rPr>
          <w:rFonts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23.</w:t>
      </w:r>
      <w:r>
        <w:rPr>
          <w:rFonts w:hint="eastAsia"/>
          <w:highlight w:val="none"/>
        </w:rPr>
        <w:t xml:space="preserve"> </w:t>
      </w:r>
      <w:r>
        <w:rPr>
          <w:rFonts w:hint="eastAsia" w:ascii="Times New Roman" w:hAnsi="Times New Roman" w:eastAsia="仿宋_GB2312" w:cs="仿宋_GB2312"/>
          <w:color w:val="000000"/>
          <w:kern w:val="0"/>
          <w:sz w:val="32"/>
          <w:szCs w:val="32"/>
          <w:highlight w:val="none"/>
        </w:rPr>
        <w:t>未经消除污染处理，将收集、贮存、运输、处置危险废物的场所、设施、设备和容器、包装物及其他物品转作他用的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50" w:lineRule="exact"/>
        <w:ind w:firstLine="640" w:firstLineChars="200"/>
        <w:rPr>
          <w:rFonts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24.</w:t>
      </w:r>
      <w:r>
        <w:rPr>
          <w:rFonts w:hint="eastAsia"/>
          <w:highlight w:val="none"/>
        </w:rPr>
        <w:t xml:space="preserve"> </w:t>
      </w:r>
      <w:r>
        <w:rPr>
          <w:rFonts w:hint="eastAsia" w:ascii="Times New Roman" w:hAnsi="Times New Roman" w:eastAsia="仿宋_GB2312" w:cs="仿宋_GB2312"/>
          <w:color w:val="000000"/>
          <w:kern w:val="0"/>
          <w:sz w:val="32"/>
          <w:szCs w:val="32"/>
          <w:highlight w:val="none"/>
        </w:rPr>
        <w:t>未采取相应防范措施，造成危险废物扬散、流失、渗漏或者造成其他环境污染的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50" w:lineRule="exact"/>
        <w:ind w:firstLine="640" w:firstLineChars="200"/>
        <w:rPr>
          <w:rFonts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25.</w:t>
      </w:r>
      <w:r>
        <w:rPr>
          <w:rFonts w:hint="eastAsia"/>
          <w:highlight w:val="none"/>
        </w:rPr>
        <w:t xml:space="preserve"> </w:t>
      </w:r>
      <w:r>
        <w:rPr>
          <w:rFonts w:hint="eastAsia" w:ascii="Times New Roman" w:hAnsi="Times New Roman" w:eastAsia="仿宋_GB2312" w:cs="仿宋_GB2312"/>
          <w:color w:val="000000"/>
          <w:kern w:val="0"/>
          <w:sz w:val="32"/>
          <w:szCs w:val="32"/>
          <w:highlight w:val="none"/>
        </w:rPr>
        <w:t>在运输过程中沿途丢弃、遗撒危险废物的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50" w:lineRule="exact"/>
        <w:ind w:firstLine="640" w:firstLineChars="200"/>
        <w:rPr>
          <w:rFonts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26.</w:t>
      </w:r>
      <w:r>
        <w:rPr>
          <w:rFonts w:hint="eastAsia"/>
          <w:highlight w:val="none"/>
        </w:rPr>
        <w:t xml:space="preserve"> </w:t>
      </w:r>
      <w:r>
        <w:rPr>
          <w:rFonts w:hint="eastAsia" w:ascii="Times New Roman" w:hAnsi="Times New Roman" w:eastAsia="仿宋_GB2312" w:cs="仿宋_GB2312"/>
          <w:color w:val="000000"/>
          <w:kern w:val="0"/>
          <w:sz w:val="32"/>
          <w:szCs w:val="32"/>
          <w:highlight w:val="none"/>
        </w:rPr>
        <w:t>未制定危险废物意外事故防范措施和应急预案的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50" w:lineRule="exact"/>
        <w:ind w:firstLine="640" w:firstLineChars="200"/>
        <w:rPr>
          <w:rFonts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27.</w:t>
      </w:r>
      <w:r>
        <w:rPr>
          <w:rFonts w:hint="eastAsia"/>
          <w:highlight w:val="none"/>
        </w:rPr>
        <w:t xml:space="preserve"> </w:t>
      </w:r>
      <w:r>
        <w:rPr>
          <w:rFonts w:hint="eastAsia" w:ascii="Times New Roman" w:hAnsi="Times New Roman" w:eastAsia="仿宋_GB2312" w:cs="仿宋_GB2312"/>
          <w:color w:val="000000"/>
          <w:kern w:val="0"/>
          <w:sz w:val="32"/>
          <w:szCs w:val="32"/>
          <w:highlight w:val="none"/>
        </w:rPr>
        <w:t>未按照国家有关规定建立危险废物管理台账并如实记录的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50" w:lineRule="exact"/>
        <w:ind w:firstLine="640" w:firstLineChars="200"/>
        <w:rPr>
          <w:rFonts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28.</w:t>
      </w:r>
      <w:r>
        <w:rPr>
          <w:rFonts w:hint="eastAsia"/>
          <w:highlight w:val="none"/>
        </w:rPr>
        <w:t xml:space="preserve"> </w:t>
      </w:r>
      <w:r>
        <w:rPr>
          <w:rFonts w:hint="eastAsia" w:ascii="Times New Roman" w:hAnsi="Times New Roman" w:eastAsia="仿宋_GB2312" w:cs="仿宋_GB2312"/>
          <w:color w:val="000000"/>
          <w:kern w:val="0"/>
          <w:sz w:val="32"/>
          <w:szCs w:val="32"/>
          <w:highlight w:val="none"/>
        </w:rPr>
        <w:t>危险废物产生者不处置其产生的危险废物被责令改正后拒不改正的；拒不承担代为处置费用的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50" w:lineRule="exact"/>
        <w:ind w:firstLine="640" w:firstLineChars="200"/>
        <w:rPr>
          <w:rFonts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29.</w:t>
      </w:r>
      <w:r>
        <w:rPr>
          <w:rFonts w:hint="eastAsia"/>
          <w:highlight w:val="none"/>
        </w:rPr>
        <w:t xml:space="preserve"> </w:t>
      </w:r>
      <w:r>
        <w:rPr>
          <w:rFonts w:hint="eastAsia" w:ascii="Times New Roman" w:hAnsi="Times New Roman" w:eastAsia="仿宋_GB2312" w:cs="仿宋_GB2312"/>
          <w:color w:val="000000"/>
          <w:kern w:val="0"/>
          <w:sz w:val="32"/>
          <w:szCs w:val="32"/>
          <w:highlight w:val="none"/>
        </w:rPr>
        <w:t>无许可证从事收集、贮存、利用、处置危险废物经营活动的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50" w:lineRule="exact"/>
        <w:ind w:firstLine="640" w:firstLineChars="200"/>
        <w:rPr>
          <w:rFonts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30.</w:t>
      </w:r>
      <w:r>
        <w:rPr>
          <w:rFonts w:hint="eastAsia"/>
          <w:highlight w:val="none"/>
        </w:rPr>
        <w:t xml:space="preserve"> </w:t>
      </w:r>
      <w:r>
        <w:rPr>
          <w:rFonts w:hint="eastAsia" w:ascii="Times New Roman" w:hAnsi="Times New Roman" w:eastAsia="仿宋_GB2312" w:cs="仿宋_GB2312"/>
          <w:color w:val="000000"/>
          <w:kern w:val="0"/>
          <w:sz w:val="32"/>
          <w:szCs w:val="32"/>
          <w:highlight w:val="none"/>
        </w:rPr>
        <w:t>未按照许可证规定从事收集、贮存、利用、处置危险废物经营活动的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50" w:lineRule="exact"/>
        <w:ind w:firstLine="640" w:firstLineChars="200"/>
        <w:rPr>
          <w:rFonts w:ascii="Times New Roman" w:hAnsi="Times New Roman" w:eastAsia="仿宋_GB2312" w:cs="仿宋_GB2312"/>
          <w:color w:val="000000"/>
          <w:kern w:val="0"/>
          <w:sz w:val="32"/>
          <w:szCs w:val="32"/>
          <w:highlight w:val="none"/>
        </w:rPr>
      </w:pPr>
      <w:r>
        <w:rPr>
          <w:rFonts w:ascii="Times New Roman" w:hAnsi="Times New Roman" w:eastAsia="仿宋_GB2312" w:cs="仿宋_GB2312"/>
          <w:color w:val="000000"/>
          <w:kern w:val="0"/>
          <w:sz w:val="32"/>
          <w:szCs w:val="32"/>
          <w:highlight w:val="none"/>
        </w:rPr>
        <w:t xml:space="preserve">31. </w:t>
      </w:r>
      <w:r>
        <w:rPr>
          <w:rFonts w:hint="eastAsia" w:ascii="Times New Roman" w:hAnsi="Times New Roman" w:eastAsia="仿宋_GB2312" w:cs="仿宋_GB2312"/>
          <w:color w:val="000000"/>
          <w:kern w:val="0"/>
          <w:sz w:val="32"/>
          <w:szCs w:val="32"/>
          <w:highlight w:val="none"/>
        </w:rPr>
        <w:t>造成固体废物污染环境事故的</w:t>
      </w:r>
    </w:p>
    <w:p>
      <w:pPr>
        <w:widowControl/>
        <w:snapToGrid w:val="0"/>
        <w:spacing w:line="550" w:lineRule="exact"/>
        <w:ind w:firstLine="640" w:firstLineChars="200"/>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32.</w:t>
      </w:r>
      <w:r>
        <w:rPr>
          <w:rFonts w:hint="eastAsia" w:ascii="Times New Roman" w:hAnsi="Times New Roman" w:eastAsia="仿宋_GB2312" w:cs="仿宋_GB2312"/>
          <w:color w:val="000000"/>
          <w:kern w:val="0"/>
          <w:sz w:val="32"/>
          <w:szCs w:val="32"/>
          <w:highlight w:val="none"/>
        </w:rPr>
        <w:t>贮存设施或者设备不符合环境保护、卫生要求的</w:t>
      </w:r>
    </w:p>
    <w:p>
      <w:pPr>
        <w:widowControl/>
        <w:snapToGrid w:val="0"/>
        <w:spacing w:line="550" w:lineRule="exact"/>
        <w:ind w:firstLine="640" w:firstLineChars="200"/>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33.</w:t>
      </w:r>
      <w:r>
        <w:rPr>
          <w:rFonts w:hint="eastAsia" w:ascii="Times New Roman" w:hAnsi="Times New Roman" w:eastAsia="仿宋_GB2312" w:cs="仿宋_GB2312"/>
          <w:color w:val="000000"/>
          <w:kern w:val="0"/>
          <w:sz w:val="32"/>
          <w:szCs w:val="32"/>
          <w:highlight w:val="none"/>
        </w:rPr>
        <w:t>未使用符合标准的专用车辆运送医疗废物或者使用运送医疗废物的车辆运送其他物品的</w:t>
      </w:r>
    </w:p>
    <w:p>
      <w:pPr>
        <w:widowControl/>
        <w:snapToGrid w:val="0"/>
        <w:spacing w:line="550" w:lineRule="exact"/>
        <w:ind w:firstLine="640" w:firstLineChars="200"/>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34.</w:t>
      </w:r>
      <w:r>
        <w:rPr>
          <w:rFonts w:hint="eastAsia" w:ascii="Times New Roman" w:hAnsi="Times New Roman" w:eastAsia="仿宋_GB2312" w:cs="仿宋_GB2312"/>
          <w:color w:val="000000"/>
          <w:kern w:val="0"/>
          <w:sz w:val="32"/>
          <w:szCs w:val="32"/>
          <w:highlight w:val="none"/>
        </w:rPr>
        <w:t>未安装污染物排放在线监控装置或者监控装置未经常处于正常运行状态的</w:t>
      </w:r>
    </w:p>
    <w:p>
      <w:pPr>
        <w:widowControl/>
        <w:snapToGrid w:val="0"/>
        <w:spacing w:line="550" w:lineRule="exact"/>
        <w:ind w:firstLine="640" w:firstLineChars="200"/>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35.</w:t>
      </w:r>
      <w:r>
        <w:rPr>
          <w:rFonts w:hint="eastAsia" w:ascii="Times New Roman" w:hAnsi="Times New Roman" w:eastAsia="仿宋_GB2312" w:cs="仿宋_GB2312"/>
          <w:color w:val="000000"/>
          <w:kern w:val="0"/>
          <w:sz w:val="32"/>
          <w:szCs w:val="32"/>
          <w:highlight w:val="none"/>
        </w:rPr>
        <w:t>在运送过程中丢弃医疗废物，在非贮存地点倾倒、堆放医疗废物或者将医疗废物混入其他废物和生活垃圾的</w:t>
      </w:r>
    </w:p>
    <w:p>
      <w:pPr>
        <w:widowControl/>
        <w:snapToGrid w:val="0"/>
        <w:spacing w:line="550" w:lineRule="exact"/>
        <w:ind w:firstLine="640" w:firstLineChars="200"/>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36.</w:t>
      </w:r>
      <w:r>
        <w:rPr>
          <w:rFonts w:hint="eastAsia" w:ascii="Times New Roman" w:hAnsi="Times New Roman" w:eastAsia="仿宋_GB2312" w:cs="仿宋_GB2312"/>
          <w:color w:val="000000"/>
          <w:kern w:val="0"/>
          <w:sz w:val="32"/>
          <w:szCs w:val="32"/>
          <w:highlight w:val="none"/>
        </w:rPr>
        <w:t>未执行危险废物转移联单管理制度的</w:t>
      </w:r>
    </w:p>
    <w:p>
      <w:pPr>
        <w:widowControl/>
        <w:snapToGrid w:val="0"/>
        <w:spacing w:line="550" w:lineRule="exact"/>
        <w:ind w:firstLine="640" w:firstLineChars="200"/>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37.</w:t>
      </w:r>
      <w:r>
        <w:rPr>
          <w:rFonts w:hint="eastAsia" w:ascii="Times New Roman" w:hAnsi="Times New Roman" w:eastAsia="仿宋_GB2312" w:cs="仿宋_GB2312"/>
          <w:color w:val="000000"/>
          <w:kern w:val="0"/>
          <w:sz w:val="32"/>
          <w:szCs w:val="32"/>
          <w:highlight w:val="none"/>
        </w:rPr>
        <w:t>将医疗废物交给未取得经营许可证的单位或者个人收集、运送、贮存、处置的</w:t>
      </w:r>
    </w:p>
    <w:p>
      <w:pPr>
        <w:widowControl/>
        <w:snapToGrid w:val="0"/>
        <w:spacing w:line="550" w:lineRule="exact"/>
        <w:ind w:firstLine="640" w:firstLineChars="200"/>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38.</w:t>
      </w:r>
      <w:r>
        <w:rPr>
          <w:rFonts w:hint="eastAsia" w:ascii="Times New Roman" w:hAnsi="Times New Roman" w:eastAsia="仿宋_GB2312" w:cs="仿宋_GB2312"/>
          <w:color w:val="000000"/>
          <w:kern w:val="0"/>
          <w:sz w:val="32"/>
          <w:szCs w:val="32"/>
          <w:highlight w:val="none"/>
        </w:rPr>
        <w:t>对医疗废物的处置不符合国家规定的环境保护、卫生标准、规范的</w:t>
      </w:r>
    </w:p>
    <w:p>
      <w:pPr>
        <w:widowControl/>
        <w:snapToGrid w:val="0"/>
        <w:spacing w:line="550" w:lineRule="exact"/>
        <w:ind w:firstLine="640" w:firstLineChars="200"/>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39.</w:t>
      </w:r>
      <w:r>
        <w:rPr>
          <w:rFonts w:hint="eastAsia" w:ascii="Times New Roman" w:hAnsi="Times New Roman" w:eastAsia="仿宋_GB2312" w:cs="仿宋_GB2312"/>
          <w:color w:val="000000"/>
          <w:kern w:val="0"/>
          <w:sz w:val="32"/>
          <w:szCs w:val="32"/>
          <w:highlight w:val="none"/>
        </w:rPr>
        <w:t>医疗卫生机构、医疗废物集中处置单位发生医疗废物流失、泄漏、扩散时，未采取紧急处理措施，或者未及时向环境保护行政主管部门报告的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50" w:lineRule="exact"/>
        <w:ind w:firstLine="640" w:firstLineChars="200"/>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40.</w:t>
      </w:r>
      <w:r>
        <w:rPr>
          <w:rFonts w:hint="eastAsia" w:ascii="Times New Roman" w:hAnsi="Times New Roman" w:eastAsia="仿宋_GB2312" w:cs="仿宋_GB2312"/>
          <w:color w:val="000000"/>
          <w:kern w:val="0"/>
          <w:sz w:val="32"/>
          <w:szCs w:val="32"/>
          <w:highlight w:val="none"/>
        </w:rPr>
        <w:t>未取得经营许可证从事医疗废物的收集、运送、贮存、处置等活动的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50" w:lineRule="exact"/>
        <w:ind w:firstLine="640" w:firstLineChars="200"/>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41.</w:t>
      </w:r>
      <w:r>
        <w:rPr>
          <w:rFonts w:hint="eastAsia" w:ascii="Times New Roman" w:hAnsi="Times New Roman" w:eastAsia="仿宋_GB2312" w:cs="仿宋_GB2312"/>
          <w:color w:val="000000"/>
          <w:kern w:val="0"/>
          <w:sz w:val="32"/>
          <w:szCs w:val="32"/>
          <w:highlight w:val="none"/>
        </w:rPr>
        <w:t>不按规定重新申请危险废物经营许可证或者换证的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50" w:lineRule="exact"/>
        <w:ind w:firstLine="640" w:firstLineChars="200"/>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42.</w:t>
      </w:r>
      <w:r>
        <w:rPr>
          <w:rFonts w:hint="eastAsia" w:ascii="Times New Roman" w:hAnsi="Times New Roman" w:eastAsia="仿宋_GB2312" w:cs="仿宋_GB2312"/>
          <w:color w:val="000000"/>
          <w:kern w:val="0"/>
          <w:sz w:val="32"/>
          <w:szCs w:val="32"/>
          <w:highlight w:val="none"/>
        </w:rPr>
        <w:t>未取得废弃电器电子产品处理资格擅自从事废弃电器电子产品处理活动的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50" w:lineRule="exact"/>
        <w:ind w:firstLine="640" w:firstLineChars="200"/>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43.</w:t>
      </w:r>
      <w:r>
        <w:rPr>
          <w:rFonts w:hint="eastAsia" w:ascii="Times New Roman" w:hAnsi="Times New Roman" w:eastAsia="仿宋_GB2312" w:cs="仿宋_GB2312"/>
          <w:color w:val="000000"/>
          <w:kern w:val="0"/>
          <w:sz w:val="32"/>
          <w:szCs w:val="32"/>
          <w:highlight w:val="none"/>
        </w:rPr>
        <w:t>处理企业未建立废弃电器电子产品的数据信息管理系统，未按规定报送基本数据和有关情况或者报送基本数据、有关情况不真实，或者未按规定期限保存基本数据的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50" w:lineRule="exact"/>
        <w:ind w:firstLine="640" w:firstLineChars="200"/>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44.</w:t>
      </w:r>
      <w:r>
        <w:rPr>
          <w:rFonts w:hint="eastAsia" w:ascii="Times New Roman" w:hAnsi="Times New Roman" w:eastAsia="仿宋_GB2312" w:cs="仿宋_GB2312"/>
          <w:color w:val="000000"/>
          <w:kern w:val="0"/>
          <w:sz w:val="32"/>
          <w:szCs w:val="32"/>
          <w:highlight w:val="none"/>
        </w:rPr>
        <w:t>处理企业未建立日常环境监测制度或者未开展日常环境监测的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50" w:lineRule="exact"/>
        <w:ind w:firstLine="640" w:firstLineChars="200"/>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45.</w:t>
      </w:r>
      <w:r>
        <w:rPr>
          <w:rFonts w:hint="eastAsia" w:ascii="Times New Roman" w:hAnsi="Times New Roman" w:eastAsia="仿宋_GB2312" w:cs="仿宋_GB2312"/>
          <w:color w:val="000000"/>
          <w:kern w:val="0"/>
          <w:sz w:val="32"/>
          <w:szCs w:val="32"/>
          <w:highlight w:val="none"/>
        </w:rPr>
        <w:t>危险废物经营单位终止从事收集、贮存、处置危险废物经营活动，或者危险废物的经营设施在废弃或者改作其他用途前，或者填埋危险废物的经营设施服役期届满后，未按照规定采取污染防治设施，责令限期改正逾期不改正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50" w:lineRule="exact"/>
        <w:ind w:firstLine="640" w:firstLineChars="200"/>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46.</w:t>
      </w:r>
      <w:r>
        <w:rPr>
          <w:rFonts w:hint="eastAsia" w:ascii="Times New Roman" w:hAnsi="Times New Roman" w:eastAsia="仿宋_GB2312" w:cs="仿宋_GB2312"/>
          <w:color w:val="000000"/>
          <w:kern w:val="0"/>
          <w:sz w:val="32"/>
          <w:szCs w:val="32"/>
          <w:highlight w:val="none"/>
        </w:rPr>
        <w:t>伪造、变造、转让危险废物经营许可证的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50" w:lineRule="exact"/>
        <w:ind w:firstLine="640" w:firstLineChars="200"/>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47.</w:t>
      </w:r>
      <w:r>
        <w:rPr>
          <w:rFonts w:hint="eastAsia" w:ascii="Times New Roman" w:hAnsi="Times New Roman" w:eastAsia="仿宋_GB2312" w:cs="仿宋_GB2312"/>
          <w:color w:val="000000"/>
          <w:kern w:val="0"/>
          <w:sz w:val="32"/>
          <w:szCs w:val="32"/>
          <w:highlight w:val="none"/>
        </w:rPr>
        <w:t>领取危险废物收集经营许可证的单位，未与处置单位签订接收合同，或者未将收集的废矿物油和废镉镍电池在</w:t>
      </w:r>
      <w:r>
        <w:rPr>
          <w:rFonts w:ascii="Times New Roman" w:hAnsi="Times New Roman" w:eastAsia="仿宋_GB2312" w:cs="Times New Roman"/>
          <w:color w:val="000000"/>
          <w:kern w:val="0"/>
          <w:sz w:val="32"/>
          <w:szCs w:val="32"/>
          <w:highlight w:val="none"/>
        </w:rPr>
        <w:t>90</w:t>
      </w:r>
      <w:r>
        <w:rPr>
          <w:rFonts w:hint="eastAsia" w:ascii="Times New Roman" w:hAnsi="Times New Roman" w:eastAsia="仿宋_GB2312" w:cs="仿宋_GB2312"/>
          <w:color w:val="000000"/>
          <w:kern w:val="0"/>
          <w:sz w:val="32"/>
          <w:szCs w:val="32"/>
          <w:highlight w:val="none"/>
        </w:rPr>
        <w:t>个工作日内提供或者委托给处置单位进行处置，责令限期改正逾期不改正的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50" w:lineRule="exact"/>
        <w:ind w:firstLine="640" w:firstLineChars="200"/>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48.</w:t>
      </w:r>
      <w:r>
        <w:rPr>
          <w:rFonts w:hint="eastAsia" w:ascii="Times New Roman" w:hAnsi="Times New Roman" w:eastAsia="仿宋_GB2312" w:cs="仿宋_GB2312"/>
          <w:color w:val="000000"/>
          <w:kern w:val="0"/>
          <w:sz w:val="32"/>
          <w:szCs w:val="32"/>
          <w:highlight w:val="none"/>
        </w:rPr>
        <w:t>固体废物污染环境防治设施不正常运行或者排放指标不符合国家规定的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50" w:lineRule="exact"/>
        <w:ind w:firstLine="640" w:firstLineChars="200"/>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49.</w:t>
      </w:r>
      <w:r>
        <w:rPr>
          <w:rFonts w:hint="eastAsia" w:ascii="Times New Roman" w:hAnsi="Times New Roman" w:eastAsia="仿宋_GB2312" w:cs="仿宋_GB2312"/>
          <w:color w:val="000000"/>
          <w:kern w:val="0"/>
          <w:sz w:val="32"/>
          <w:szCs w:val="32"/>
          <w:highlight w:val="none"/>
        </w:rPr>
        <w:t>开发利用业已停止使用、关闭的固体废物贮存、处置场所未进行环境影响评价或者环境影响评价未经批准而擅自开发利用的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50" w:lineRule="exact"/>
        <w:ind w:firstLine="640" w:firstLineChars="200"/>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50.</w:t>
      </w:r>
      <w:r>
        <w:rPr>
          <w:rFonts w:hint="eastAsia" w:ascii="Times New Roman" w:hAnsi="Times New Roman" w:eastAsia="仿宋_GB2312" w:cs="仿宋_GB2312"/>
          <w:color w:val="000000"/>
          <w:kern w:val="0"/>
          <w:sz w:val="32"/>
          <w:szCs w:val="32"/>
          <w:highlight w:val="none"/>
        </w:rPr>
        <w:t>未经环境保护行政主管部门批准，转移固体废物或者将固体废物转移给没有处理能力的单位和个人处置的</w:t>
      </w:r>
    </w:p>
    <w:p>
      <w:pPr>
        <w:rPr>
          <w:rFonts w:ascii="Times New Roman" w:hAnsi="Times New Roman" w:eastAsia="仿宋_GB2312" w:cs="Times New Roman"/>
          <w:b/>
          <w:bCs/>
          <w:color w:val="FF0000"/>
          <w:highlight w:val="none"/>
        </w:rPr>
      </w:pPr>
      <w:r>
        <w:rPr>
          <w:rFonts w:ascii="Times New Roman" w:hAnsi="Times New Roman" w:eastAsia="仿宋_GB2312" w:cs="仿宋_GB2312"/>
          <w:color w:val="000000"/>
          <w:kern w:val="0"/>
          <w:sz w:val="32"/>
          <w:szCs w:val="32"/>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（四）固体废物污染防治类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widowControl/>
              <w:ind w:firstLine="420" w:firstLineChars="200"/>
              <w:jc w:val="left"/>
              <w:rPr>
                <w:rFonts w:ascii="Times New Roman" w:hAnsi="Times New Roman" w:eastAsia="仿宋_GB2312" w:cs="Times New Roman"/>
                <w:highlight w:val="none"/>
              </w:rPr>
            </w:pPr>
            <w:r>
              <w:rPr>
                <w:rFonts w:hint="eastAsia" w:ascii="Times New Roman" w:hAnsi="Times New Roman" w:eastAsia="仿宋_GB2312" w:cs="仿宋_GB2312"/>
                <w:kern w:val="0"/>
                <w:highlight w:val="none"/>
              </w:rPr>
              <w:t>产生、收集、贮存、运输、利用、处置固体废物的单位未依法及时公开固体废物污染环境防治信息的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widowControl/>
              <w:ind w:firstLine="422" w:firstLineChars="200"/>
              <w:jc w:val="left"/>
              <w:rPr>
                <w:rFonts w:ascii="Times New Roman" w:hAnsi="Times New Roman" w:eastAsia="仿宋_GB2312" w:cs="Times New Roman"/>
                <w:highlight w:val="none"/>
              </w:rPr>
            </w:pPr>
            <w:r>
              <w:rPr>
                <w:rFonts w:hint="eastAsia" w:ascii="Times New Roman" w:hAnsi="Times New Roman" w:eastAsia="仿宋_GB2312" w:cs="仿宋_GB2312"/>
                <w:b/>
                <w:bCs/>
                <w:kern w:val="0"/>
                <w:highlight w:val="none"/>
              </w:rPr>
              <w:t>《中华人民共和国固体废物污染环境防治法》第二十九条第二款</w:t>
            </w:r>
            <w:r>
              <w:rPr>
                <w:rFonts w:hint="eastAsia" w:ascii="Times New Roman" w:hAnsi="Times New Roman" w:eastAsia="仿宋_GB2312" w:cs="仿宋_GB2312"/>
                <w:kern w:val="0"/>
                <w:highlight w:val="none"/>
              </w:rPr>
              <w:t xml:space="preserve"> 产生、收集、贮存、运输、利用、处置固体废物的单位，应当依法及时公开固体废物污染环境防治信息，主动接受社会监督。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widowControl/>
              <w:snapToGrid w:val="0"/>
              <w:ind w:firstLine="422"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b/>
                <w:bCs/>
                <w:kern w:val="0"/>
                <w:highlight w:val="none"/>
              </w:rPr>
              <w:t>《中华人民共和国固体废物污染环境防治法》第一百零二条第一款第（一）项、第二款</w:t>
            </w:r>
            <w:r>
              <w:rPr>
                <w:rFonts w:ascii="Times New Roman" w:hAnsi="Times New Roman" w:eastAsia="仿宋_GB2312" w:cs="Times New Roman"/>
                <w:kern w:val="0"/>
                <w:highlight w:val="none"/>
              </w:rPr>
              <w:t xml:space="preserve"> </w:t>
            </w:r>
            <w:r>
              <w:rPr>
                <w:rFonts w:hint="eastAsia" w:ascii="Times New Roman" w:hAnsi="Times New Roman" w:eastAsia="仿宋_GB2312" w:cs="仿宋_GB2312"/>
                <w:kern w:val="0"/>
                <w:highlight w:val="none"/>
              </w:rPr>
              <w:t>违反本法规定，有下列行为之一，由生态环境主管部门责令改正，处以罚款，没收违法所得；情节严重的，报经有批准权的人民政府批准，可以责令停业或者关闭：</w:t>
            </w:r>
          </w:p>
          <w:p>
            <w:pPr>
              <w:widowControl/>
              <w:snapToGrid w:val="0"/>
              <w:ind w:firstLine="420"/>
              <w:jc w:val="left"/>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（一）产生、收集、贮存、运输、利用、处置固体废物的单位未依法及时公开固体废物污染环境防治信息的；</w:t>
            </w:r>
          </w:p>
          <w:p>
            <w:pPr>
              <w:widowControl/>
              <w:snapToGrid w:val="0"/>
              <w:ind w:firstLine="42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未依法及时公开</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未公开</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弄虚作假的</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工业固体</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废物种类</w:t>
            </w: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第</w:t>
            </w:r>
            <w:r>
              <w:rPr>
                <w:rFonts w:hint="eastAsia"/>
                <w:highlight w:val="none"/>
              </w:rPr>
              <w:t>Ⅰ</w:t>
            </w:r>
            <w:r>
              <w:rPr>
                <w:rFonts w:hint="eastAsia" w:ascii="Times New Roman" w:hAnsi="Times New Roman" w:eastAsia="仿宋_GB2312" w:cs="仿宋_GB2312"/>
                <w:highlight w:val="none"/>
              </w:rPr>
              <w:t>类一般工业固体废物</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第</w:t>
            </w:r>
            <w:r>
              <w:rPr>
                <w:rFonts w:hint="eastAsia" w:ascii="宋体" w:hAnsi="宋体" w:cs="宋体"/>
                <w:highlight w:val="none"/>
              </w:rPr>
              <w:t>Ⅱ</w:t>
            </w:r>
            <w:r>
              <w:rPr>
                <w:rFonts w:hint="eastAsia" w:ascii="Times New Roman" w:hAnsi="Times New Roman" w:eastAsia="仿宋_GB2312" w:cs="仿宋_GB2312"/>
                <w:highlight w:val="none"/>
              </w:rPr>
              <w:t>类一般工业固体废物</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危险废物</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cs="Times New Roman"/>
                <w:highlight w:val="none"/>
              </w:rPr>
            </w:pPr>
          </w:p>
        </w:tc>
      </w:tr>
    </w:tbl>
    <w:p>
      <w:pPr>
        <w:rPr>
          <w:rFonts w:ascii="Times New Roman" w:hAnsi="Times New Roman" w:eastAsia="仿宋_GB2312" w:cs="Times New Roman"/>
          <w:b/>
          <w:bCs/>
          <w:color w:val="FF0000"/>
          <w:highlight w:val="none"/>
        </w:rPr>
      </w:pPr>
      <w:r>
        <w:rPr>
          <w:rFonts w:ascii="Times New Roman" w:hAnsi="Times New Roman" w:eastAsia="仿宋_GB2312" w:cs="Times New Roman"/>
          <w:b/>
          <w:bCs/>
          <w:color w:val="FF0000"/>
          <w:highlight w:val="none"/>
        </w:rPr>
        <w:br w:type="page"/>
      </w:r>
    </w:p>
    <w:tbl>
      <w:tblPr>
        <w:tblStyle w:val="1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209" w:type="dxa"/>
            <w:gridSpan w:val="3"/>
            <w:vAlign w:val="center"/>
          </w:tcPr>
          <w:p>
            <w:pPr>
              <w:snapToGrid w:val="0"/>
              <w:jc w:val="center"/>
              <w:rPr>
                <w:rFonts w:ascii="Times New Roman" w:hAnsi="Times New Roman" w:eastAsia="仿宋_GB2312" w:cs="仿宋_GB2312"/>
                <w:b/>
                <w:bCs/>
                <w:sz w:val="32"/>
                <w:szCs w:val="32"/>
                <w:highlight w:val="none"/>
              </w:rPr>
            </w:pPr>
            <w:r>
              <w:rPr>
                <w:rFonts w:hint="eastAsia" w:ascii="Times New Roman" w:hAnsi="Times New Roman" w:eastAsia="仿宋_GB2312" w:cs="仿宋_GB2312"/>
                <w:b/>
                <w:bCs/>
                <w:sz w:val="32"/>
                <w:szCs w:val="32"/>
                <w:highlight w:val="none"/>
              </w:rPr>
              <w:t>（四）固体废物污染防治类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spacing w:line="288" w:lineRule="auto"/>
              <w:jc w:val="center"/>
              <w:rPr>
                <w:rFonts w:ascii="Times New Roman" w:hAnsi="Times New Roman" w:cs="宋体"/>
                <w:b/>
                <w:bCs/>
                <w:highlight w:val="none"/>
              </w:rPr>
            </w:pPr>
            <w:r>
              <w:rPr>
                <w:rFonts w:hint="eastAsia" w:ascii="Times New Roman" w:hAnsi="Times New Roman" w:cs="宋体"/>
                <w:b/>
                <w:bCs/>
                <w:highlight w:val="none"/>
              </w:rPr>
              <w:t>序号</w:t>
            </w:r>
          </w:p>
        </w:tc>
        <w:tc>
          <w:tcPr>
            <w:tcW w:w="7938" w:type="dxa"/>
            <w:gridSpan w:val="2"/>
            <w:vAlign w:val="center"/>
          </w:tcPr>
          <w:p>
            <w:pPr>
              <w:snapToGrid w:val="0"/>
              <w:spacing w:line="288" w:lineRule="auto"/>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tcPr>
          <w:p>
            <w:pPr>
              <w:widowControl/>
              <w:ind w:firstLine="420" w:firstLineChars="200"/>
              <w:jc w:val="left"/>
              <w:rPr>
                <w:rFonts w:ascii="Times New Roman" w:hAnsi="Times New Roman" w:eastAsia="仿宋_GB2312" w:cs="Times New Roman"/>
                <w:highlight w:val="none"/>
              </w:rPr>
            </w:pPr>
            <w:r>
              <w:rPr>
                <w:rFonts w:hint="eastAsia" w:ascii="Times New Roman" w:hAnsi="Times New Roman" w:eastAsia="仿宋_GB2312" w:cs="仿宋_GB2312"/>
                <w:kern w:val="0"/>
                <w:highlight w:val="none"/>
              </w:rPr>
              <w:t>生活垃圾处理单位未按照国家有关规定安装使用监测设备、实时监测污染物的排放情况并公开污染排放数据的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widowControl/>
              <w:snapToGrid w:val="0"/>
              <w:spacing w:line="288" w:lineRule="auto"/>
              <w:ind w:firstLine="422" w:firstLineChars="200"/>
              <w:rPr>
                <w:rFonts w:ascii="Times New Roman" w:hAnsi="Times New Roman" w:eastAsia="仿宋_GB2312" w:cs="仿宋_GB2312"/>
                <w:highlight w:val="none"/>
              </w:rPr>
            </w:pPr>
            <w:r>
              <w:rPr>
                <w:rFonts w:hint="eastAsia" w:ascii="Times New Roman" w:hAnsi="Times New Roman" w:eastAsia="仿宋_GB2312" w:cs="仿宋_GB2312"/>
                <w:b/>
                <w:bCs/>
                <w:kern w:val="0"/>
                <w:highlight w:val="none"/>
              </w:rPr>
              <w:t xml:space="preserve">《中华人民共和国固体废物污染环境防治法》第五十六条  </w:t>
            </w:r>
            <w:r>
              <w:rPr>
                <w:rFonts w:hint="eastAsia" w:ascii="Times New Roman" w:hAnsi="Times New Roman" w:eastAsia="仿宋_GB2312" w:cs="仿宋_GB2312"/>
                <w:highlight w:val="none"/>
              </w:rPr>
              <w:t>生活垃圾处理单位应当按照国家有关规定，安装使用监测设备，实时监测污染物的排放情况，将污染排放数据实时公开。监测设备应当与所在地生态环境主管部门的监控设备联网。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widowControl/>
              <w:snapToGrid w:val="0"/>
              <w:spacing w:line="288" w:lineRule="auto"/>
              <w:ind w:firstLine="422" w:firstLineChars="200"/>
              <w:rPr>
                <w:rFonts w:ascii="Times New Roman" w:hAnsi="Times New Roman" w:eastAsia="仿宋_GB2312" w:cs="仿宋_GB2312"/>
                <w:highlight w:val="none"/>
              </w:rPr>
            </w:pPr>
            <w:r>
              <w:rPr>
                <w:rFonts w:hint="eastAsia" w:ascii="Times New Roman" w:hAnsi="Times New Roman" w:eastAsia="仿宋_GB2312" w:cs="仿宋_GB2312"/>
                <w:b/>
                <w:bCs/>
                <w:kern w:val="0"/>
                <w:highlight w:val="none"/>
              </w:rPr>
              <w:t>《中华人民共和国固体废物污染环境防治法》第一百零二条第一款第二项、第二款</w:t>
            </w:r>
            <w:r>
              <w:rPr>
                <w:rFonts w:ascii="微软雅黑" w:hAnsi="微软雅黑" w:eastAsia="微软雅黑" w:cs="微软雅黑"/>
                <w:kern w:val="0"/>
                <w:sz w:val="24"/>
                <w:szCs w:val="24"/>
                <w:highlight w:val="none"/>
                <w:shd w:val="clear" w:color="auto" w:fill="FFFFFF"/>
              </w:rPr>
              <w:t>　</w:t>
            </w:r>
            <w:r>
              <w:rPr>
                <w:rFonts w:hint="eastAsia" w:ascii="Times New Roman" w:hAnsi="Times New Roman" w:eastAsia="仿宋_GB2312" w:cs="仿宋_GB2312"/>
                <w:highlight w:val="none"/>
              </w:rPr>
              <w:t>违反本法规定，有下列行为之一，由生态环境主管部门责令改正，处以罚款，没收违法所得；情节严重的，报经有批准权的人民政府批准，可以责令停业或者关闭：</w:t>
            </w:r>
          </w:p>
          <w:p>
            <w:pPr>
              <w:widowControl/>
              <w:snapToGrid w:val="0"/>
              <w:spacing w:line="288" w:lineRule="auto"/>
              <w:ind w:firstLine="420" w:firstLineChars="200"/>
              <w:rPr>
                <w:rFonts w:ascii="Times New Roman" w:hAnsi="Times New Roman" w:eastAsia="仿宋_GB2312" w:cs="仿宋_GB2312"/>
                <w:highlight w:val="none"/>
              </w:rPr>
            </w:pPr>
            <w:r>
              <w:rPr>
                <w:rFonts w:hint="eastAsia" w:ascii="Times New Roman" w:hAnsi="Times New Roman" w:eastAsia="仿宋_GB2312" w:cs="仿宋_GB2312"/>
                <w:highlight w:val="none"/>
              </w:rPr>
              <w:t>（二）生活垃圾处理单位未按照国家有关规定安装使用监测设备、实时监测污染物的排放情况并公开污染排放数据的；</w:t>
            </w:r>
          </w:p>
          <w:p>
            <w:pPr>
              <w:widowControl/>
              <w:snapToGrid w:val="0"/>
              <w:spacing w:line="288" w:lineRule="auto"/>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highlight w:val="none"/>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违法事</w:t>
            </w:r>
            <w:r>
              <w:rPr>
                <w:rFonts w:hint="eastAsia" w:ascii="Times New Roman" w:hAnsi="Times New Roman" w:cs="宋体"/>
                <w:b/>
                <w:bCs/>
                <w:color w:val="000000"/>
                <w:highlight w:val="none"/>
              </w:rPr>
              <w:t>实★</w:t>
            </w:r>
          </w:p>
        </w:tc>
        <w:tc>
          <w:tcPr>
            <w:tcW w:w="5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监测设备已安装使用，已公开污染排放数据但数据不全</w:t>
            </w:r>
          </w:p>
        </w:tc>
        <w:tc>
          <w:tcPr>
            <w:tcW w:w="269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宋体" w:hAnsi="宋体" w:cs="宋体"/>
                <w:kern w:val="0"/>
                <w:sz w:val="24"/>
                <w:szCs w:val="24"/>
                <w:highlight w:val="none"/>
              </w:rPr>
            </w:pPr>
          </w:p>
        </w:tc>
        <w:tc>
          <w:tcPr>
            <w:tcW w:w="5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监测设备已安装使用，未公开污染排放数据</w:t>
            </w:r>
          </w:p>
        </w:tc>
        <w:tc>
          <w:tcPr>
            <w:tcW w:w="269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监测设备已安装，未使用</w:t>
            </w:r>
          </w:p>
        </w:tc>
        <w:tc>
          <w:tcPr>
            <w:tcW w:w="269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widowControl/>
              <w:snapToGrid w:val="0"/>
              <w:jc w:val="center"/>
              <w:rPr>
                <w:rFonts w:ascii="宋体" w:hAnsi="宋体" w:cs="宋体"/>
                <w:kern w:val="0"/>
                <w:sz w:val="24"/>
                <w:szCs w:val="24"/>
                <w:highlight w:val="none"/>
              </w:rPr>
            </w:pPr>
          </w:p>
        </w:tc>
        <w:tc>
          <w:tcPr>
            <w:tcW w:w="5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监测设备未安装</w:t>
            </w:r>
          </w:p>
        </w:tc>
        <w:tc>
          <w:tcPr>
            <w:tcW w:w="269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rPr>
                <w:rFonts w:ascii="Times New Roman" w:hAnsi="Times New Roman" w:cs="Times New Roman"/>
                <w:b/>
                <w:bCs/>
                <w:highlight w:val="none"/>
                <w:lang w:val="zh-CN" w:bidi="zh-CN"/>
              </w:rPr>
            </w:pPr>
            <w:r>
              <w:rPr>
                <w:rFonts w:hint="eastAsia" w:ascii="Times New Roman" w:hAnsi="Times New Roman" w:cs="宋体"/>
                <w:b/>
                <w:bCs/>
                <w:highlight w:val="none"/>
              </w:rPr>
              <w:t>日处理能力</w:t>
            </w:r>
          </w:p>
        </w:tc>
        <w:tc>
          <w:tcPr>
            <w:tcW w:w="5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1000 吨以下</w:t>
            </w:r>
          </w:p>
        </w:tc>
        <w:tc>
          <w:tcPr>
            <w:tcW w:w="269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rPr>
                <w:rFonts w:ascii="Times New Roman" w:hAnsi="Times New Roman" w:cs="Times New Roman"/>
                <w:b/>
                <w:bCs/>
                <w:highlight w:val="none"/>
              </w:rPr>
            </w:pPr>
          </w:p>
        </w:tc>
        <w:tc>
          <w:tcPr>
            <w:tcW w:w="5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1000 吨以上 3000 吨以下</w:t>
            </w:r>
          </w:p>
        </w:tc>
        <w:tc>
          <w:tcPr>
            <w:tcW w:w="269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rPr>
                <w:rFonts w:ascii="Times New Roman" w:hAnsi="Times New Roman" w:cs="Times New Roman"/>
                <w:b/>
                <w:bCs/>
                <w:highlight w:val="none"/>
              </w:rPr>
            </w:pPr>
          </w:p>
        </w:tc>
        <w:tc>
          <w:tcPr>
            <w:tcW w:w="5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3000 吨以上</w:t>
            </w:r>
          </w:p>
        </w:tc>
        <w:tc>
          <w:tcPr>
            <w:tcW w:w="269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cs="Times New Roman"/>
                <w:b/>
                <w:bCs/>
                <w:highlight w:val="none"/>
              </w:rPr>
            </w:pPr>
          </w:p>
        </w:tc>
      </w:tr>
    </w:tbl>
    <w:p>
      <w:pPr>
        <w:rPr>
          <w:rFonts w:ascii="Times New Roman" w:hAnsi="Times New Roman" w:eastAsia="仿宋_GB2312" w:cs="Times New Roman"/>
          <w:b/>
          <w:bCs/>
          <w:color w:val="FF0000"/>
          <w:highlight w:val="none"/>
        </w:rPr>
      </w:pPr>
      <w:r>
        <w:rPr>
          <w:rFonts w:ascii="Times New Roman" w:hAnsi="Times New Roman" w:eastAsia="仿宋_GB2312" w:cs="Times New Roman"/>
          <w:b/>
          <w:bCs/>
          <w:color w:val="FF0000"/>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（四）固体废物污染防治类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spacing w:line="288" w:lineRule="auto"/>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将列入限期淘汰名录被淘汰的设备转让给他人使用的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vAlign w:val="center"/>
          </w:tcPr>
          <w:p>
            <w:pPr>
              <w:tabs>
                <w:tab w:val="left" w:pos="6740"/>
              </w:tabs>
              <w:spacing w:before="1"/>
              <w:ind w:firstLine="422" w:firstLineChars="200"/>
              <w:jc w:val="left"/>
              <w:rPr>
                <w:rFonts w:ascii="Times New Roman" w:hAnsi="Times New Roman" w:eastAsia="仿宋_GB2312" w:cs="Times New Roman"/>
                <w:highlight w:val="none"/>
                <w:lang w:val="zh-CN" w:bidi="zh-CN"/>
              </w:rPr>
            </w:pPr>
            <w:r>
              <w:rPr>
                <w:rFonts w:hint="eastAsia" w:ascii="Times New Roman" w:hAnsi="Times New Roman" w:eastAsia="仿宋_GB2312" w:cs="仿宋_GB2312"/>
                <w:b/>
                <w:bCs/>
                <w:kern w:val="0"/>
                <w:highlight w:val="none"/>
              </w:rPr>
              <w:t>《中华人民共和国固体废物污染环境防治法》第三十三条第三款</w:t>
            </w:r>
            <w:r>
              <w:rPr>
                <w:rFonts w:hint="eastAsia" w:ascii="Times New Roman" w:hAnsi="Times New Roman" w:eastAsia="仿宋_GB2312" w:cs="仿宋_GB2312"/>
                <w:highlight w:val="none"/>
              </w:rPr>
              <w:t xml:space="preserve">  列入限期淘汰名录被淘汰的设备，不得转让给他人使用。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vAlign w:val="center"/>
          </w:tcPr>
          <w:p>
            <w:pPr>
              <w:snapToGrid w:val="0"/>
              <w:spacing w:line="288" w:lineRule="auto"/>
              <w:ind w:firstLine="420"/>
              <w:rPr>
                <w:rFonts w:ascii="Times New Roman" w:hAnsi="Times New Roman" w:eastAsia="仿宋_GB2312" w:cs="仿宋_GB2312"/>
                <w:highlight w:val="none"/>
              </w:rPr>
            </w:pPr>
            <w:r>
              <w:rPr>
                <w:rFonts w:hint="eastAsia" w:ascii="Times New Roman" w:hAnsi="Times New Roman" w:eastAsia="仿宋_GB2312" w:cs="仿宋_GB2312"/>
                <w:b/>
                <w:bCs/>
                <w:kern w:val="0"/>
                <w:highlight w:val="none"/>
              </w:rPr>
              <w:t>《中华人民共和国固体废物污染环境防治法》 第一百零二条第一款第（三） 项、第二款</w:t>
            </w:r>
            <w:r>
              <w:rPr>
                <w:rFonts w:hint="eastAsia"/>
                <w:b/>
                <w:highlight w:val="none"/>
              </w:rPr>
              <w:t xml:space="preserve">  </w:t>
            </w:r>
            <w:r>
              <w:rPr>
                <w:rFonts w:hint="eastAsia" w:ascii="Times New Roman" w:hAnsi="Times New Roman" w:eastAsia="仿宋_GB2312" w:cs="仿宋_GB2312"/>
                <w:highlight w:val="none"/>
              </w:rPr>
              <w:t>违反本法规定，有下列行为之一，由生态环境主管部门责令改正，处以罚款，没收违法所得；情节严重的，报经有批准权的人民政府批准，可以责令停业或者关闭：</w:t>
            </w:r>
          </w:p>
          <w:p>
            <w:pPr>
              <w:snapToGrid w:val="0"/>
              <w:spacing w:line="288" w:lineRule="auto"/>
              <w:ind w:firstLine="420"/>
              <w:rPr>
                <w:rFonts w:ascii="Times New Roman" w:hAnsi="Times New Roman" w:eastAsia="仿宋_GB2312" w:cs="仿宋_GB2312"/>
                <w:highlight w:val="none"/>
              </w:rPr>
            </w:pPr>
            <w:r>
              <w:rPr>
                <w:rFonts w:hint="eastAsia" w:ascii="Times New Roman" w:hAnsi="Times New Roman" w:eastAsia="仿宋_GB2312" w:cs="仿宋_GB2312"/>
                <w:highlight w:val="none"/>
              </w:rPr>
              <w:t>（三）将列入限期淘汰名录被淘汰的设备转让给他人使用的；</w:t>
            </w:r>
          </w:p>
          <w:p>
            <w:pPr>
              <w:snapToGrid w:val="0"/>
              <w:spacing w:line="288" w:lineRule="auto"/>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设备数量★</w:t>
            </w:r>
          </w:p>
        </w:tc>
        <w:tc>
          <w:tcPr>
            <w:tcW w:w="5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kern w:val="0"/>
                <w:highlight w:val="none"/>
              </w:rPr>
            </w:pPr>
            <w:r>
              <w:rPr>
                <w:rFonts w:ascii="Times New Roman" w:hAnsi="Times New Roman" w:eastAsia="仿宋_GB2312" w:cs="Times New Roman"/>
                <w:kern w:val="0"/>
                <w:highlight w:val="none"/>
              </w:rPr>
              <w:t>1</w:t>
            </w:r>
            <w:r>
              <w:rPr>
                <w:rFonts w:hint="eastAsia" w:ascii="Times New Roman" w:hAnsi="Times New Roman" w:eastAsia="仿宋_GB2312" w:cs="仿宋_GB2312"/>
                <w:kern w:val="0"/>
                <w:highlight w:val="none"/>
              </w:rPr>
              <w:t>件</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kern w:val="0"/>
                <w:highlight w:val="none"/>
              </w:rPr>
            </w:pPr>
            <w:r>
              <w:rPr>
                <w:rFonts w:ascii="Times New Roman" w:hAnsi="Times New Roman" w:eastAsia="仿宋_GB2312" w:cs="Times New Roman"/>
                <w:kern w:val="0"/>
                <w:highlight w:val="none"/>
              </w:rPr>
              <w:t>1</w:t>
            </w:r>
            <w:r>
              <w:rPr>
                <w:rFonts w:hint="eastAsia" w:ascii="Times New Roman" w:hAnsi="Times New Roman" w:eastAsia="仿宋_GB2312" w:cs="仿宋_GB2312"/>
                <w:kern w:val="0"/>
                <w:highlight w:val="none"/>
              </w:rPr>
              <w:t>件以上</w:t>
            </w:r>
            <w:r>
              <w:rPr>
                <w:rFonts w:ascii="Times New Roman" w:hAnsi="Times New Roman" w:eastAsia="仿宋_GB2312" w:cs="Times New Roman"/>
                <w:kern w:val="0"/>
                <w:highlight w:val="none"/>
              </w:rPr>
              <w:t>5</w:t>
            </w:r>
            <w:r>
              <w:rPr>
                <w:rFonts w:hint="eastAsia" w:ascii="Times New Roman" w:hAnsi="Times New Roman" w:eastAsia="仿宋_GB2312" w:cs="仿宋_GB2312"/>
                <w:kern w:val="0"/>
                <w:highlight w:val="none"/>
              </w:rPr>
              <w:t>件以下</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kern w:val="0"/>
                <w:highlight w:val="none"/>
              </w:rPr>
            </w:pPr>
            <w:r>
              <w:rPr>
                <w:rFonts w:ascii="Times New Roman" w:hAnsi="Times New Roman" w:eastAsia="仿宋_GB2312" w:cs="Times New Roman"/>
                <w:kern w:val="0"/>
                <w:highlight w:val="none"/>
              </w:rPr>
              <w:t>5</w:t>
            </w:r>
            <w:r>
              <w:rPr>
                <w:rFonts w:hint="eastAsia" w:ascii="Times New Roman" w:hAnsi="Times New Roman" w:eastAsia="仿宋_GB2312" w:cs="仿宋_GB2312"/>
                <w:kern w:val="0"/>
                <w:highlight w:val="none"/>
              </w:rPr>
              <w:t>件以上</w:t>
            </w:r>
            <w:r>
              <w:rPr>
                <w:rFonts w:ascii="Times New Roman" w:hAnsi="Times New Roman" w:eastAsia="仿宋_GB2312" w:cs="Times New Roman"/>
                <w:kern w:val="0"/>
                <w:highlight w:val="none"/>
              </w:rPr>
              <w:t>10</w:t>
            </w:r>
            <w:r>
              <w:rPr>
                <w:rFonts w:hint="eastAsia" w:ascii="Times New Roman" w:hAnsi="Times New Roman" w:eastAsia="仿宋_GB2312" w:cs="仿宋_GB2312"/>
                <w:kern w:val="0"/>
                <w:highlight w:val="none"/>
              </w:rPr>
              <w:t>件以下</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kern w:val="0"/>
                <w:highlight w:val="none"/>
              </w:rPr>
            </w:pPr>
            <w:r>
              <w:rPr>
                <w:rFonts w:ascii="Times New Roman" w:hAnsi="Times New Roman" w:eastAsia="仿宋_GB2312" w:cs="Times New Roman"/>
                <w:kern w:val="0"/>
                <w:highlight w:val="none"/>
              </w:rPr>
              <w:t>10</w:t>
            </w:r>
            <w:r>
              <w:rPr>
                <w:rFonts w:hint="eastAsia" w:ascii="Times New Roman" w:hAnsi="Times New Roman" w:eastAsia="仿宋_GB2312" w:cs="仿宋_GB2312"/>
                <w:kern w:val="0"/>
                <w:highlight w:val="none"/>
              </w:rPr>
              <w:t>件以上</w:t>
            </w:r>
            <w:r>
              <w:rPr>
                <w:rFonts w:ascii="Times New Roman" w:hAnsi="Times New Roman" w:eastAsia="仿宋_GB2312" w:cs="Times New Roman"/>
                <w:kern w:val="0"/>
                <w:highlight w:val="none"/>
              </w:rPr>
              <w:t>20</w:t>
            </w:r>
            <w:r>
              <w:rPr>
                <w:rFonts w:hint="eastAsia" w:ascii="Times New Roman" w:hAnsi="Times New Roman" w:eastAsia="仿宋_GB2312" w:cs="仿宋_GB2312"/>
                <w:kern w:val="0"/>
                <w:highlight w:val="none"/>
              </w:rPr>
              <w:t>件以下</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kern w:val="0"/>
                <w:highlight w:val="none"/>
              </w:rPr>
            </w:pPr>
            <w:r>
              <w:rPr>
                <w:rFonts w:ascii="Times New Roman" w:hAnsi="Times New Roman" w:eastAsia="仿宋_GB2312" w:cs="Times New Roman"/>
                <w:kern w:val="0"/>
                <w:highlight w:val="none"/>
              </w:rPr>
              <w:t>20</w:t>
            </w:r>
            <w:r>
              <w:rPr>
                <w:rFonts w:hint="eastAsia" w:ascii="Times New Roman" w:hAnsi="Times New Roman" w:eastAsia="仿宋_GB2312" w:cs="仿宋_GB2312"/>
                <w:kern w:val="0"/>
                <w:highlight w:val="none"/>
              </w:rPr>
              <w:t>件以上</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转让设备</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价值</w:t>
            </w:r>
          </w:p>
        </w:tc>
        <w:tc>
          <w:tcPr>
            <w:tcW w:w="5245" w:type="dxa"/>
            <w:vAlign w:val="center"/>
          </w:tcPr>
          <w:p>
            <w:pPr>
              <w:widowControl/>
              <w:snapToGrid w:val="0"/>
              <w:jc w:val="center"/>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转让设备价值不足</w:t>
            </w:r>
            <w:r>
              <w:rPr>
                <w:rFonts w:ascii="Times New Roman" w:hAnsi="Times New Roman" w:eastAsia="仿宋_GB2312" w:cs="Times New Roman"/>
                <w:kern w:val="0"/>
                <w:highlight w:val="none"/>
              </w:rPr>
              <w:t>10</w:t>
            </w:r>
            <w:r>
              <w:rPr>
                <w:rFonts w:hint="eastAsia" w:ascii="Times New Roman" w:hAnsi="Times New Roman" w:eastAsia="仿宋_GB2312" w:cs="仿宋_GB2312"/>
                <w:kern w:val="0"/>
                <w:highlight w:val="none"/>
              </w:rPr>
              <w:t>万元</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widowControl/>
              <w:snapToGrid w:val="0"/>
              <w:jc w:val="center"/>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转让设备价值</w:t>
            </w:r>
            <w:r>
              <w:rPr>
                <w:rFonts w:ascii="Times New Roman" w:hAnsi="Times New Roman" w:eastAsia="仿宋_GB2312" w:cs="Times New Roman"/>
                <w:kern w:val="0"/>
                <w:highlight w:val="none"/>
              </w:rPr>
              <w:t>10</w:t>
            </w:r>
            <w:r>
              <w:rPr>
                <w:rFonts w:hint="eastAsia" w:ascii="Times New Roman" w:hAnsi="Times New Roman" w:eastAsia="仿宋_GB2312" w:cs="仿宋_GB2312"/>
                <w:kern w:val="0"/>
                <w:highlight w:val="none"/>
              </w:rPr>
              <w:t>万元以上不足</w:t>
            </w:r>
            <w:r>
              <w:rPr>
                <w:rFonts w:ascii="Times New Roman" w:hAnsi="Times New Roman" w:eastAsia="仿宋_GB2312" w:cs="Times New Roman"/>
                <w:kern w:val="0"/>
                <w:highlight w:val="none"/>
              </w:rPr>
              <w:t>30</w:t>
            </w:r>
            <w:r>
              <w:rPr>
                <w:rFonts w:hint="eastAsia" w:ascii="Times New Roman" w:hAnsi="Times New Roman" w:eastAsia="仿宋_GB2312" w:cs="仿宋_GB2312"/>
                <w:kern w:val="0"/>
                <w:highlight w:val="none"/>
              </w:rPr>
              <w:t>万元</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widowControl/>
              <w:snapToGrid w:val="0"/>
              <w:jc w:val="center"/>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转让设备价值</w:t>
            </w:r>
            <w:r>
              <w:rPr>
                <w:rFonts w:ascii="Times New Roman" w:hAnsi="Times New Roman" w:eastAsia="仿宋_GB2312" w:cs="Times New Roman"/>
                <w:kern w:val="0"/>
                <w:highlight w:val="none"/>
              </w:rPr>
              <w:t>30</w:t>
            </w:r>
            <w:r>
              <w:rPr>
                <w:rFonts w:hint="eastAsia" w:ascii="Times New Roman" w:hAnsi="Times New Roman" w:eastAsia="仿宋_GB2312" w:cs="仿宋_GB2312"/>
                <w:kern w:val="0"/>
                <w:highlight w:val="none"/>
              </w:rPr>
              <w:t>万元以上不足</w:t>
            </w:r>
            <w:r>
              <w:rPr>
                <w:rFonts w:ascii="Times New Roman" w:hAnsi="Times New Roman" w:eastAsia="仿宋_GB2312" w:cs="Times New Roman"/>
                <w:kern w:val="0"/>
                <w:highlight w:val="none"/>
              </w:rPr>
              <w:t>50</w:t>
            </w:r>
            <w:r>
              <w:rPr>
                <w:rFonts w:hint="eastAsia" w:ascii="Times New Roman" w:hAnsi="Times New Roman" w:eastAsia="仿宋_GB2312" w:cs="仿宋_GB2312"/>
                <w:kern w:val="0"/>
                <w:highlight w:val="none"/>
              </w:rPr>
              <w:t>万元</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widowControl/>
              <w:snapToGrid w:val="0"/>
              <w:jc w:val="center"/>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转让设备价值</w:t>
            </w:r>
            <w:r>
              <w:rPr>
                <w:rFonts w:ascii="Times New Roman" w:hAnsi="Times New Roman" w:eastAsia="仿宋_GB2312" w:cs="Times New Roman"/>
                <w:kern w:val="0"/>
                <w:highlight w:val="none"/>
              </w:rPr>
              <w:t>50</w:t>
            </w:r>
            <w:r>
              <w:rPr>
                <w:rFonts w:hint="eastAsia" w:ascii="Times New Roman" w:hAnsi="Times New Roman" w:eastAsia="仿宋_GB2312" w:cs="仿宋_GB2312"/>
                <w:kern w:val="0"/>
                <w:highlight w:val="none"/>
              </w:rPr>
              <w:t>万元以上不足</w:t>
            </w:r>
            <w:r>
              <w:rPr>
                <w:rFonts w:ascii="Times New Roman" w:hAnsi="Times New Roman" w:eastAsia="仿宋_GB2312" w:cs="Times New Roman"/>
                <w:kern w:val="0"/>
                <w:highlight w:val="none"/>
              </w:rPr>
              <w:t>100</w:t>
            </w:r>
            <w:r>
              <w:rPr>
                <w:rFonts w:hint="eastAsia" w:ascii="Times New Roman" w:hAnsi="Times New Roman" w:eastAsia="仿宋_GB2312" w:cs="仿宋_GB2312"/>
                <w:kern w:val="0"/>
                <w:highlight w:val="none"/>
              </w:rPr>
              <w:t>万元</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widowControl/>
              <w:snapToGrid w:val="0"/>
              <w:jc w:val="center"/>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转让设备价值</w:t>
            </w:r>
            <w:r>
              <w:rPr>
                <w:rFonts w:ascii="Times New Roman" w:hAnsi="Times New Roman" w:eastAsia="仿宋_GB2312" w:cs="Times New Roman"/>
                <w:kern w:val="0"/>
                <w:highlight w:val="none"/>
              </w:rPr>
              <w:t>100</w:t>
            </w:r>
            <w:r>
              <w:rPr>
                <w:rFonts w:hint="eastAsia" w:ascii="Times New Roman" w:hAnsi="Times New Roman" w:eastAsia="仿宋_GB2312" w:cs="仿宋_GB2312"/>
                <w:kern w:val="0"/>
                <w:highlight w:val="none"/>
              </w:rPr>
              <w:t>万元以上</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cs="Times New Roman"/>
                <w:highlight w:val="none"/>
              </w:rPr>
            </w:pPr>
          </w:p>
        </w:tc>
      </w:tr>
    </w:tbl>
    <w:p>
      <w:pPr>
        <w:rPr>
          <w:rFonts w:ascii="Times New Roman" w:hAnsi="Times New Roman" w:eastAsia="仿宋_GB2312" w:cs="Times New Roman"/>
          <w:b/>
          <w:bCs/>
          <w:color w:val="FF0000"/>
          <w:highlight w:val="none"/>
        </w:rPr>
      </w:pPr>
    </w:p>
    <w:p>
      <w:pPr>
        <w:rPr>
          <w:rFonts w:ascii="Times New Roman" w:hAnsi="Times New Roman" w:eastAsia="仿宋_GB2312" w:cs="Times New Roman"/>
          <w:b/>
          <w:bCs/>
          <w:color w:val="FF0000"/>
          <w:highlight w:val="none"/>
        </w:rPr>
      </w:pPr>
      <w:r>
        <w:rPr>
          <w:rFonts w:ascii="Times New Roman" w:hAnsi="Times New Roman" w:eastAsia="仿宋_GB2312" w:cs="Times New Roman"/>
          <w:b/>
          <w:bCs/>
          <w:color w:val="FF0000"/>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（四）固体废物污染防治类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spacing w:line="264" w:lineRule="auto"/>
              <w:ind w:firstLine="420" w:firstLineChars="200"/>
              <w:jc w:val="left"/>
              <w:rPr>
                <w:rFonts w:ascii="Times New Roman" w:hAnsi="Times New Roman" w:eastAsia="仿宋_GB2312" w:cs="Times New Roman"/>
                <w:highlight w:val="none"/>
              </w:rPr>
            </w:pPr>
            <w:r>
              <w:rPr>
                <w:rFonts w:hint="eastAsia" w:ascii="Times New Roman" w:hAnsi="Times New Roman" w:eastAsia="仿宋_GB2312" w:cs="仿宋_GB2312"/>
                <w:kern w:val="0"/>
                <w:highlight w:val="none"/>
              </w:rPr>
              <w:t>在生态保护红线区域、永久基本农田集中区域和其他需要特别保护的区域内，建设工业固体废物、危险废物集中贮存、利用、处置的设施、场所和生活垃圾填埋场的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widowControl/>
              <w:snapToGrid w:val="0"/>
              <w:spacing w:line="264" w:lineRule="auto"/>
              <w:ind w:firstLine="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 xml:space="preserve">《中华人民共和国固体废物污染环境防治法》第二十一条  </w:t>
            </w:r>
            <w:r>
              <w:rPr>
                <w:rFonts w:hint="eastAsia" w:ascii="Times New Roman" w:hAnsi="Times New Roman" w:eastAsia="仿宋_GB2312" w:cs="仿宋_GB2312"/>
                <w:kern w:val="0"/>
                <w:highlight w:val="none"/>
              </w:rPr>
              <w:t>在生态保护红线区域、永久基本农田集中区域和其他需要特别保护的区域内，禁止建设工业固体废物、危险废物集中贮存、利用、处置的设施、场所和生活垃圾填埋场。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snapToGrid w:val="0"/>
              <w:spacing w:line="264" w:lineRule="auto"/>
              <w:ind w:firstLine="200"/>
              <w:rPr>
                <w:rFonts w:ascii="Times New Roman" w:hAnsi="Times New Roman" w:eastAsia="仿宋_GB2312" w:cs="Times New Roman"/>
                <w:highlight w:val="none"/>
              </w:rPr>
            </w:pPr>
            <w:r>
              <w:rPr>
                <w:rFonts w:hint="eastAsia" w:ascii="Times New Roman" w:hAnsi="Times New Roman" w:eastAsia="仿宋_GB2312" w:cs="仿宋_GB2312"/>
                <w:b/>
                <w:bCs/>
                <w:kern w:val="0"/>
                <w:highlight w:val="none"/>
              </w:rPr>
              <w:t xml:space="preserve">《中华人民共和国固体废物污染环境防治法》 第一百零二条第一款第（四） 项、第二款  </w:t>
            </w:r>
            <w:r>
              <w:rPr>
                <w:rFonts w:hint="eastAsia" w:ascii="Times New Roman" w:hAnsi="Times New Roman" w:eastAsia="仿宋_GB2312" w:cs="仿宋_GB2312"/>
                <w:highlight w:val="none"/>
              </w:rPr>
              <w:t>违反本法规定，有下列行为之一，由生态环境主管部门责令改正，处以罚款，没收违法所得；情节严重的，报经有批准权的人民政府批准，可以责令停业或者关闭：</w:t>
            </w:r>
          </w:p>
          <w:p>
            <w:pPr>
              <w:snapToGrid w:val="0"/>
              <w:spacing w:line="264" w:lineRule="auto"/>
              <w:ind w:firstLine="420" w:firstLineChars="200"/>
              <w:rPr>
                <w:rFonts w:ascii="Times New Roman" w:hAnsi="Times New Roman" w:eastAsia="仿宋_GB2312" w:cs="仿宋_GB2312"/>
                <w:highlight w:val="none"/>
              </w:rPr>
            </w:pPr>
            <w:r>
              <w:rPr>
                <w:rFonts w:hint="eastAsia" w:ascii="Times New Roman" w:hAnsi="Times New Roman" w:eastAsia="仿宋_GB2312" w:cs="仿宋_GB2312"/>
                <w:highlight w:val="none"/>
              </w:rPr>
              <w:t>（四）在生态保护红线区域、永久基本农田集中区域和其他需要特别保护的区域内，建设工业固体废物、危险废物集中贮存、利用、处置的设施、场所和生活垃圾填埋场的；</w:t>
            </w:r>
          </w:p>
          <w:p>
            <w:pPr>
              <w:snapToGrid w:val="0"/>
              <w:spacing w:line="264" w:lineRule="auto"/>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highlight w:val="none"/>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污染防治</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设施★</w:t>
            </w:r>
          </w:p>
        </w:tc>
        <w:tc>
          <w:tcPr>
            <w:tcW w:w="5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配套设施齐全，且规范使用</w:t>
            </w:r>
          </w:p>
        </w:tc>
        <w:tc>
          <w:tcPr>
            <w:tcW w:w="2693" w:type="dxa"/>
            <w:vAlign w:val="center"/>
          </w:tcPr>
          <w:p>
            <w:pPr>
              <w:snapToGrid w:val="0"/>
              <w:jc w:val="center"/>
              <w:rPr>
                <w:rFonts w:ascii="Times New Roman" w:hAnsi="Times New Roman" w:cs="Times New Roman"/>
                <w:kern w:val="0"/>
                <w:sz w:val="24"/>
                <w:szCs w:val="24"/>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配套设施齐全，未规范使用</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配套设施不齐全</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固体废物</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类别</w:t>
            </w: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生活垃圾</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Ⅰ</w:t>
            </w:r>
            <w:r>
              <w:rPr>
                <w:rFonts w:hint="eastAsia" w:ascii="Times New Roman" w:hAnsi="Times New Roman" w:eastAsia="仿宋_GB2312" w:cs="仿宋_GB2312"/>
                <w:highlight w:val="none"/>
              </w:rPr>
              <w:t>类一般工业固体废物</w:t>
            </w:r>
          </w:p>
        </w:tc>
        <w:tc>
          <w:tcPr>
            <w:tcW w:w="2693" w:type="dxa"/>
            <w:vAlign w:val="center"/>
          </w:tcPr>
          <w:p>
            <w:pPr>
              <w:snapToGrid w:val="0"/>
              <w:jc w:val="center"/>
              <w:rPr>
                <w:rFonts w:ascii="Times New Roman" w:hAnsi="Times New Roman" w:cs="Times New Roman"/>
                <w:highlight w:val="none"/>
              </w:rPr>
            </w:pPr>
            <w:r>
              <w:rPr>
                <w:rFonts w:hint="eastAsia"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Ⅱ</w:t>
            </w:r>
            <w:r>
              <w:rPr>
                <w:rFonts w:hint="eastAsia" w:ascii="Times New Roman" w:hAnsi="Times New Roman" w:eastAsia="仿宋_GB2312" w:cs="仿宋_GB2312"/>
                <w:highlight w:val="none"/>
              </w:rPr>
              <w:t>类一般工业固体废物</w:t>
            </w:r>
          </w:p>
        </w:tc>
        <w:tc>
          <w:tcPr>
            <w:tcW w:w="2693" w:type="dxa"/>
            <w:vAlign w:val="center"/>
          </w:tcPr>
          <w:p>
            <w:pPr>
              <w:snapToGrid w:val="0"/>
              <w:jc w:val="center"/>
              <w:rPr>
                <w:rFonts w:ascii="Times New Roman" w:hAnsi="Times New Roman" w:cs="Times New Roman"/>
                <w:highlight w:val="none"/>
              </w:rPr>
            </w:pPr>
            <w:r>
              <w:rPr>
                <w:rFonts w:hint="eastAsia"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宋体" w:hAnsi="宋体" w:cs="宋体"/>
                <w:highlight w:val="none"/>
              </w:rPr>
            </w:pPr>
            <w:r>
              <w:rPr>
                <w:rFonts w:hint="eastAsia" w:ascii="Times New Roman" w:hAnsi="Times New Roman" w:eastAsia="仿宋_GB2312" w:cs="仿宋_GB2312"/>
                <w:highlight w:val="none"/>
              </w:rPr>
              <w:t>危险废物</w:t>
            </w:r>
          </w:p>
        </w:tc>
        <w:tc>
          <w:tcPr>
            <w:tcW w:w="2693" w:type="dxa"/>
            <w:vAlign w:val="center"/>
          </w:tcPr>
          <w:p>
            <w:pPr>
              <w:snapToGrid w:val="0"/>
              <w:jc w:val="center"/>
              <w:rPr>
                <w:rFonts w:ascii="Times New Roman" w:hAnsi="Times New Roman" w:cs="Times New Roman"/>
                <w:highlight w:val="none"/>
              </w:rPr>
            </w:pPr>
            <w:r>
              <w:rPr>
                <w:rFonts w:hint="eastAsia"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贮存、处置、填埋能力</w:t>
            </w:r>
          </w:p>
        </w:tc>
        <w:tc>
          <w:tcPr>
            <w:tcW w:w="5245" w:type="dxa"/>
            <w:vAlign w:val="center"/>
          </w:tcPr>
          <w:p>
            <w:pPr>
              <w:widowControl/>
              <w:snapToGrid w:val="0"/>
              <w:ind w:left="20"/>
              <w:jc w:val="center"/>
              <w:rPr>
                <w:rFonts w:ascii="Times New Roman" w:hAnsi="Times New Roman" w:eastAsia="仿宋_GB2312" w:cs="Times New Roman"/>
                <w:highlight w:val="none"/>
              </w:rPr>
            </w:pPr>
            <w:r>
              <w:rPr>
                <w:rFonts w:ascii="Times New Roman" w:hAnsi="Times New Roman" w:eastAsia="仿宋_GB2312" w:cs="Times New Roman"/>
                <w:kern w:val="0"/>
                <w:highlight w:val="none"/>
              </w:rPr>
              <w:t>1000m</w:t>
            </w:r>
            <w:r>
              <w:rPr>
                <w:rFonts w:ascii="Times New Roman" w:hAnsi="Times New Roman" w:eastAsia="仿宋_GB2312" w:cs="Times New Roman"/>
                <w:kern w:val="0"/>
                <w:highlight w:val="none"/>
                <w:vertAlign w:val="superscript"/>
              </w:rPr>
              <w:t>3</w:t>
            </w:r>
            <w:r>
              <w:rPr>
                <w:rFonts w:hint="eastAsia" w:ascii="Times New Roman" w:hAnsi="Times New Roman" w:eastAsia="仿宋_GB2312" w:cs="仿宋_GB2312"/>
                <w:kern w:val="0"/>
                <w:highlight w:val="none"/>
              </w:rPr>
              <w:t>以下</w:t>
            </w:r>
          </w:p>
        </w:tc>
        <w:tc>
          <w:tcPr>
            <w:tcW w:w="2693" w:type="dxa"/>
            <w:vAlign w:val="center"/>
          </w:tcPr>
          <w:p>
            <w:pPr>
              <w:widowControl/>
              <w:snapToGrid w:val="0"/>
              <w:jc w:val="center"/>
              <w:rPr>
                <w:rFonts w:ascii="Times New Roman" w:hAnsi="Times New Roman" w:cs="Times New Roman"/>
                <w:highlight w:val="none"/>
              </w:rPr>
            </w:pPr>
            <w:r>
              <w:rPr>
                <w:rFonts w:ascii="Times New Roman" w:hAnsi="Times New Roman" w:eastAsia="仿宋_GB2312" w:cs="Times New Roman"/>
                <w:kern w:val="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仿宋_GB2312"/>
                <w:kern w:val="0"/>
                <w:highlight w:val="none"/>
              </w:rPr>
            </w:pPr>
            <w:r>
              <w:rPr>
                <w:rFonts w:ascii="Times New Roman" w:hAnsi="Times New Roman" w:eastAsia="仿宋_GB2312" w:cs="Times New Roman"/>
                <w:kern w:val="0"/>
                <w:highlight w:val="none"/>
              </w:rPr>
              <w:t>1000m</w:t>
            </w:r>
            <w:r>
              <w:rPr>
                <w:rFonts w:ascii="Times New Roman" w:hAnsi="Times New Roman" w:eastAsia="仿宋_GB2312" w:cs="Times New Roman"/>
                <w:kern w:val="0"/>
                <w:highlight w:val="none"/>
                <w:vertAlign w:val="superscript"/>
              </w:rPr>
              <w:t>3</w:t>
            </w:r>
            <w:r>
              <w:rPr>
                <w:rFonts w:hint="eastAsia" w:ascii="Times New Roman" w:hAnsi="Times New Roman" w:eastAsia="仿宋_GB2312" w:cs="仿宋_GB2312"/>
                <w:kern w:val="0"/>
                <w:highlight w:val="none"/>
              </w:rPr>
              <w:t>以上</w:t>
            </w:r>
            <w:r>
              <w:rPr>
                <w:rFonts w:ascii="Times New Roman" w:hAnsi="Times New Roman" w:eastAsia="仿宋_GB2312" w:cs="Times New Roman"/>
                <w:kern w:val="0"/>
                <w:highlight w:val="none"/>
              </w:rPr>
              <w:t>2000m</w:t>
            </w:r>
            <w:r>
              <w:rPr>
                <w:rFonts w:ascii="Times New Roman" w:hAnsi="Times New Roman" w:eastAsia="仿宋_GB2312" w:cs="Times New Roman"/>
                <w:kern w:val="0"/>
                <w:highlight w:val="none"/>
                <w:vertAlign w:val="superscript"/>
              </w:rPr>
              <w:t>3</w:t>
            </w:r>
            <w:r>
              <w:rPr>
                <w:rFonts w:hint="eastAsia" w:ascii="Times New Roman" w:hAnsi="Times New Roman" w:eastAsia="仿宋_GB2312" w:cs="仿宋_GB2312"/>
                <w:kern w:val="0"/>
                <w:highlight w:val="none"/>
              </w:rPr>
              <w:t>以下</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仿宋_GB2312"/>
                <w:kern w:val="0"/>
                <w:highlight w:val="none"/>
              </w:rPr>
            </w:pPr>
            <w:r>
              <w:rPr>
                <w:rFonts w:ascii="Times New Roman" w:hAnsi="Times New Roman" w:eastAsia="仿宋_GB2312" w:cs="Times New Roman"/>
                <w:kern w:val="0"/>
                <w:highlight w:val="none"/>
              </w:rPr>
              <w:t>2000m</w:t>
            </w:r>
            <w:r>
              <w:rPr>
                <w:rFonts w:ascii="Times New Roman" w:hAnsi="Times New Roman" w:eastAsia="仿宋_GB2312" w:cs="Times New Roman"/>
                <w:kern w:val="0"/>
                <w:highlight w:val="none"/>
                <w:vertAlign w:val="superscript"/>
              </w:rPr>
              <w:t>3</w:t>
            </w:r>
            <w:r>
              <w:rPr>
                <w:rFonts w:hint="eastAsia" w:ascii="Times New Roman" w:hAnsi="Times New Roman" w:eastAsia="仿宋_GB2312" w:cs="仿宋_GB2312"/>
                <w:kern w:val="0"/>
                <w:highlight w:val="none"/>
              </w:rPr>
              <w:t>以上</w:t>
            </w:r>
            <w:r>
              <w:rPr>
                <w:rFonts w:ascii="Times New Roman" w:hAnsi="Times New Roman" w:eastAsia="仿宋_GB2312" w:cs="Times New Roman"/>
                <w:kern w:val="0"/>
                <w:highlight w:val="none"/>
              </w:rPr>
              <w:t>5000m</w:t>
            </w:r>
            <w:r>
              <w:rPr>
                <w:rFonts w:ascii="Times New Roman" w:hAnsi="Times New Roman" w:eastAsia="仿宋_GB2312" w:cs="Times New Roman"/>
                <w:kern w:val="0"/>
                <w:highlight w:val="none"/>
                <w:vertAlign w:val="superscript"/>
              </w:rPr>
              <w:t>3</w:t>
            </w:r>
            <w:r>
              <w:rPr>
                <w:rFonts w:hint="eastAsia" w:ascii="Times New Roman" w:hAnsi="Times New Roman" w:eastAsia="仿宋_GB2312" w:cs="仿宋_GB2312"/>
                <w:kern w:val="0"/>
                <w:highlight w:val="none"/>
              </w:rPr>
              <w:t>以下</w:t>
            </w:r>
          </w:p>
        </w:tc>
        <w:tc>
          <w:tcPr>
            <w:tcW w:w="2693"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kern w:val="0"/>
                <w:highlight w:val="none"/>
              </w:rPr>
            </w:pPr>
            <w:r>
              <w:rPr>
                <w:rFonts w:ascii="Times New Roman" w:hAnsi="Times New Roman" w:eastAsia="仿宋_GB2312" w:cs="Times New Roman"/>
                <w:kern w:val="0"/>
                <w:highlight w:val="none"/>
              </w:rPr>
              <w:t>5000m</w:t>
            </w:r>
            <w:r>
              <w:rPr>
                <w:rFonts w:ascii="Times New Roman" w:hAnsi="Times New Roman" w:eastAsia="仿宋_GB2312" w:cs="Times New Roman"/>
                <w:kern w:val="0"/>
                <w:highlight w:val="none"/>
                <w:vertAlign w:val="superscript"/>
              </w:rPr>
              <w:t>3</w:t>
            </w:r>
            <w:r>
              <w:rPr>
                <w:rFonts w:hint="eastAsia" w:ascii="Times New Roman" w:hAnsi="Times New Roman" w:eastAsia="仿宋_GB2312" w:cs="仿宋_GB2312"/>
                <w:kern w:val="0"/>
                <w:highlight w:val="none"/>
              </w:rPr>
              <w:t>以上</w:t>
            </w:r>
            <w:r>
              <w:rPr>
                <w:rFonts w:ascii="Times New Roman" w:hAnsi="Times New Roman" w:eastAsia="仿宋_GB2312" w:cs="Times New Roman"/>
                <w:kern w:val="0"/>
                <w:highlight w:val="none"/>
              </w:rPr>
              <w:t>10000m</w:t>
            </w:r>
            <w:r>
              <w:rPr>
                <w:rFonts w:ascii="Times New Roman" w:hAnsi="Times New Roman" w:eastAsia="仿宋_GB2312" w:cs="Times New Roman"/>
                <w:kern w:val="0"/>
                <w:highlight w:val="none"/>
                <w:vertAlign w:val="superscript"/>
              </w:rPr>
              <w:t>3</w:t>
            </w:r>
            <w:r>
              <w:rPr>
                <w:rFonts w:hint="eastAsia" w:ascii="Times New Roman" w:hAnsi="Times New Roman" w:eastAsia="仿宋_GB2312" w:cs="仿宋_GB2312"/>
                <w:kern w:val="0"/>
                <w:highlight w:val="none"/>
              </w:rPr>
              <w:t>以下</w:t>
            </w:r>
          </w:p>
        </w:tc>
        <w:tc>
          <w:tcPr>
            <w:tcW w:w="2693"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kern w:val="0"/>
                <w:highlight w:val="none"/>
              </w:rPr>
            </w:pPr>
            <w:r>
              <w:rPr>
                <w:rFonts w:ascii="Times New Roman" w:hAnsi="Times New Roman" w:eastAsia="仿宋_GB2312" w:cs="Times New Roman"/>
                <w:kern w:val="0"/>
                <w:highlight w:val="none"/>
              </w:rPr>
              <w:t>10000m</w:t>
            </w:r>
            <w:r>
              <w:rPr>
                <w:rFonts w:ascii="Times New Roman" w:hAnsi="Times New Roman" w:eastAsia="仿宋_GB2312" w:cs="Times New Roman"/>
                <w:kern w:val="0"/>
                <w:highlight w:val="none"/>
                <w:vertAlign w:val="superscript"/>
              </w:rPr>
              <w:t>3</w:t>
            </w:r>
            <w:r>
              <w:rPr>
                <w:rFonts w:hint="eastAsia" w:ascii="Times New Roman" w:hAnsi="Times New Roman" w:eastAsia="仿宋_GB2312" w:cs="仿宋_GB2312"/>
                <w:kern w:val="0"/>
                <w:highlight w:val="none"/>
              </w:rPr>
              <w:t>以上</w:t>
            </w:r>
          </w:p>
        </w:tc>
        <w:tc>
          <w:tcPr>
            <w:tcW w:w="2693"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jc w:val="center"/>
              <w:rPr>
                <w:rFonts w:ascii="Times New Roman" w:hAnsi="Times New Roman" w:cs="Times New Roman"/>
                <w:color w:val="000000"/>
                <w:highlight w:val="none"/>
              </w:rPr>
            </w:pPr>
          </w:p>
        </w:tc>
      </w:tr>
    </w:tbl>
    <w:p>
      <w:pPr>
        <w:rPr>
          <w:highlight w:val="none"/>
        </w:rPr>
      </w:pPr>
      <w:r>
        <w:rPr>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（四）固体废物污染防治类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tcPr>
          <w:p>
            <w:pPr>
              <w:snapToGrid w:val="0"/>
              <w:ind w:firstLine="420" w:firstLineChars="20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转移固体废物出省、自治区、直辖市行政区域贮存、处置未经批准的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spacing w:before="15" w:line="249" w:lineRule="auto"/>
              <w:ind w:right="93" w:firstLine="422" w:firstLineChars="200"/>
              <w:rPr>
                <w:rFonts w:ascii="Times New Roman" w:hAnsi="Times New Roman" w:eastAsia="仿宋_GB2312" w:cs="Times New Roman"/>
                <w:highlight w:val="none"/>
                <w:lang w:val="zh-CN" w:bidi="zh-CN"/>
              </w:rPr>
            </w:pPr>
            <w:r>
              <w:rPr>
                <w:rFonts w:hint="eastAsia" w:ascii="Times New Roman" w:hAnsi="Times New Roman" w:eastAsia="仿宋_GB2312" w:cs="仿宋_GB2312"/>
                <w:b/>
                <w:bCs/>
                <w:kern w:val="0"/>
                <w:highlight w:val="none"/>
              </w:rPr>
              <w:t>《中华人民共和国固体废物污染环境防治法》第二十二条第一款</w:t>
            </w:r>
            <w:r>
              <w:rPr>
                <w:rFonts w:hint="eastAsia" w:ascii="宋体" w:hAnsi="宋体" w:cs="宋体"/>
                <w:b/>
                <w:spacing w:val="-8"/>
                <w:highlight w:val="none"/>
                <w:lang w:bidi="zh-CN"/>
              </w:rPr>
              <w:t xml:space="preserve">  </w:t>
            </w:r>
            <w:r>
              <w:rPr>
                <w:rFonts w:hint="eastAsia" w:ascii="Times New Roman" w:hAnsi="Times New Roman" w:eastAsia="仿宋_GB2312" w:cs="仿宋_GB2312"/>
                <w:highlight w:val="none"/>
              </w:rPr>
              <w:t>转移固体废物出省、自治区、直辖市行政区域贮存、处置的，应当向固体废物移出地的省、自治区、直辖市人民政府生态环境主管部门提出申请。移出地的省、自治区、直辖市人民政府生态环境主管部门应当及时商经接受地的省、自治区、直辖市人民政府生态环境主管部门同意后，在规定期限内批准转移该固体废物出省、自治区、直辖市行政区域。未经批准的，不得转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snapToGrid w:val="0"/>
              <w:spacing w:line="264" w:lineRule="auto"/>
              <w:ind w:firstLine="422" w:firstLineChars="200"/>
              <w:rPr>
                <w:rFonts w:ascii="Times New Roman" w:hAnsi="Times New Roman" w:eastAsia="仿宋_GB2312" w:cs="Times New Roman"/>
                <w:highlight w:val="none"/>
              </w:rPr>
            </w:pPr>
            <w:r>
              <w:rPr>
                <w:rFonts w:hint="eastAsia" w:ascii="Times New Roman" w:hAnsi="Times New Roman" w:eastAsia="仿宋_GB2312" w:cs="仿宋_GB2312"/>
                <w:b/>
                <w:bCs/>
                <w:kern w:val="0"/>
                <w:highlight w:val="none"/>
              </w:rPr>
              <w:t xml:space="preserve">《中华人民共和国固体废物污染环境防治法》第一百零二条第一款第（五）项 、第二款  </w:t>
            </w:r>
            <w:r>
              <w:rPr>
                <w:rFonts w:hint="eastAsia" w:ascii="Times New Roman" w:hAnsi="Times New Roman" w:eastAsia="仿宋_GB2312" w:cs="仿宋_GB2312"/>
                <w:highlight w:val="none"/>
              </w:rPr>
              <w:t>违反本法规定，有下列行为之一，由生态环境主管部门责令改正，处以罚款，没收违法所得；情节严重的，报经有批准权的人民政府批准，可以责令停业或者关闭：</w:t>
            </w:r>
          </w:p>
          <w:p>
            <w:pPr>
              <w:snapToGrid w:val="0"/>
              <w:spacing w:line="264" w:lineRule="auto"/>
              <w:ind w:firstLine="420" w:firstLineChars="200"/>
              <w:rPr>
                <w:rFonts w:ascii="Times New Roman" w:hAnsi="Times New Roman" w:eastAsia="仿宋_GB2312" w:cs="仿宋_GB2312"/>
                <w:highlight w:val="none"/>
              </w:rPr>
            </w:pPr>
            <w:r>
              <w:rPr>
                <w:rFonts w:hint="eastAsia" w:ascii="Times New Roman" w:hAnsi="Times New Roman" w:eastAsia="仿宋_GB2312" w:cs="仿宋_GB2312"/>
                <w:highlight w:val="none"/>
              </w:rPr>
              <w:t>（五）转移固体废物出省、自治区、直辖市行政区域贮存、处置未经批准的；</w:t>
            </w:r>
          </w:p>
          <w:p>
            <w:pPr>
              <w:snapToGrid w:val="0"/>
              <w:spacing w:line="264" w:lineRule="auto"/>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highlight w:val="none"/>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1271" w:type="dxa"/>
            <w:vMerge w:val="restart"/>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转移量★</w:t>
            </w:r>
          </w:p>
        </w:tc>
        <w:tc>
          <w:tcPr>
            <w:tcW w:w="5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kern w:val="0"/>
                <w:highlight w:val="none"/>
              </w:rPr>
            </w:pPr>
            <w:r>
              <w:rPr>
                <w:rFonts w:ascii="Times New Roman" w:hAnsi="Times New Roman" w:eastAsia="仿宋_GB2312" w:cs="Times New Roman"/>
                <w:kern w:val="0"/>
                <w:highlight w:val="none"/>
              </w:rPr>
              <w:t>3</w:t>
            </w:r>
            <w:r>
              <w:rPr>
                <w:rFonts w:hint="eastAsia" w:ascii="Times New Roman" w:hAnsi="Times New Roman" w:eastAsia="仿宋_GB2312" w:cs="Times New Roman"/>
                <w:kern w:val="0"/>
                <w:highlight w:val="none"/>
              </w:rPr>
              <w:t>0</w:t>
            </w:r>
            <w:r>
              <w:rPr>
                <w:rFonts w:hint="eastAsia" w:ascii="Times New Roman" w:hAnsi="Times New Roman" w:eastAsia="仿宋_GB2312" w:cs="仿宋_GB2312"/>
                <w:kern w:val="0"/>
                <w:highlight w:val="none"/>
              </w:rPr>
              <w:t>吨以下</w:t>
            </w:r>
          </w:p>
        </w:tc>
        <w:tc>
          <w:tcPr>
            <w:tcW w:w="269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88" w:lineRule="auto"/>
              <w:jc w:val="center"/>
              <w:rPr>
                <w:rFonts w:ascii="Times New Roman" w:hAnsi="Times New Roman" w:cs="Times New Roman"/>
                <w:kern w:val="0"/>
                <w:highlight w:val="none"/>
              </w:rPr>
            </w:pPr>
            <w:r>
              <w:rPr>
                <w:rFonts w:ascii="Times New Roman" w:hAnsi="Times New Roman" w:cs="Times New Roman"/>
                <w:kern w:val="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spacing w:line="288" w:lineRule="auto"/>
              <w:jc w:val="center"/>
              <w:rPr>
                <w:rFonts w:ascii="Times New Roman" w:hAnsi="Times New Roman" w:cs="Times New Roman"/>
                <w:b/>
                <w:bCs/>
                <w:highlight w:val="none"/>
              </w:rPr>
            </w:pPr>
          </w:p>
        </w:tc>
        <w:tc>
          <w:tcPr>
            <w:tcW w:w="5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kern w:val="0"/>
                <w:highlight w:val="none"/>
              </w:rPr>
            </w:pPr>
            <w:r>
              <w:rPr>
                <w:rFonts w:ascii="Times New Roman" w:hAnsi="Times New Roman" w:eastAsia="仿宋_GB2312" w:cs="Times New Roman"/>
                <w:kern w:val="0"/>
                <w:highlight w:val="none"/>
              </w:rPr>
              <w:t>3</w:t>
            </w:r>
            <w:r>
              <w:rPr>
                <w:rFonts w:hint="eastAsia" w:ascii="Times New Roman" w:hAnsi="Times New Roman" w:eastAsia="仿宋_GB2312" w:cs="Times New Roman"/>
                <w:kern w:val="0"/>
                <w:highlight w:val="none"/>
              </w:rPr>
              <w:t>0</w:t>
            </w:r>
            <w:r>
              <w:rPr>
                <w:rFonts w:hint="eastAsia" w:ascii="Times New Roman" w:hAnsi="Times New Roman" w:eastAsia="仿宋_GB2312" w:cs="仿宋_GB2312"/>
                <w:kern w:val="0"/>
                <w:highlight w:val="none"/>
              </w:rPr>
              <w:t>吨以上100吨以下</w:t>
            </w:r>
          </w:p>
        </w:tc>
        <w:tc>
          <w:tcPr>
            <w:tcW w:w="269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88" w:lineRule="auto"/>
              <w:jc w:val="center"/>
              <w:rPr>
                <w:rFonts w:ascii="Times New Roman" w:hAnsi="Times New Roman" w:cs="Times New Roman"/>
                <w:kern w:val="0"/>
                <w:highlight w:val="none"/>
              </w:rPr>
            </w:pPr>
            <w:r>
              <w:rPr>
                <w:rFonts w:ascii="Times New Roman" w:hAnsi="Times New Roman" w:cs="Times New Roman"/>
                <w:kern w:val="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1271" w:type="dxa"/>
            <w:vMerge w:val="continue"/>
            <w:vAlign w:val="center"/>
          </w:tcPr>
          <w:p>
            <w:pPr>
              <w:snapToGrid w:val="0"/>
              <w:spacing w:line="288" w:lineRule="auto"/>
              <w:jc w:val="center"/>
              <w:rPr>
                <w:rFonts w:ascii="Times New Roman" w:hAnsi="Times New Roman" w:cs="Times New Roman"/>
                <w:b/>
                <w:bCs/>
                <w:highlight w:val="none"/>
              </w:rPr>
            </w:pPr>
          </w:p>
        </w:tc>
        <w:tc>
          <w:tcPr>
            <w:tcW w:w="5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100吨以上500吨以下</w:t>
            </w:r>
          </w:p>
        </w:tc>
        <w:tc>
          <w:tcPr>
            <w:tcW w:w="269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88" w:lineRule="auto"/>
              <w:jc w:val="center"/>
              <w:rPr>
                <w:rFonts w:ascii="Times New Roman" w:hAnsi="Times New Roman" w:cs="Times New Roman"/>
                <w:kern w:val="0"/>
                <w:highlight w:val="none"/>
              </w:rPr>
            </w:pPr>
            <w:r>
              <w:rPr>
                <w:rFonts w:ascii="Times New Roman" w:hAnsi="Times New Roman" w:cs="Times New Roman"/>
                <w:kern w:val="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spacing w:line="288" w:lineRule="auto"/>
              <w:jc w:val="center"/>
              <w:rPr>
                <w:rFonts w:ascii="Times New Roman" w:hAnsi="Times New Roman" w:cs="Times New Roman"/>
                <w:b/>
                <w:bCs/>
                <w:highlight w:val="none"/>
              </w:rPr>
            </w:pPr>
          </w:p>
        </w:tc>
        <w:tc>
          <w:tcPr>
            <w:tcW w:w="5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500吨以上1000吨以下</w:t>
            </w:r>
          </w:p>
        </w:tc>
        <w:tc>
          <w:tcPr>
            <w:tcW w:w="269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88" w:lineRule="auto"/>
              <w:jc w:val="center"/>
              <w:rPr>
                <w:rFonts w:ascii="Times New Roman" w:hAnsi="Times New Roman" w:cs="Times New Roman"/>
                <w:kern w:val="0"/>
                <w:highlight w:val="none"/>
              </w:rPr>
            </w:pPr>
            <w:r>
              <w:rPr>
                <w:rFonts w:ascii="Times New Roman" w:hAnsi="Times New Roman" w:cs="Times New Roman"/>
                <w:kern w:val="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1271" w:type="dxa"/>
            <w:vMerge w:val="continue"/>
            <w:vAlign w:val="center"/>
          </w:tcPr>
          <w:p>
            <w:pPr>
              <w:snapToGrid w:val="0"/>
              <w:spacing w:line="288" w:lineRule="auto"/>
              <w:jc w:val="center"/>
              <w:rPr>
                <w:rFonts w:ascii="Times New Roman" w:hAnsi="Times New Roman" w:cs="Times New Roman"/>
                <w:b/>
                <w:bCs/>
                <w:highlight w:val="none"/>
              </w:rPr>
            </w:pPr>
          </w:p>
        </w:tc>
        <w:tc>
          <w:tcPr>
            <w:tcW w:w="5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1000吨以上</w:t>
            </w:r>
          </w:p>
        </w:tc>
        <w:tc>
          <w:tcPr>
            <w:tcW w:w="269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88" w:lineRule="auto"/>
              <w:jc w:val="center"/>
              <w:rPr>
                <w:rFonts w:ascii="Times New Roman" w:hAnsi="Times New Roman" w:cs="Times New Roman"/>
                <w:kern w:val="0"/>
                <w:highlight w:val="none"/>
              </w:rPr>
            </w:pPr>
            <w:r>
              <w:rPr>
                <w:rFonts w:ascii="Times New Roman" w:hAnsi="Times New Roman" w:cs="Times New Roman"/>
                <w:kern w:val="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跨省（自治区、直辖市）数量★</w:t>
            </w:r>
          </w:p>
        </w:tc>
        <w:tc>
          <w:tcPr>
            <w:tcW w:w="5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kern w:val="0"/>
                <w:highlight w:val="none"/>
              </w:rPr>
            </w:pPr>
            <w:r>
              <w:rPr>
                <w:rFonts w:ascii="Times New Roman" w:hAnsi="Times New Roman" w:eastAsia="仿宋_GB2312" w:cs="Times New Roman"/>
                <w:kern w:val="0"/>
                <w:highlight w:val="none"/>
              </w:rPr>
              <w:t>1</w:t>
            </w:r>
            <w:r>
              <w:rPr>
                <w:rFonts w:hint="eastAsia" w:ascii="Times New Roman" w:hAnsi="Times New Roman" w:eastAsia="仿宋_GB2312" w:cs="仿宋_GB2312"/>
                <w:kern w:val="0"/>
                <w:highlight w:val="none"/>
              </w:rPr>
              <w:t>个省</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r>
              <w:rPr>
                <w:rFonts w:hint="eastAsia" w:ascii="Times New Roman" w:hAnsi="Times New Roman" w:eastAsia="仿宋_GB2312" w:cs="仿宋_GB2312"/>
                <w:highlight w:val="none"/>
              </w:rPr>
              <w:t>个省</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r>
              <w:rPr>
                <w:rFonts w:hint="eastAsia" w:ascii="Times New Roman" w:hAnsi="Times New Roman" w:eastAsia="仿宋_GB2312" w:cs="仿宋_GB2312"/>
                <w:highlight w:val="none"/>
              </w:rPr>
              <w:t>个省以上</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固废类别</w:t>
            </w:r>
          </w:p>
        </w:tc>
        <w:tc>
          <w:tcPr>
            <w:tcW w:w="5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非工业</w:t>
            </w:r>
            <w:r>
              <w:rPr>
                <w:rFonts w:ascii="Times New Roman" w:hAnsi="Times New Roman" w:eastAsia="仿宋_GB2312" w:cs="Times New Roman"/>
                <w:highlight w:val="none"/>
              </w:rPr>
              <w:t>固体废物</w:t>
            </w:r>
          </w:p>
        </w:tc>
        <w:tc>
          <w:tcPr>
            <w:tcW w:w="2693" w:type="dxa"/>
            <w:vAlign w:val="center"/>
          </w:tcPr>
          <w:p>
            <w:pPr>
              <w:snapToGrid w:val="0"/>
              <w:jc w:val="center"/>
              <w:rPr>
                <w:rFonts w:ascii="Times New Roman" w:hAnsi="Times New Roman" w:cs="Times New Roman"/>
                <w:highlight w:val="none"/>
              </w:rPr>
            </w:pPr>
            <w:r>
              <w:rPr>
                <w:rFonts w:hint="eastAsia"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第</w:t>
            </w:r>
            <w:r>
              <w:rPr>
                <w:rFonts w:hint="eastAsia" w:ascii="宋体" w:hAnsi="宋体" w:cs="宋体"/>
                <w:kern w:val="0"/>
                <w:highlight w:val="none"/>
              </w:rPr>
              <w:t>Ⅰ</w:t>
            </w:r>
            <w:r>
              <w:rPr>
                <w:rFonts w:hint="eastAsia" w:ascii="Times New Roman" w:hAnsi="Times New Roman" w:eastAsia="仿宋_GB2312" w:cs="仿宋_GB2312"/>
                <w:kern w:val="0"/>
                <w:highlight w:val="none"/>
              </w:rPr>
              <w:t>类一般工业固体废物</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第</w:t>
            </w:r>
            <w:r>
              <w:rPr>
                <w:rFonts w:hint="eastAsia" w:ascii="宋体" w:hAnsi="宋体" w:cs="宋体"/>
                <w:kern w:val="0"/>
                <w:highlight w:val="none"/>
              </w:rPr>
              <w:t>Ⅱ</w:t>
            </w:r>
            <w:r>
              <w:rPr>
                <w:rFonts w:hint="eastAsia" w:ascii="Times New Roman" w:hAnsi="Times New Roman" w:eastAsia="仿宋_GB2312" w:cs="仿宋_GB2312"/>
                <w:kern w:val="0"/>
                <w:highlight w:val="none"/>
              </w:rPr>
              <w:t>类一般工业固体废物</w:t>
            </w:r>
          </w:p>
        </w:tc>
        <w:tc>
          <w:tcPr>
            <w:tcW w:w="2693" w:type="dxa"/>
            <w:vAlign w:val="center"/>
          </w:tcPr>
          <w:p>
            <w:pPr>
              <w:snapToGrid w:val="0"/>
              <w:jc w:val="center"/>
              <w:rPr>
                <w:rFonts w:ascii="Times New Roman" w:hAnsi="Times New Roman" w:cs="Times New Roman"/>
                <w:kern w:val="0"/>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tcPr>
          <w:p>
            <w:pPr>
              <w:snapToGrid w:val="0"/>
              <w:spacing w:line="288" w:lineRule="auto"/>
              <w:ind w:firstLine="420"/>
              <w:jc w:val="center"/>
              <w:rPr>
                <w:rFonts w:ascii="Times New Roman" w:hAnsi="Times New Roman" w:cs="Times New Roman"/>
                <w:highlight w:val="none"/>
              </w:rPr>
            </w:pPr>
          </w:p>
        </w:tc>
      </w:tr>
    </w:tbl>
    <w:p>
      <w:pPr>
        <w:rPr>
          <w:rFonts w:ascii="Times New Roman" w:hAnsi="Times New Roman" w:eastAsia="仿宋_GB2312" w:cs="Times New Roman"/>
          <w:b/>
          <w:bCs/>
          <w:color w:val="FF0000"/>
          <w:highlight w:val="none"/>
        </w:rPr>
      </w:pPr>
    </w:p>
    <w:p>
      <w:pPr>
        <w:rPr>
          <w:rFonts w:ascii="Times New Roman" w:hAnsi="Times New Roman" w:eastAsia="仿宋_GB2312" w:cs="Times New Roman"/>
          <w:b/>
          <w:bCs/>
          <w:color w:val="FF0000"/>
          <w:highlight w:val="none"/>
        </w:rPr>
      </w:pPr>
      <w:r>
        <w:rPr>
          <w:rFonts w:ascii="Times New Roman" w:hAnsi="Times New Roman" w:eastAsia="仿宋_GB2312" w:cs="Times New Roman"/>
          <w:b/>
          <w:bCs/>
          <w:color w:val="FF0000"/>
          <w:highlight w:val="none"/>
        </w:rPr>
        <w:br w:type="page"/>
      </w:r>
    </w:p>
    <w:tbl>
      <w:tblPr>
        <w:tblStyle w:val="1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（四）固体废物污染防治类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spacing w:line="288" w:lineRule="auto"/>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转移固体废物出省、自治区、直辖市行政区域利用未报备案的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widowControl/>
              <w:snapToGrid w:val="0"/>
              <w:spacing w:before="62" w:beforeLines="20" w:line="288" w:lineRule="auto"/>
              <w:ind w:firstLine="422" w:firstLineChars="200"/>
              <w:jc w:val="left"/>
              <w:rPr>
                <w:rFonts w:ascii="Times New Roman" w:hAnsi="Times New Roman" w:eastAsia="仿宋_GB2312" w:cs="仿宋_GB2312"/>
                <w:highlight w:val="none"/>
              </w:rPr>
            </w:pPr>
            <w:r>
              <w:rPr>
                <w:rFonts w:hint="eastAsia" w:ascii="Times New Roman" w:hAnsi="Times New Roman" w:eastAsia="仿宋_GB2312" w:cs="仿宋_GB2312"/>
                <w:b/>
                <w:bCs/>
                <w:kern w:val="0"/>
                <w:highlight w:val="none"/>
              </w:rPr>
              <w:t xml:space="preserve">《中华人民共和国固体废物污染环境防治法》第二十二条第二款  </w:t>
            </w:r>
            <w:r>
              <w:rPr>
                <w:rFonts w:hint="eastAsia" w:ascii="Times New Roman" w:hAnsi="Times New Roman" w:eastAsia="仿宋_GB2312" w:cs="仿宋_GB2312"/>
                <w:highlight w:val="none"/>
              </w:rPr>
              <w:t>转移固体废物出省、自治区、直辖市行政区域利用的，应当报固体废物移出地的省、自治区、直辖市人民政府生态环境主管部门备案。移出地的省、自治区、直辖市人民政府生态环境主管部门应当将备案信息通报接受地的省、自治区、直辖市人民政府生态环境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snapToGrid w:val="0"/>
              <w:spacing w:line="288" w:lineRule="auto"/>
              <w:ind w:firstLine="422" w:firstLineChars="200"/>
              <w:rPr>
                <w:rFonts w:ascii="Times New Roman" w:hAnsi="Times New Roman" w:eastAsia="仿宋_GB2312" w:cs="Times New Roman"/>
                <w:highlight w:val="none"/>
              </w:rPr>
            </w:pPr>
            <w:r>
              <w:rPr>
                <w:rFonts w:hint="eastAsia" w:ascii="Times New Roman" w:hAnsi="Times New Roman" w:eastAsia="仿宋_GB2312" w:cs="仿宋_GB2312"/>
                <w:b/>
                <w:bCs/>
                <w:kern w:val="0"/>
                <w:highlight w:val="none"/>
              </w:rPr>
              <w:t xml:space="preserve">《中华人民共和国固体废物污染环境防治法》第一百零二条第一款第（六）项、第二款  </w:t>
            </w:r>
            <w:r>
              <w:rPr>
                <w:rFonts w:hint="eastAsia" w:ascii="Times New Roman" w:hAnsi="Times New Roman" w:eastAsia="仿宋_GB2312" w:cs="仿宋_GB2312"/>
                <w:highlight w:val="none"/>
              </w:rPr>
              <w:t>违反本法规定，有下列行为之一，由生态环境主管部门责令改正，处以罚款，没收违法所得；情节严重的，报经有批准权的人民政府批准，可以责令停业或者关闭：</w:t>
            </w:r>
          </w:p>
          <w:p>
            <w:pPr>
              <w:snapToGrid w:val="0"/>
              <w:spacing w:line="288" w:lineRule="auto"/>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（六）转移固体废物出省、自治区、直辖市行政区域利用未报备案的；</w:t>
            </w:r>
          </w:p>
          <w:p>
            <w:pPr>
              <w:snapToGrid w:val="0"/>
              <w:spacing w:line="288" w:lineRule="auto"/>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71" w:type="dxa"/>
            <w:vMerge w:val="restart"/>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转移量★</w:t>
            </w:r>
          </w:p>
        </w:tc>
        <w:tc>
          <w:tcPr>
            <w:tcW w:w="5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kern w:val="0"/>
                <w:highlight w:val="none"/>
              </w:rPr>
            </w:pPr>
            <w:r>
              <w:rPr>
                <w:rFonts w:ascii="Times New Roman" w:hAnsi="Times New Roman" w:eastAsia="仿宋_GB2312" w:cs="Times New Roman"/>
                <w:kern w:val="0"/>
                <w:highlight w:val="none"/>
              </w:rPr>
              <w:t>3</w:t>
            </w:r>
            <w:r>
              <w:rPr>
                <w:rFonts w:hint="eastAsia" w:ascii="Times New Roman" w:hAnsi="Times New Roman" w:eastAsia="仿宋_GB2312" w:cs="Times New Roman"/>
                <w:kern w:val="0"/>
                <w:highlight w:val="none"/>
              </w:rPr>
              <w:t>0</w:t>
            </w:r>
            <w:r>
              <w:rPr>
                <w:rFonts w:hint="eastAsia" w:ascii="Times New Roman" w:hAnsi="Times New Roman" w:eastAsia="仿宋_GB2312" w:cs="仿宋_GB2312"/>
                <w:kern w:val="0"/>
                <w:highlight w:val="none"/>
              </w:rPr>
              <w:t>吨以下</w:t>
            </w:r>
          </w:p>
        </w:tc>
        <w:tc>
          <w:tcPr>
            <w:tcW w:w="269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kern w:val="0"/>
                <w:highlight w:val="none"/>
              </w:rPr>
            </w:pPr>
            <w:r>
              <w:rPr>
                <w:rFonts w:ascii="Times New Roman" w:hAnsi="Times New Roman" w:cs="Times New Roman"/>
                <w:kern w:val="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Merge w:val="continue"/>
            <w:vAlign w:val="center"/>
          </w:tcPr>
          <w:p>
            <w:pPr>
              <w:snapToGrid w:val="0"/>
              <w:spacing w:line="288" w:lineRule="auto"/>
              <w:jc w:val="center"/>
              <w:rPr>
                <w:rFonts w:ascii="Times New Roman" w:hAnsi="Times New Roman" w:cs="Times New Roman"/>
                <w:b/>
                <w:bCs/>
                <w:highlight w:val="none"/>
              </w:rPr>
            </w:pPr>
          </w:p>
        </w:tc>
        <w:tc>
          <w:tcPr>
            <w:tcW w:w="5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kern w:val="0"/>
                <w:highlight w:val="none"/>
              </w:rPr>
            </w:pPr>
            <w:r>
              <w:rPr>
                <w:rFonts w:ascii="Times New Roman" w:hAnsi="Times New Roman" w:eastAsia="仿宋_GB2312" w:cs="Times New Roman"/>
                <w:kern w:val="0"/>
                <w:highlight w:val="none"/>
              </w:rPr>
              <w:t>3</w:t>
            </w:r>
            <w:r>
              <w:rPr>
                <w:rFonts w:hint="eastAsia" w:ascii="Times New Roman" w:hAnsi="Times New Roman" w:eastAsia="仿宋_GB2312" w:cs="Times New Roman"/>
                <w:kern w:val="0"/>
                <w:highlight w:val="none"/>
              </w:rPr>
              <w:t>0</w:t>
            </w:r>
            <w:r>
              <w:rPr>
                <w:rFonts w:hint="eastAsia" w:ascii="Times New Roman" w:hAnsi="Times New Roman" w:eastAsia="仿宋_GB2312" w:cs="仿宋_GB2312"/>
                <w:kern w:val="0"/>
                <w:highlight w:val="none"/>
              </w:rPr>
              <w:t>吨以上100吨以下</w:t>
            </w:r>
          </w:p>
        </w:tc>
        <w:tc>
          <w:tcPr>
            <w:tcW w:w="269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kern w:val="0"/>
                <w:highlight w:val="none"/>
              </w:rPr>
            </w:pPr>
            <w:r>
              <w:rPr>
                <w:rFonts w:ascii="Times New Roman" w:hAnsi="Times New Roman" w:cs="Times New Roman"/>
                <w:kern w:val="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71" w:type="dxa"/>
            <w:vMerge w:val="continue"/>
            <w:vAlign w:val="center"/>
          </w:tcPr>
          <w:p>
            <w:pPr>
              <w:snapToGrid w:val="0"/>
              <w:spacing w:line="288" w:lineRule="auto"/>
              <w:jc w:val="center"/>
              <w:rPr>
                <w:rFonts w:ascii="Times New Roman" w:hAnsi="Times New Roman" w:cs="Times New Roman"/>
                <w:b/>
                <w:bCs/>
                <w:highlight w:val="none"/>
              </w:rPr>
            </w:pPr>
          </w:p>
        </w:tc>
        <w:tc>
          <w:tcPr>
            <w:tcW w:w="5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100吨以上500吨以下</w:t>
            </w:r>
          </w:p>
        </w:tc>
        <w:tc>
          <w:tcPr>
            <w:tcW w:w="269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kern w:val="0"/>
                <w:highlight w:val="none"/>
              </w:rPr>
            </w:pPr>
            <w:r>
              <w:rPr>
                <w:rFonts w:ascii="Times New Roman" w:hAnsi="Times New Roman" w:cs="Times New Roman"/>
                <w:kern w:val="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Merge w:val="continue"/>
            <w:vAlign w:val="center"/>
          </w:tcPr>
          <w:p>
            <w:pPr>
              <w:snapToGrid w:val="0"/>
              <w:spacing w:line="288" w:lineRule="auto"/>
              <w:jc w:val="center"/>
              <w:rPr>
                <w:rFonts w:ascii="Times New Roman" w:hAnsi="Times New Roman" w:cs="Times New Roman"/>
                <w:b/>
                <w:bCs/>
                <w:highlight w:val="none"/>
              </w:rPr>
            </w:pPr>
          </w:p>
        </w:tc>
        <w:tc>
          <w:tcPr>
            <w:tcW w:w="5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500吨以上1000吨以下</w:t>
            </w:r>
          </w:p>
        </w:tc>
        <w:tc>
          <w:tcPr>
            <w:tcW w:w="269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kern w:val="0"/>
                <w:highlight w:val="none"/>
              </w:rPr>
            </w:pPr>
            <w:r>
              <w:rPr>
                <w:rFonts w:ascii="Times New Roman" w:hAnsi="Times New Roman" w:cs="Times New Roman"/>
                <w:kern w:val="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71" w:type="dxa"/>
            <w:vMerge w:val="continue"/>
            <w:vAlign w:val="center"/>
          </w:tcPr>
          <w:p>
            <w:pPr>
              <w:snapToGrid w:val="0"/>
              <w:spacing w:line="288" w:lineRule="auto"/>
              <w:jc w:val="center"/>
              <w:rPr>
                <w:rFonts w:ascii="Times New Roman" w:hAnsi="Times New Roman" w:cs="Times New Roman"/>
                <w:b/>
                <w:bCs/>
                <w:highlight w:val="none"/>
              </w:rPr>
            </w:pPr>
          </w:p>
        </w:tc>
        <w:tc>
          <w:tcPr>
            <w:tcW w:w="5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1000吨以上</w:t>
            </w:r>
          </w:p>
        </w:tc>
        <w:tc>
          <w:tcPr>
            <w:tcW w:w="269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kern w:val="0"/>
                <w:highlight w:val="none"/>
              </w:rPr>
            </w:pPr>
            <w:r>
              <w:rPr>
                <w:rFonts w:ascii="Times New Roman" w:hAnsi="Times New Roman" w:cs="Times New Roman"/>
                <w:kern w:val="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Merge w:val="restart"/>
            <w:vAlign w:val="center"/>
          </w:tcPr>
          <w:p>
            <w:pPr>
              <w:snapToGrid w:val="0"/>
              <w:jc w:val="center"/>
              <w:rPr>
                <w:rFonts w:ascii="Times New Roman" w:hAnsi="Times New Roman" w:cs="宋体"/>
                <w:b/>
                <w:bCs/>
                <w:highlight w:val="none"/>
              </w:rPr>
            </w:pPr>
            <w:r>
              <w:rPr>
                <w:rFonts w:hint="eastAsia" w:ascii="Times New Roman" w:hAnsi="Times New Roman" w:cs="宋体"/>
                <w:b/>
                <w:bCs/>
                <w:highlight w:val="none"/>
              </w:rPr>
              <w:t>固废类别</w:t>
            </w:r>
          </w:p>
        </w:tc>
        <w:tc>
          <w:tcPr>
            <w:tcW w:w="5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仿宋_GB2312"/>
                <w:kern w:val="0"/>
                <w:highlight w:val="none"/>
              </w:rPr>
            </w:pPr>
            <w:r>
              <w:rPr>
                <w:rFonts w:hint="eastAsia" w:ascii="Times New Roman" w:hAnsi="Times New Roman" w:eastAsia="仿宋_GB2312" w:cs="Times New Roman"/>
                <w:highlight w:val="none"/>
              </w:rPr>
              <w:t>非工业</w:t>
            </w:r>
            <w:r>
              <w:rPr>
                <w:rFonts w:ascii="Times New Roman" w:hAnsi="Times New Roman" w:eastAsia="仿宋_GB2312" w:cs="Times New Roman"/>
                <w:highlight w:val="none"/>
              </w:rPr>
              <w:t>固体废物</w:t>
            </w:r>
          </w:p>
        </w:tc>
        <w:tc>
          <w:tcPr>
            <w:tcW w:w="2693"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第</w:t>
            </w:r>
            <w:r>
              <w:rPr>
                <w:rFonts w:hint="eastAsia" w:ascii="宋体" w:hAnsi="宋体" w:cs="宋体"/>
                <w:kern w:val="0"/>
                <w:highlight w:val="none"/>
              </w:rPr>
              <w:t>Ⅰ</w:t>
            </w:r>
            <w:r>
              <w:rPr>
                <w:rFonts w:hint="eastAsia" w:ascii="Times New Roman" w:hAnsi="Times New Roman" w:eastAsia="仿宋_GB2312" w:cs="仿宋_GB2312"/>
                <w:kern w:val="0"/>
                <w:highlight w:val="none"/>
              </w:rPr>
              <w:t>类一般工业固体废物</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第</w:t>
            </w:r>
            <w:r>
              <w:rPr>
                <w:rFonts w:hint="eastAsia" w:ascii="宋体" w:hAnsi="宋体" w:cs="宋体"/>
                <w:kern w:val="0"/>
                <w:highlight w:val="none"/>
              </w:rPr>
              <w:t>Ⅱ</w:t>
            </w:r>
            <w:r>
              <w:rPr>
                <w:rFonts w:hint="eastAsia" w:ascii="Times New Roman" w:hAnsi="Times New Roman" w:eastAsia="仿宋_GB2312" w:cs="仿宋_GB2312"/>
                <w:kern w:val="0"/>
                <w:highlight w:val="none"/>
              </w:rPr>
              <w:t>类一般工业固体废物</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跨省（自治区、直辖市）数量★</w:t>
            </w:r>
          </w:p>
        </w:tc>
        <w:tc>
          <w:tcPr>
            <w:tcW w:w="5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kern w:val="0"/>
                <w:highlight w:val="none"/>
              </w:rPr>
            </w:pPr>
            <w:r>
              <w:rPr>
                <w:rFonts w:ascii="Times New Roman" w:hAnsi="Times New Roman" w:eastAsia="仿宋_GB2312" w:cs="Times New Roman"/>
                <w:kern w:val="0"/>
                <w:highlight w:val="none"/>
              </w:rPr>
              <w:t>1</w:t>
            </w:r>
            <w:r>
              <w:rPr>
                <w:rFonts w:hint="eastAsia" w:ascii="Times New Roman" w:hAnsi="Times New Roman" w:eastAsia="仿宋_GB2312" w:cs="仿宋_GB2312"/>
                <w:kern w:val="0"/>
                <w:highlight w:val="none"/>
              </w:rPr>
              <w:t>个省</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r>
              <w:rPr>
                <w:rFonts w:hint="eastAsia" w:ascii="Times New Roman" w:hAnsi="Times New Roman" w:eastAsia="仿宋_GB2312" w:cs="仿宋_GB2312"/>
                <w:highlight w:val="none"/>
              </w:rPr>
              <w:t>个省</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r>
              <w:rPr>
                <w:rFonts w:hint="eastAsia" w:ascii="Times New Roman" w:hAnsi="Times New Roman" w:eastAsia="仿宋_GB2312" w:cs="仿宋_GB2312"/>
                <w:highlight w:val="none"/>
              </w:rPr>
              <w:t>个省以上</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cs="Times New Roman"/>
                <w:highlight w:val="none"/>
              </w:rPr>
            </w:pPr>
          </w:p>
        </w:tc>
      </w:tr>
    </w:tbl>
    <w:p>
      <w:pPr>
        <w:rPr>
          <w:rFonts w:ascii="Times New Roman" w:hAnsi="Times New Roman" w:eastAsia="仿宋_GB2312" w:cs="Times New Roman"/>
          <w:b/>
          <w:bCs/>
          <w:color w:val="FF0000"/>
          <w:highlight w:val="none"/>
        </w:rPr>
      </w:pPr>
      <w:r>
        <w:rPr>
          <w:rFonts w:ascii="Times New Roman" w:hAnsi="Times New Roman" w:eastAsia="仿宋_GB2312" w:cs="Times New Roman"/>
          <w:b/>
          <w:bCs/>
          <w:color w:val="FF0000"/>
          <w:highlight w:val="none"/>
        </w:rPr>
        <w:br w:type="page"/>
      </w:r>
    </w:p>
    <w:tbl>
      <w:tblPr>
        <w:tblStyle w:val="1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（四）固体废物污染防治类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spacing w:before="62" w:beforeLines="20" w:line="288" w:lineRule="auto"/>
              <w:ind w:firstLine="420" w:firstLineChars="200"/>
              <w:jc w:val="left"/>
              <w:rPr>
                <w:rFonts w:ascii="Times New Roman" w:hAnsi="Times New Roman" w:eastAsia="仿宋_GB2312" w:cs="Times New Roman"/>
                <w:highlight w:val="none"/>
              </w:rPr>
            </w:pPr>
            <w:r>
              <w:rPr>
                <w:rFonts w:hint="eastAsia" w:ascii="Times New Roman" w:hAnsi="Times New Roman" w:eastAsia="仿宋_GB2312" w:cs="仿宋_GB2312"/>
                <w:highlight w:val="none"/>
              </w:rPr>
              <w:t>擅自倾倒、堆放、丢弃、遗撒工业固体废物，或者未采取相应防范措施，造成工业固体废物扬散、流失、渗漏或者其他环境污染的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snapToGrid w:val="0"/>
              <w:spacing w:before="62" w:beforeLines="20" w:line="288" w:lineRule="auto"/>
              <w:ind w:firstLine="420"/>
              <w:rPr>
                <w:rFonts w:ascii="Times New Roman" w:hAnsi="Times New Roman" w:eastAsia="仿宋_GB2312" w:cs="仿宋_GB2312"/>
                <w:highlight w:val="none"/>
              </w:rPr>
            </w:pPr>
            <w:r>
              <w:rPr>
                <w:rFonts w:hint="eastAsia" w:ascii="Times New Roman" w:hAnsi="Times New Roman" w:eastAsia="仿宋_GB2312" w:cs="仿宋_GB2312"/>
                <w:b/>
                <w:bCs/>
                <w:kern w:val="0"/>
                <w:highlight w:val="none"/>
              </w:rPr>
              <w:t>《中华人民共和国固体废物污染环境防治法》第二十条</w:t>
            </w:r>
            <w:r>
              <w:rPr>
                <w:rFonts w:hint="eastAsia" w:ascii="Times New Roman" w:hAnsi="Times New Roman" w:eastAsia="仿宋_GB2312" w:cs="仿宋_GB2312"/>
                <w:b/>
                <w:bCs/>
                <w:highlight w:val="none"/>
              </w:rPr>
              <w:t xml:space="preserve">  </w:t>
            </w:r>
            <w:r>
              <w:rPr>
                <w:rFonts w:hint="eastAsia" w:ascii="Times New Roman" w:hAnsi="Times New Roman" w:eastAsia="仿宋_GB2312" w:cs="仿宋_GB2312"/>
                <w:highlight w:val="none"/>
              </w:rPr>
              <w:t>产生、收集、贮存、运输、利用、处置固体废物的单位和其他生产经营者，应当采取防扬散、防流失、防渗漏或者其他防止污染环境的措施，不得擅自倾倒、堆放、丢弃、遗撒固体废物。</w:t>
            </w:r>
          </w:p>
          <w:p>
            <w:pPr>
              <w:snapToGrid w:val="0"/>
              <w:spacing w:line="288" w:lineRule="auto"/>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禁止任何单位或者个人向江河、湖泊、运河、渠道、水库及其最高水位线以下的滩地和岸坡以及法律法规规定的其他地点倾倒、堆放、贮存固体废物</w:t>
            </w:r>
            <w:r>
              <w:rPr>
                <w:rFonts w:hint="eastAsia" w:ascii="Times New Roman" w:hAnsi="Times New Roman" w:eastAsia="仿宋_GB2312" w:cs="仿宋_GB2312"/>
                <w:kern w:val="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snapToGrid w:val="0"/>
              <w:spacing w:before="62" w:beforeLines="20" w:line="288" w:lineRule="auto"/>
              <w:ind w:firstLine="420"/>
              <w:rPr>
                <w:rFonts w:ascii="Times New Roman" w:hAnsi="Times New Roman" w:eastAsia="仿宋_GB2312" w:cs="仿宋_GB2312"/>
                <w:kern w:val="0"/>
                <w:highlight w:val="none"/>
              </w:rPr>
            </w:pPr>
            <w:r>
              <w:rPr>
                <w:rFonts w:hint="eastAsia" w:ascii="Times New Roman" w:hAnsi="Times New Roman" w:eastAsia="仿宋_GB2312" w:cs="仿宋_GB2312"/>
                <w:b/>
                <w:bCs/>
                <w:kern w:val="0"/>
                <w:highlight w:val="none"/>
              </w:rPr>
              <w:t xml:space="preserve">《中华人民共和国固体废物污染环境防治法》第一百零二条第一款第（七） 项 、第二款  </w:t>
            </w:r>
            <w:r>
              <w:rPr>
                <w:rFonts w:hint="eastAsia" w:ascii="Times New Roman" w:hAnsi="Times New Roman" w:eastAsia="仿宋_GB2312" w:cs="仿宋_GB2312"/>
                <w:highlight w:val="none"/>
              </w:rPr>
              <w:t>违反本法规定，有下列行为之一，由生态环境主管部门责令改正，处以罚款，没</w:t>
            </w:r>
            <w:r>
              <w:rPr>
                <w:rFonts w:hint="eastAsia" w:ascii="Times New Roman" w:hAnsi="Times New Roman" w:eastAsia="仿宋_GB2312" w:cs="仿宋_GB2312"/>
                <w:kern w:val="0"/>
                <w:highlight w:val="none"/>
              </w:rPr>
              <w:t>收违法所得；情节严重的，报经有批准权的人民政府批准，可以责令停业或者关闭：</w:t>
            </w:r>
          </w:p>
          <w:p>
            <w:pPr>
              <w:snapToGrid w:val="0"/>
              <w:spacing w:line="288" w:lineRule="auto"/>
              <w:ind w:firstLine="420"/>
              <w:rPr>
                <w:rFonts w:ascii="Times New Roman" w:hAnsi="Times New Roman" w:eastAsia="仿宋_GB2312" w:cs="Times New Roman"/>
                <w:highlight w:val="none"/>
              </w:rPr>
            </w:pPr>
            <w:r>
              <w:rPr>
                <w:rFonts w:hint="eastAsia" w:ascii="Times New Roman" w:hAnsi="Times New Roman" w:eastAsia="仿宋_GB2312" w:cs="仿宋_GB2312"/>
                <w:kern w:val="0"/>
                <w:highlight w:val="none"/>
              </w:rPr>
              <w:t>（七）擅自倾倒、堆放、丢弃、遗撒工业固体废物，或者未采取相应防范措施，造成工业固体废物扬散、流失、渗漏或者其他环境污染的；</w:t>
            </w:r>
          </w:p>
          <w:p>
            <w:pPr>
              <w:snapToGrid w:val="0"/>
              <w:spacing w:line="288" w:lineRule="auto"/>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271" w:type="dxa"/>
            <w:vMerge w:val="restart"/>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违法事实★</w:t>
            </w:r>
          </w:p>
        </w:tc>
        <w:tc>
          <w:tcPr>
            <w:tcW w:w="5245" w:type="dxa"/>
            <w:vAlign w:val="center"/>
          </w:tcPr>
          <w:p>
            <w:pPr>
              <w:pStyle w:val="12"/>
              <w:snapToGrid w:val="0"/>
              <w:spacing w:before="62" w:beforeLines="20" w:beforeAutospacing="0" w:after="0" w:afterAutospacing="0"/>
              <w:jc w:val="center"/>
              <w:rPr>
                <w:rFonts w:ascii="Times New Roman" w:hAnsi="Times New Roman" w:eastAsia="仿宋_GB2312" w:cs="仿宋_GB2312"/>
                <w:kern w:val="2"/>
                <w:sz w:val="21"/>
                <w:szCs w:val="21"/>
                <w:highlight w:val="none"/>
              </w:rPr>
            </w:pPr>
            <w:r>
              <w:rPr>
                <w:rFonts w:hint="eastAsia" w:ascii="Times New Roman" w:hAnsi="Times New Roman" w:eastAsia="仿宋_GB2312" w:cs="仿宋_GB2312"/>
                <w:kern w:val="2"/>
                <w:sz w:val="21"/>
                <w:szCs w:val="21"/>
                <w:highlight w:val="none"/>
              </w:rPr>
              <w:t>未规范采取相应防范措施，造成工业固体废物扬散、流失、渗漏或者其他环境污染的</w:t>
            </w:r>
          </w:p>
        </w:tc>
        <w:tc>
          <w:tcPr>
            <w:tcW w:w="2693" w:type="dxa"/>
            <w:vAlign w:val="center"/>
          </w:tcPr>
          <w:p>
            <w:pPr>
              <w:pStyle w:val="11"/>
              <w:snapToGrid w:val="0"/>
              <w:spacing w:before="62" w:beforeLines="20"/>
              <w:jc w:val="center"/>
              <w:rPr>
                <w:rFonts w:ascii="Times New Roman" w:hAnsi="Times New Roman" w:cs="Times New Roman"/>
                <w:sz w:val="21"/>
                <w:szCs w:val="21"/>
                <w:highlight w:val="none"/>
              </w:rPr>
            </w:pPr>
            <w:r>
              <w:rPr>
                <w:rFonts w:hint="eastAsia" w:ascii="Times New Roman" w:hAnsi="Times New Roman" w:cs="Times New Roman"/>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71" w:type="dxa"/>
            <w:vMerge w:val="continue"/>
            <w:vAlign w:val="center"/>
          </w:tcPr>
          <w:p>
            <w:pPr>
              <w:snapToGrid w:val="0"/>
              <w:spacing w:line="288" w:lineRule="auto"/>
              <w:jc w:val="center"/>
              <w:rPr>
                <w:rFonts w:ascii="Times New Roman" w:hAnsi="Times New Roman" w:cs="Times New Roman"/>
                <w:b/>
                <w:bCs/>
                <w:highlight w:val="none"/>
              </w:rPr>
            </w:pPr>
          </w:p>
        </w:tc>
        <w:tc>
          <w:tcPr>
            <w:tcW w:w="5245" w:type="dxa"/>
            <w:vAlign w:val="center"/>
          </w:tcPr>
          <w:p>
            <w:pPr>
              <w:pStyle w:val="12"/>
              <w:snapToGrid w:val="0"/>
              <w:spacing w:before="62" w:beforeLines="20" w:beforeAutospacing="0" w:after="0" w:afterAutospacing="0"/>
              <w:jc w:val="center"/>
              <w:rPr>
                <w:rFonts w:ascii="Times New Roman" w:hAnsi="Times New Roman" w:eastAsia="仿宋_GB2312" w:cs="仿宋_GB2312"/>
                <w:kern w:val="2"/>
                <w:sz w:val="21"/>
                <w:szCs w:val="21"/>
                <w:highlight w:val="none"/>
              </w:rPr>
            </w:pPr>
            <w:r>
              <w:rPr>
                <w:rFonts w:hint="eastAsia" w:ascii="Times New Roman" w:hAnsi="Times New Roman" w:eastAsia="仿宋_GB2312" w:cs="仿宋_GB2312"/>
                <w:kern w:val="2"/>
                <w:sz w:val="21"/>
                <w:szCs w:val="21"/>
                <w:highlight w:val="none"/>
              </w:rPr>
              <w:t>未采取相应防范措施的，造成工业固体废物扬散、流失、渗漏或者其他环境污染的</w:t>
            </w:r>
          </w:p>
        </w:tc>
        <w:tc>
          <w:tcPr>
            <w:tcW w:w="2693" w:type="dxa"/>
            <w:vAlign w:val="center"/>
          </w:tcPr>
          <w:p>
            <w:pPr>
              <w:pStyle w:val="11"/>
              <w:snapToGrid w:val="0"/>
              <w:spacing w:before="62" w:beforeLines="20"/>
              <w:jc w:val="center"/>
              <w:rPr>
                <w:rFonts w:ascii="Times New Roman" w:hAnsi="Times New Roman" w:cs="Times New Roman"/>
                <w:sz w:val="21"/>
                <w:szCs w:val="21"/>
                <w:highlight w:val="none"/>
              </w:rPr>
            </w:pPr>
            <w:r>
              <w:rPr>
                <w:rFonts w:ascii="Times New Roman" w:hAnsi="Times New Roman" w:cs="Times New Roman"/>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71" w:type="dxa"/>
            <w:vMerge w:val="continue"/>
            <w:vAlign w:val="center"/>
          </w:tcPr>
          <w:p>
            <w:pPr>
              <w:snapToGrid w:val="0"/>
              <w:spacing w:line="288" w:lineRule="auto"/>
              <w:jc w:val="center"/>
              <w:rPr>
                <w:rFonts w:ascii="Times New Roman" w:hAnsi="Times New Roman" w:cs="宋体"/>
                <w:b/>
                <w:bCs/>
                <w:highlight w:val="none"/>
              </w:rPr>
            </w:pPr>
          </w:p>
        </w:tc>
        <w:tc>
          <w:tcPr>
            <w:tcW w:w="5245" w:type="dxa"/>
            <w:vAlign w:val="center"/>
          </w:tcPr>
          <w:p>
            <w:pPr>
              <w:pStyle w:val="12"/>
              <w:snapToGrid w:val="0"/>
              <w:spacing w:before="62" w:beforeLines="20" w:beforeAutospacing="0" w:after="0" w:afterAutospacing="0"/>
              <w:jc w:val="center"/>
              <w:rPr>
                <w:rFonts w:ascii="Times New Roman" w:hAnsi="Times New Roman" w:eastAsia="仿宋_GB2312" w:cs="仿宋_GB2312"/>
                <w:kern w:val="2"/>
                <w:sz w:val="21"/>
                <w:szCs w:val="21"/>
                <w:highlight w:val="none"/>
              </w:rPr>
            </w:pPr>
            <w:r>
              <w:rPr>
                <w:rFonts w:hint="eastAsia" w:ascii="Times New Roman" w:hAnsi="Times New Roman" w:eastAsia="仿宋_GB2312" w:cs="仿宋_GB2312"/>
                <w:kern w:val="2"/>
                <w:sz w:val="21"/>
                <w:szCs w:val="21"/>
                <w:highlight w:val="none"/>
              </w:rPr>
              <w:t>擅自倾倒、堆放、丢弃、遗撒工业固体废物，造成工业固体废物扬散、流失、渗漏或者其他环境污染的</w:t>
            </w:r>
          </w:p>
        </w:tc>
        <w:tc>
          <w:tcPr>
            <w:tcW w:w="2693" w:type="dxa"/>
            <w:vAlign w:val="center"/>
          </w:tcPr>
          <w:p>
            <w:pPr>
              <w:pStyle w:val="11"/>
              <w:snapToGrid w:val="0"/>
              <w:spacing w:before="62" w:beforeLines="20"/>
              <w:jc w:val="center"/>
              <w:rPr>
                <w:rFonts w:ascii="Times New Roman" w:hAnsi="Times New Roman" w:cs="Times New Roman"/>
                <w:sz w:val="21"/>
                <w:szCs w:val="21"/>
                <w:highlight w:val="none"/>
              </w:rPr>
            </w:pPr>
            <w:r>
              <w:rPr>
                <w:rFonts w:hint="eastAsia" w:ascii="Times New Roman" w:hAnsi="Times New Roman" w:cs="Times New Roman"/>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工业固体</w:t>
            </w:r>
          </w:p>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废物数量</w:t>
            </w:r>
          </w:p>
        </w:tc>
        <w:tc>
          <w:tcPr>
            <w:tcW w:w="5245" w:type="dxa"/>
            <w:vAlign w:val="center"/>
          </w:tcPr>
          <w:p>
            <w:pPr>
              <w:pStyle w:val="12"/>
              <w:snapToGrid w:val="0"/>
              <w:spacing w:before="0" w:beforeAutospacing="0" w:after="0" w:afterAutospacing="0"/>
              <w:jc w:val="center"/>
              <w:rPr>
                <w:rFonts w:ascii="Times New Roman" w:hAnsi="Times New Roman" w:eastAsia="仿宋_GB2312" w:cs="仿宋_GB2312"/>
                <w:kern w:val="2"/>
                <w:sz w:val="21"/>
                <w:szCs w:val="21"/>
                <w:highlight w:val="none"/>
              </w:rPr>
            </w:pPr>
            <w:r>
              <w:rPr>
                <w:rFonts w:hint="eastAsia" w:ascii="Times New Roman" w:hAnsi="Times New Roman" w:eastAsia="仿宋_GB2312" w:cs="仿宋_GB2312"/>
                <w:kern w:val="2"/>
                <w:sz w:val="21"/>
                <w:szCs w:val="21"/>
                <w:highlight w:val="none"/>
              </w:rPr>
              <w:t>扬散、流失、渗漏不足1吨</w:t>
            </w:r>
          </w:p>
        </w:tc>
        <w:tc>
          <w:tcPr>
            <w:tcW w:w="2693" w:type="dxa"/>
            <w:vAlign w:val="center"/>
          </w:tcPr>
          <w:p>
            <w:pPr>
              <w:pStyle w:val="11"/>
              <w:snapToGrid w:val="0"/>
              <w:spacing w:line="288" w:lineRule="auto"/>
              <w:jc w:val="center"/>
              <w:rPr>
                <w:rFonts w:ascii="Times New Roman" w:hAnsi="Times New Roman" w:cs="Times New Roman"/>
                <w:sz w:val="21"/>
                <w:szCs w:val="21"/>
                <w:highlight w:val="none"/>
              </w:rPr>
            </w:pPr>
            <w:r>
              <w:rPr>
                <w:rFonts w:ascii="Times New Roman" w:hAnsi="Times New Roman" w:cs="Times New Roman"/>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扬散、流失、渗漏</w:t>
            </w:r>
            <w:r>
              <w:rPr>
                <w:rFonts w:ascii="Times New Roman" w:hAnsi="Times New Roman" w:eastAsia="仿宋_GB2312" w:cs="Times New Roman"/>
                <w:highlight w:val="none"/>
              </w:rPr>
              <w:t>1</w:t>
            </w:r>
            <w:r>
              <w:rPr>
                <w:rFonts w:hint="eastAsia" w:ascii="Times New Roman" w:hAnsi="Times New Roman" w:eastAsia="仿宋_GB2312" w:cs="仿宋_GB2312"/>
                <w:highlight w:val="none"/>
              </w:rPr>
              <w:t>吨以上不足3吨</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扬散、流失、渗漏3吨以上不足5吨</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扬散、流失、渗漏5吨以上不足10吨</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扬散、流失、渗漏10吨以上</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固废类别</w:t>
            </w: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第</w:t>
            </w:r>
            <w:r>
              <w:rPr>
                <w:rFonts w:hint="eastAsia"/>
                <w:sz w:val="21"/>
                <w:szCs w:val="21"/>
                <w:highlight w:val="none"/>
              </w:rPr>
              <w:t>Ⅰ</w:t>
            </w:r>
            <w:r>
              <w:rPr>
                <w:rFonts w:hint="eastAsia" w:ascii="Times New Roman" w:hAnsi="Times New Roman" w:eastAsia="仿宋_GB2312" w:cs="仿宋_GB2312"/>
                <w:sz w:val="21"/>
                <w:szCs w:val="21"/>
                <w:highlight w:val="none"/>
              </w:rPr>
              <w:t>类一般工业固体废物</w:t>
            </w:r>
          </w:p>
        </w:tc>
        <w:tc>
          <w:tcPr>
            <w:tcW w:w="2693" w:type="dxa"/>
            <w:vAlign w:val="center"/>
          </w:tcPr>
          <w:p>
            <w:pPr>
              <w:snapToGrid w:val="0"/>
              <w:spacing w:line="288" w:lineRule="auto"/>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第</w:t>
            </w:r>
            <w:r>
              <w:rPr>
                <w:rFonts w:hint="eastAsia" w:ascii="宋体" w:hAnsi="宋体" w:cs="宋体"/>
                <w:highlight w:val="none"/>
              </w:rPr>
              <w:t>Ⅱ</w:t>
            </w:r>
            <w:r>
              <w:rPr>
                <w:rFonts w:hint="eastAsia" w:ascii="Times New Roman" w:hAnsi="Times New Roman" w:eastAsia="仿宋_GB2312" w:cs="仿宋_GB2312"/>
                <w:highlight w:val="none"/>
              </w:rPr>
              <w:t>类一般工业固体废物</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spacing w:line="288" w:lineRule="auto"/>
              <w:ind w:firstLine="420"/>
              <w:jc w:val="center"/>
              <w:rPr>
                <w:rFonts w:ascii="Times New Roman" w:hAnsi="Times New Roman" w:cs="Times New Roman"/>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（四）固体废物污染防治类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jc w:val="center"/>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产生工业固体废物的单位未建立固体废物管理台账并如实记录的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snapToGrid w:val="0"/>
              <w:spacing w:before="62" w:beforeLines="20" w:line="288" w:lineRule="auto"/>
              <w:ind w:firstLine="420"/>
              <w:rPr>
                <w:rFonts w:ascii="Times New Roman" w:hAnsi="Times New Roman" w:eastAsia="仿宋_GB2312" w:cs="仿宋_GB2312"/>
                <w:highlight w:val="none"/>
              </w:rPr>
            </w:pPr>
            <w:r>
              <w:rPr>
                <w:rFonts w:hint="eastAsia" w:ascii="Times New Roman" w:hAnsi="Times New Roman" w:eastAsia="仿宋_GB2312" w:cs="仿宋_GB2312"/>
                <w:b/>
                <w:bCs/>
                <w:highlight w:val="none"/>
              </w:rPr>
              <w:t xml:space="preserve">《中华人民共和国固体废物污染环境防治法》第三十六条第一款  </w:t>
            </w:r>
            <w:r>
              <w:rPr>
                <w:rFonts w:hint="eastAsia" w:ascii="Times New Roman" w:hAnsi="Times New Roman" w:eastAsia="仿宋_GB2312" w:cs="仿宋_GB2312"/>
                <w:highlight w:val="none"/>
              </w:rPr>
              <w:t>产生工业固体废物的单位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snapToGrid w:val="0"/>
              <w:spacing w:before="62" w:beforeLines="20" w:line="288" w:lineRule="auto"/>
              <w:ind w:firstLine="422" w:firstLineChars="200"/>
              <w:rPr>
                <w:rFonts w:ascii="Times New Roman" w:hAnsi="Times New Roman" w:eastAsia="仿宋_GB2312" w:cs="仿宋_GB2312"/>
                <w:highlight w:val="none"/>
              </w:rPr>
            </w:pPr>
            <w:r>
              <w:rPr>
                <w:rFonts w:hint="eastAsia" w:ascii="Times New Roman" w:hAnsi="Times New Roman" w:eastAsia="仿宋_GB2312" w:cs="仿宋_GB2312"/>
                <w:b/>
                <w:bCs/>
                <w:highlight w:val="none"/>
              </w:rPr>
              <w:t xml:space="preserve">《中华人民共和国固体废物污染环境防治法》第一百零二条第一款第（八） 项 、第二款  </w:t>
            </w:r>
            <w:r>
              <w:rPr>
                <w:rFonts w:hint="eastAsia" w:ascii="Times New Roman" w:hAnsi="Times New Roman" w:eastAsia="仿宋_GB2312" w:cs="仿宋_GB2312"/>
                <w:highlight w:val="none"/>
              </w:rPr>
              <w:t xml:space="preserve">违反本法规定，有下列行为之一，由生态环境主管部门责令改正，处以罚款，没收违法所得；情节严重的，报经有批准权的人民政府批准，可以责令 停业或者关闭： </w:t>
            </w:r>
          </w:p>
          <w:p>
            <w:pPr>
              <w:snapToGrid w:val="0"/>
              <w:spacing w:line="288" w:lineRule="auto"/>
              <w:ind w:firstLine="420"/>
              <w:rPr>
                <w:rFonts w:ascii="Times New Roman" w:hAnsi="Times New Roman" w:eastAsia="仿宋_GB2312" w:cs="仿宋_GB2312"/>
                <w:highlight w:val="none"/>
              </w:rPr>
            </w:pPr>
            <w:r>
              <w:rPr>
                <w:rFonts w:hint="eastAsia" w:ascii="Times New Roman" w:hAnsi="Times New Roman" w:eastAsia="仿宋_GB2312" w:cs="仿宋_GB2312"/>
                <w:highlight w:val="none"/>
              </w:rPr>
              <w:t xml:space="preserve">（八）产生工业固体废物的单位未建立固体废物管理台账并如实记录的； </w:t>
            </w:r>
          </w:p>
          <w:p>
            <w:pPr>
              <w:snapToGrid w:val="0"/>
              <w:spacing w:line="288" w:lineRule="auto"/>
              <w:ind w:firstLine="420"/>
              <w:rPr>
                <w:rFonts w:ascii="Times New Roman" w:hAnsi="Times New Roman" w:eastAsia="仿宋_GB2312" w:cs="仿宋_GB2312"/>
                <w:highlight w:val="none"/>
              </w:rPr>
            </w:pPr>
            <w:r>
              <w:rPr>
                <w:rFonts w:hint="eastAsia" w:ascii="Times New Roman" w:hAnsi="Times New Roman" w:eastAsia="仿宋_GB2312" w:cs="仿宋_GB2312"/>
                <w:highlight w:val="none"/>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bottom"/>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bottom"/>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违法事实★</w:t>
            </w:r>
          </w:p>
        </w:tc>
        <w:tc>
          <w:tcPr>
            <w:tcW w:w="5245" w:type="dxa"/>
            <w:vAlign w:val="center"/>
          </w:tcPr>
          <w:p>
            <w:pPr>
              <w:pStyle w:val="11"/>
              <w:snapToGrid w:val="0"/>
              <w:jc w:val="center"/>
              <w:rPr>
                <w:rFonts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未规范建立固体废物管理台账</w:t>
            </w:r>
          </w:p>
        </w:tc>
        <w:tc>
          <w:tcPr>
            <w:tcW w:w="2693" w:type="dxa"/>
            <w:vAlign w:val="center"/>
          </w:tcPr>
          <w:p>
            <w:pPr>
              <w:pStyle w:val="11"/>
              <w:snapToGrid w:val="0"/>
              <w:jc w:val="center"/>
              <w:rPr>
                <w:rFonts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spacing w:line="288" w:lineRule="auto"/>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未建立固体废物管理台账</w:t>
            </w:r>
          </w:p>
        </w:tc>
        <w:tc>
          <w:tcPr>
            <w:tcW w:w="2693" w:type="dxa"/>
            <w:vAlign w:val="center"/>
          </w:tcPr>
          <w:p>
            <w:pPr>
              <w:pStyle w:val="11"/>
              <w:snapToGrid w:val="0"/>
              <w:jc w:val="center"/>
              <w:rPr>
                <w:rFonts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Merge w:val="continue"/>
            <w:vAlign w:val="center"/>
          </w:tcPr>
          <w:p>
            <w:pPr>
              <w:snapToGrid w:val="0"/>
              <w:spacing w:line="288" w:lineRule="auto"/>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固体废物管理台账未如实记录</w:t>
            </w:r>
          </w:p>
        </w:tc>
        <w:tc>
          <w:tcPr>
            <w:tcW w:w="2693" w:type="dxa"/>
            <w:vAlign w:val="center"/>
          </w:tcPr>
          <w:p>
            <w:pPr>
              <w:pStyle w:val="11"/>
              <w:snapToGrid w:val="0"/>
              <w:jc w:val="center"/>
              <w:rPr>
                <w:rFonts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Merge w:val="restart"/>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Times New Roman"/>
                <w:b/>
                <w:bCs/>
                <w:highlight w:val="none"/>
              </w:rPr>
              <w:t>违法</w:t>
            </w:r>
            <w:r>
              <w:rPr>
                <w:rFonts w:ascii="Times New Roman" w:hAnsi="Times New Roman" w:cs="Times New Roman"/>
                <w:b/>
                <w:bCs/>
                <w:highlight w:val="none"/>
              </w:rPr>
              <w:t>行为</w:t>
            </w:r>
          </w:p>
          <w:p>
            <w:pPr>
              <w:snapToGrid w:val="0"/>
              <w:spacing w:line="288" w:lineRule="auto"/>
              <w:jc w:val="center"/>
              <w:rPr>
                <w:rFonts w:ascii="Times New Roman" w:hAnsi="Times New Roman" w:cs="Times New Roman"/>
                <w:b/>
                <w:bCs/>
                <w:highlight w:val="none"/>
              </w:rPr>
            </w:pPr>
            <w:r>
              <w:rPr>
                <w:rFonts w:hint="eastAsia" w:ascii="Times New Roman" w:hAnsi="Times New Roman" w:cs="Times New Roman"/>
                <w:b/>
                <w:bCs/>
                <w:highlight w:val="none"/>
              </w:rPr>
              <w:t>持续时间</w:t>
            </w:r>
          </w:p>
        </w:tc>
        <w:tc>
          <w:tcPr>
            <w:tcW w:w="5245" w:type="dxa"/>
            <w:vAlign w:val="center"/>
          </w:tcPr>
          <w:p>
            <w:pPr>
              <w:pStyle w:val="11"/>
              <w:snapToGrid w:val="0"/>
              <w:jc w:val="center"/>
              <w:rPr>
                <w:rFonts w:ascii="Times New Roman" w:hAnsi="Times New Roman" w:eastAsia="仿宋_GB2312" w:cs="仿宋_GB2312"/>
                <w:sz w:val="21"/>
                <w:szCs w:val="21"/>
                <w:highlight w:val="none"/>
                <w:lang w:val="zh-CN"/>
              </w:rPr>
            </w:pPr>
            <w:r>
              <w:rPr>
                <w:rFonts w:hint="eastAsia" w:ascii="Times New Roman" w:hAnsi="Times New Roman" w:eastAsia="仿宋_GB2312" w:cs="仿宋_GB2312"/>
                <w:sz w:val="21"/>
                <w:szCs w:val="21"/>
                <w:highlight w:val="none"/>
              </w:rPr>
              <w:t>3个月以内</w:t>
            </w:r>
          </w:p>
        </w:tc>
        <w:tc>
          <w:tcPr>
            <w:tcW w:w="2693" w:type="dxa"/>
            <w:vAlign w:val="center"/>
          </w:tcPr>
          <w:p>
            <w:pPr>
              <w:pStyle w:val="11"/>
              <w:snapToGrid w:val="0"/>
              <w:jc w:val="center"/>
              <w:rPr>
                <w:rFonts w:ascii="Times New Roman" w:hAnsi="Times New Roman" w:eastAsia="仿宋_GB2312" w:cs="仿宋_GB2312"/>
                <w:sz w:val="21"/>
                <w:szCs w:val="21"/>
                <w:highlight w:val="none"/>
                <w:lang w:val="zh-CN"/>
              </w:rPr>
            </w:pPr>
            <w:r>
              <w:rPr>
                <w:rFonts w:hint="eastAsia" w:ascii="Times New Roman" w:hAnsi="Times New Roman" w:eastAsia="仿宋_GB2312" w:cs="仿宋_GB2312"/>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spacing w:line="288" w:lineRule="auto"/>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仿宋_GB2312"/>
                <w:sz w:val="21"/>
                <w:szCs w:val="21"/>
                <w:highlight w:val="none"/>
                <w:lang w:val="zh-CN"/>
              </w:rPr>
            </w:pPr>
            <w:r>
              <w:rPr>
                <w:rFonts w:hint="eastAsia" w:ascii="Times New Roman" w:hAnsi="Times New Roman" w:eastAsia="仿宋_GB2312" w:cs="仿宋_GB2312"/>
                <w:sz w:val="21"/>
                <w:szCs w:val="21"/>
                <w:highlight w:val="none"/>
              </w:rPr>
              <w:t>3个月以上6个月以内</w:t>
            </w:r>
          </w:p>
        </w:tc>
        <w:tc>
          <w:tcPr>
            <w:tcW w:w="2693" w:type="dxa"/>
            <w:vAlign w:val="center"/>
          </w:tcPr>
          <w:p>
            <w:pPr>
              <w:pStyle w:val="11"/>
              <w:snapToGrid w:val="0"/>
              <w:jc w:val="center"/>
              <w:rPr>
                <w:rFonts w:ascii="Times New Roman" w:hAnsi="Times New Roman" w:eastAsia="仿宋_GB2312" w:cs="仿宋_GB2312"/>
                <w:sz w:val="21"/>
                <w:szCs w:val="21"/>
                <w:highlight w:val="none"/>
                <w:lang w:val="zh-CN"/>
              </w:rPr>
            </w:pPr>
            <w:r>
              <w:rPr>
                <w:rFonts w:hint="eastAsia" w:ascii="Times New Roman" w:hAnsi="Times New Roman" w:eastAsia="仿宋_GB2312" w:cs="仿宋_GB2312"/>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spacing w:line="288" w:lineRule="auto"/>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仿宋_GB2312"/>
                <w:sz w:val="21"/>
                <w:szCs w:val="21"/>
                <w:highlight w:val="none"/>
                <w:lang w:val="zh-CN"/>
              </w:rPr>
            </w:pPr>
            <w:r>
              <w:rPr>
                <w:rFonts w:hint="eastAsia" w:ascii="Times New Roman" w:hAnsi="Times New Roman" w:eastAsia="仿宋_GB2312" w:cs="仿宋_GB2312"/>
                <w:sz w:val="21"/>
                <w:szCs w:val="21"/>
                <w:highlight w:val="none"/>
              </w:rPr>
              <w:t>6个月以上12个月以内</w:t>
            </w:r>
          </w:p>
        </w:tc>
        <w:tc>
          <w:tcPr>
            <w:tcW w:w="2693" w:type="dxa"/>
            <w:vAlign w:val="center"/>
          </w:tcPr>
          <w:p>
            <w:pPr>
              <w:pStyle w:val="11"/>
              <w:snapToGrid w:val="0"/>
              <w:jc w:val="center"/>
              <w:rPr>
                <w:rFonts w:ascii="Times New Roman" w:hAnsi="Times New Roman" w:eastAsia="仿宋_GB2312" w:cs="仿宋_GB2312"/>
                <w:sz w:val="21"/>
                <w:szCs w:val="21"/>
                <w:highlight w:val="none"/>
                <w:lang w:val="zh-CN"/>
              </w:rPr>
            </w:pPr>
            <w:r>
              <w:rPr>
                <w:rFonts w:ascii="Times New Roman" w:hAnsi="Times New Roman" w:eastAsia="仿宋_GB2312" w:cs="仿宋_GB2312"/>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spacing w:line="288" w:lineRule="auto"/>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仿宋_GB2312"/>
                <w:sz w:val="21"/>
                <w:szCs w:val="21"/>
                <w:highlight w:val="none"/>
                <w:lang w:val="zh-CN"/>
              </w:rPr>
            </w:pPr>
            <w:r>
              <w:rPr>
                <w:rFonts w:hint="eastAsia" w:ascii="Times New Roman" w:hAnsi="Times New Roman" w:eastAsia="仿宋_GB2312" w:cs="仿宋_GB2312"/>
                <w:sz w:val="21"/>
                <w:szCs w:val="21"/>
                <w:highlight w:val="none"/>
              </w:rPr>
              <w:t>1 2个月以上</w:t>
            </w:r>
          </w:p>
        </w:tc>
        <w:tc>
          <w:tcPr>
            <w:tcW w:w="2693" w:type="dxa"/>
            <w:vAlign w:val="center"/>
          </w:tcPr>
          <w:p>
            <w:pPr>
              <w:pStyle w:val="11"/>
              <w:snapToGrid w:val="0"/>
              <w:jc w:val="center"/>
              <w:rPr>
                <w:rFonts w:ascii="Times New Roman" w:hAnsi="Times New Roman" w:eastAsia="仿宋_GB2312" w:cs="仿宋_GB2312"/>
                <w:sz w:val="21"/>
                <w:szCs w:val="21"/>
                <w:highlight w:val="none"/>
                <w:lang w:val="zh-CN"/>
              </w:rPr>
            </w:pPr>
            <w:r>
              <w:rPr>
                <w:rFonts w:hint="eastAsia" w:ascii="Times New Roman" w:hAnsi="Times New Roman" w:eastAsia="仿宋_GB2312" w:cs="仿宋_GB2312"/>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spacing w:line="288" w:lineRule="auto"/>
              <w:ind w:firstLine="420"/>
              <w:jc w:val="center"/>
              <w:rPr>
                <w:rFonts w:ascii="Times New Roman" w:hAnsi="Times New Roman" w:cs="Times New Roman"/>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（四）固体废物污染防治类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spacing w:before="93" w:beforeLines="30" w:line="288" w:lineRule="auto"/>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产生工业固体废物的单位违反本法规定委托他人运输、利用、处置工业固体废物的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widowControl/>
              <w:ind w:firstLine="422" w:firstLineChars="200"/>
              <w:jc w:val="left"/>
              <w:rPr>
                <w:rFonts w:ascii="Times New Roman" w:hAnsi="Times New Roman" w:eastAsia="仿宋_GB2312" w:cs="仿宋_GB2312"/>
                <w:highlight w:val="none"/>
              </w:rPr>
            </w:pPr>
            <w:r>
              <w:rPr>
                <w:rFonts w:hint="eastAsia" w:ascii="Times New Roman" w:hAnsi="Times New Roman" w:eastAsia="仿宋_GB2312" w:cs="仿宋_GB2312"/>
                <w:b/>
                <w:bCs/>
                <w:highlight w:val="none"/>
              </w:rPr>
              <w:t>《中华人民共和国固体废物污染环境防治法》第三十七条第一款</w:t>
            </w:r>
            <w:r>
              <w:rPr>
                <w:rFonts w:hint="eastAsia" w:ascii="Times New Roman" w:hAnsi="Times New Roman" w:eastAsia="仿宋_GB2312" w:cs="仿宋_GB2312"/>
                <w:highlight w:val="none"/>
              </w:rPr>
              <w:t xml:space="preserve">  产生工业固体废物的单位委托他人运输、利用、处置工业固体废物的，应当对受托方的主体资格和技术能力进行核实，依法签订书面合同，在合同中约定污染防治要求。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widowControl/>
              <w:ind w:firstLine="422" w:firstLineChars="200"/>
              <w:jc w:val="left"/>
              <w:rPr>
                <w:rFonts w:ascii="Times New Roman" w:hAnsi="Times New Roman" w:eastAsia="仿宋_GB2312" w:cs="仿宋_GB2312"/>
                <w:highlight w:val="none"/>
              </w:rPr>
            </w:pPr>
            <w:r>
              <w:rPr>
                <w:rFonts w:hint="eastAsia" w:ascii="Times New Roman" w:hAnsi="Times New Roman" w:eastAsia="仿宋_GB2312" w:cs="仿宋_GB2312"/>
                <w:b/>
                <w:bCs/>
                <w:highlight w:val="none"/>
              </w:rPr>
              <w:t xml:space="preserve">《中华人民共和国固体废物污染环境防治法》第一百零二条第一款第（九）项 、第二款  </w:t>
            </w:r>
            <w:r>
              <w:rPr>
                <w:rFonts w:hint="eastAsia" w:ascii="Times New Roman" w:hAnsi="Times New Roman" w:eastAsia="仿宋_GB2312" w:cs="仿宋_GB2312"/>
                <w:highlight w:val="none"/>
              </w:rPr>
              <w:t xml:space="preserve">违反本法规定，有下列行为之一，由生态环境主管部门责令改正，处以罚款，没收违法所得；情节严重的，报经有批准权的人民政府批准，可以责令停业或者关闭： </w:t>
            </w:r>
          </w:p>
          <w:p>
            <w:pPr>
              <w:widowControl/>
              <w:ind w:firstLine="420" w:firstLineChars="200"/>
              <w:jc w:val="left"/>
              <w:rPr>
                <w:rFonts w:ascii="Times New Roman" w:hAnsi="Times New Roman" w:eastAsia="仿宋_GB2312" w:cs="仿宋_GB2312"/>
                <w:highlight w:val="none"/>
              </w:rPr>
            </w:pPr>
            <w:r>
              <w:rPr>
                <w:rFonts w:hint="eastAsia" w:ascii="Times New Roman" w:hAnsi="Times New Roman" w:eastAsia="仿宋_GB2312" w:cs="仿宋_GB2312"/>
                <w:highlight w:val="none"/>
              </w:rPr>
              <w:t xml:space="preserve">（九）产生工业固体废物的单位违反本法规定委托他人运输、利用、处置工业固体废物的； </w:t>
            </w:r>
          </w:p>
          <w:p>
            <w:pPr>
              <w:widowControl/>
              <w:ind w:firstLine="420" w:firstLineChars="200"/>
              <w:jc w:val="left"/>
              <w:rPr>
                <w:rFonts w:ascii="Times New Roman" w:hAnsi="Times New Roman" w:eastAsia="仿宋_GB2312" w:cs="仿宋_GB2312"/>
                <w:highlight w:val="none"/>
              </w:rPr>
            </w:pPr>
            <w:r>
              <w:rPr>
                <w:rFonts w:hint="eastAsia" w:ascii="Times New Roman" w:hAnsi="Times New Roman" w:eastAsia="仿宋_GB2312" w:cs="仿宋_GB2312"/>
                <w:highlight w:val="none"/>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违法事实★</w:t>
            </w: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签订合同，合同中未约定污染防治要求</w:t>
            </w:r>
          </w:p>
        </w:tc>
        <w:tc>
          <w:tcPr>
            <w:tcW w:w="2693" w:type="dxa"/>
            <w:vAlign w:val="center"/>
          </w:tcPr>
          <w:p>
            <w:pPr>
              <w:pStyle w:val="11"/>
              <w:snapToGrid w:val="0"/>
              <w:jc w:val="center"/>
              <w:rPr>
                <w:rFonts w:ascii="Times New Roman" w:hAnsi="Times New Roman" w:cs="Times New Roman"/>
                <w:sz w:val="21"/>
                <w:szCs w:val="21"/>
                <w:highlight w:val="none"/>
              </w:rPr>
            </w:pPr>
            <w:r>
              <w:rPr>
                <w:rFonts w:ascii="Times New Roman" w:hAnsi="Times New Roman" w:cs="Times New Roman"/>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未签订合同</w:t>
            </w:r>
          </w:p>
        </w:tc>
        <w:tc>
          <w:tcPr>
            <w:tcW w:w="2693" w:type="dxa"/>
            <w:vAlign w:val="center"/>
          </w:tcPr>
          <w:p>
            <w:pPr>
              <w:pStyle w:val="11"/>
              <w:snapToGrid w:val="0"/>
              <w:jc w:val="center"/>
              <w:rPr>
                <w:rFonts w:ascii="Times New Roman" w:hAnsi="Times New Roman" w:cs="Times New Roman"/>
                <w:sz w:val="21"/>
                <w:szCs w:val="21"/>
                <w:highlight w:val="none"/>
              </w:rPr>
            </w:pPr>
            <w:r>
              <w:rPr>
                <w:rFonts w:ascii="Times New Roman" w:hAnsi="Times New Roman" w:cs="Times New Roman"/>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签订合同，受托方无主体资格或技术能力</w:t>
            </w:r>
          </w:p>
        </w:tc>
        <w:tc>
          <w:tcPr>
            <w:tcW w:w="2693" w:type="dxa"/>
            <w:vAlign w:val="center"/>
          </w:tcPr>
          <w:p>
            <w:pPr>
              <w:pStyle w:val="11"/>
              <w:snapToGrid w:val="0"/>
              <w:jc w:val="center"/>
              <w:rPr>
                <w:rFonts w:ascii="Times New Roman" w:hAnsi="Times New Roman" w:cs="Times New Roman"/>
                <w:sz w:val="21"/>
                <w:szCs w:val="21"/>
                <w:highlight w:val="none"/>
              </w:rPr>
            </w:pPr>
            <w:r>
              <w:rPr>
                <w:rFonts w:ascii="Times New Roman" w:hAnsi="Times New Roman" w:cs="Times New Roman"/>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签订合同，受托方无主体资格和技术能力</w:t>
            </w:r>
          </w:p>
        </w:tc>
        <w:tc>
          <w:tcPr>
            <w:tcW w:w="2693" w:type="dxa"/>
            <w:vAlign w:val="center"/>
          </w:tcPr>
          <w:p>
            <w:pPr>
              <w:pStyle w:val="11"/>
              <w:snapToGrid w:val="0"/>
              <w:jc w:val="center"/>
              <w:rPr>
                <w:rFonts w:ascii="Times New Roman" w:hAnsi="Times New Roman" w:cs="Times New Roman"/>
                <w:sz w:val="21"/>
                <w:szCs w:val="21"/>
                <w:highlight w:val="none"/>
              </w:rPr>
            </w:pPr>
            <w:r>
              <w:rPr>
                <w:rFonts w:ascii="Times New Roman" w:hAnsi="Times New Roman" w:cs="Times New Roman"/>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Times New Roman"/>
                <w:b/>
                <w:bCs/>
                <w:highlight w:val="none"/>
              </w:rPr>
              <w:t>涉案固体废物总量</w:t>
            </w:r>
          </w:p>
        </w:tc>
        <w:tc>
          <w:tcPr>
            <w:tcW w:w="5245" w:type="dxa"/>
            <w:vAlign w:val="center"/>
          </w:tcPr>
          <w:p>
            <w:pPr>
              <w:pStyle w:val="11"/>
              <w:snapToGrid w:val="0"/>
              <w:jc w:val="center"/>
              <w:rPr>
                <w:rFonts w:ascii="Times New Roman" w:hAnsi="Times New Roman" w:eastAsia="仿宋_GB2312" w:cs="Times New Roman"/>
                <w:highlight w:val="none"/>
              </w:rPr>
            </w:pPr>
            <w:r>
              <w:rPr>
                <w:rFonts w:ascii="Times New Roman" w:hAnsi="Times New Roman" w:eastAsia="仿宋_GB2312" w:cs="Times New Roman"/>
                <w:sz w:val="21"/>
                <w:szCs w:val="21"/>
                <w:highlight w:val="none"/>
              </w:rPr>
              <w:t>3</w:t>
            </w:r>
            <w:r>
              <w:rPr>
                <w:rFonts w:hint="eastAsia" w:ascii="Times New Roman" w:hAnsi="Times New Roman" w:eastAsia="仿宋_GB2312" w:cs="Times New Roman"/>
                <w:sz w:val="21"/>
                <w:szCs w:val="21"/>
                <w:highlight w:val="none"/>
              </w:rPr>
              <w:t>0</w:t>
            </w:r>
            <w:r>
              <w:rPr>
                <w:rFonts w:hint="eastAsia" w:ascii="Times New Roman" w:hAnsi="Times New Roman" w:eastAsia="仿宋_GB2312" w:cs="仿宋_GB2312"/>
                <w:sz w:val="21"/>
                <w:szCs w:val="21"/>
                <w:highlight w:val="none"/>
              </w:rPr>
              <w:t>吨以下</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3</w:t>
            </w:r>
            <w:r>
              <w:rPr>
                <w:rFonts w:hint="eastAsia" w:ascii="Times New Roman" w:hAnsi="Times New Roman" w:eastAsia="仿宋_GB2312" w:cs="Times New Roman"/>
                <w:sz w:val="21"/>
                <w:szCs w:val="21"/>
                <w:highlight w:val="none"/>
              </w:rPr>
              <w:t>0</w:t>
            </w:r>
            <w:r>
              <w:rPr>
                <w:rFonts w:hint="eastAsia" w:ascii="Times New Roman" w:hAnsi="Times New Roman" w:eastAsia="仿宋_GB2312" w:cs="仿宋_GB2312"/>
                <w:sz w:val="21"/>
                <w:szCs w:val="21"/>
                <w:highlight w:val="none"/>
              </w:rPr>
              <w:t>吨以上100吨以下</w:t>
            </w:r>
          </w:p>
        </w:tc>
        <w:tc>
          <w:tcPr>
            <w:tcW w:w="2693" w:type="dxa"/>
            <w:vAlign w:val="center"/>
          </w:tcPr>
          <w:p>
            <w:pPr>
              <w:pStyle w:val="11"/>
              <w:snapToGrid w:val="0"/>
              <w:jc w:val="center"/>
              <w:rPr>
                <w:rFonts w:ascii="Times New Roman" w:hAnsi="Times New Roman" w:cs="Times New Roman"/>
                <w:sz w:val="21"/>
                <w:szCs w:val="21"/>
                <w:highlight w:val="none"/>
              </w:rPr>
            </w:pPr>
            <w:r>
              <w:rPr>
                <w:rFonts w:hint="eastAsia" w:ascii="Times New Roman" w:hAnsi="Times New Roman" w:cs="Times New Roman"/>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100吨以上500吨以下</w:t>
            </w:r>
          </w:p>
        </w:tc>
        <w:tc>
          <w:tcPr>
            <w:tcW w:w="2693" w:type="dxa"/>
            <w:vAlign w:val="center"/>
          </w:tcPr>
          <w:p>
            <w:pPr>
              <w:pStyle w:val="11"/>
              <w:snapToGrid w:val="0"/>
              <w:jc w:val="center"/>
              <w:rPr>
                <w:rFonts w:ascii="Times New Roman" w:hAnsi="Times New Roman" w:cs="Times New Roman"/>
                <w:sz w:val="21"/>
                <w:szCs w:val="21"/>
                <w:highlight w:val="none"/>
              </w:rPr>
            </w:pPr>
            <w:r>
              <w:rPr>
                <w:rFonts w:hint="eastAsia" w:ascii="Times New Roman" w:hAnsi="Times New Roman" w:cs="Times New Roman"/>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500吨以上1000吨以下</w:t>
            </w:r>
          </w:p>
        </w:tc>
        <w:tc>
          <w:tcPr>
            <w:tcW w:w="2693" w:type="dxa"/>
            <w:vAlign w:val="center"/>
          </w:tcPr>
          <w:p>
            <w:pPr>
              <w:pStyle w:val="11"/>
              <w:snapToGrid w:val="0"/>
              <w:jc w:val="center"/>
              <w:rPr>
                <w:rFonts w:ascii="Times New Roman" w:hAnsi="Times New Roman" w:cs="Times New Roman"/>
                <w:sz w:val="21"/>
                <w:szCs w:val="21"/>
                <w:highlight w:val="none"/>
              </w:rPr>
            </w:pPr>
            <w:r>
              <w:rPr>
                <w:rFonts w:hint="eastAsia" w:ascii="Times New Roman" w:hAnsi="Times New Roman" w:cs="Times New Roman"/>
                <w:sz w:val="21"/>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1000吨以上</w:t>
            </w:r>
          </w:p>
        </w:tc>
        <w:tc>
          <w:tcPr>
            <w:tcW w:w="2693" w:type="dxa"/>
            <w:vAlign w:val="center"/>
          </w:tcPr>
          <w:p>
            <w:pPr>
              <w:pStyle w:val="11"/>
              <w:snapToGrid w:val="0"/>
              <w:jc w:val="center"/>
              <w:rPr>
                <w:rFonts w:ascii="Times New Roman" w:hAnsi="Times New Roman" w:cs="Times New Roman"/>
                <w:sz w:val="21"/>
                <w:szCs w:val="21"/>
                <w:highlight w:val="none"/>
              </w:rPr>
            </w:pPr>
            <w:r>
              <w:rPr>
                <w:rFonts w:hint="eastAsia" w:ascii="Times New Roman" w:hAnsi="Times New Roman" w:cs="Times New Roman"/>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Times New Roman"/>
                <w:b/>
                <w:bCs/>
                <w:highlight w:val="none"/>
              </w:rPr>
              <w:t>固废类别</w:t>
            </w: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hint="eastAsia"/>
                <w:sz w:val="21"/>
                <w:szCs w:val="21"/>
                <w:highlight w:val="none"/>
              </w:rPr>
              <w:t>Ⅰ</w:t>
            </w:r>
            <w:r>
              <w:rPr>
                <w:rFonts w:hint="eastAsia" w:ascii="Times New Roman" w:hAnsi="Times New Roman" w:eastAsia="仿宋_GB2312" w:cs="仿宋_GB2312"/>
                <w:sz w:val="21"/>
                <w:szCs w:val="21"/>
                <w:highlight w:val="none"/>
              </w:rPr>
              <w:t>类一般工业固体废物</w:t>
            </w:r>
          </w:p>
        </w:tc>
        <w:tc>
          <w:tcPr>
            <w:tcW w:w="2693" w:type="dxa"/>
            <w:vAlign w:val="center"/>
          </w:tcPr>
          <w:p>
            <w:pPr>
              <w:pStyle w:val="11"/>
              <w:snapToGrid w:val="0"/>
              <w:jc w:val="center"/>
              <w:rPr>
                <w:rFonts w:ascii="Times New Roman" w:hAnsi="Times New Roman" w:cs="Times New Roman"/>
                <w:sz w:val="21"/>
                <w:szCs w:val="21"/>
                <w:highlight w:val="none"/>
              </w:rPr>
            </w:pPr>
            <w:r>
              <w:rPr>
                <w:rFonts w:ascii="Times New Roman" w:hAnsi="Times New Roman" w:cs="Times New Roman"/>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hint="eastAsia"/>
                <w:sz w:val="21"/>
                <w:szCs w:val="21"/>
                <w:highlight w:val="none"/>
              </w:rPr>
              <w:t>Ⅱ</w:t>
            </w:r>
            <w:r>
              <w:rPr>
                <w:rFonts w:hint="eastAsia" w:ascii="Times New Roman" w:hAnsi="Times New Roman" w:eastAsia="仿宋_GB2312" w:cs="仿宋_GB2312"/>
                <w:sz w:val="21"/>
                <w:szCs w:val="21"/>
                <w:highlight w:val="none"/>
              </w:rPr>
              <w:t>类一般工业固体废物</w:t>
            </w:r>
          </w:p>
        </w:tc>
        <w:tc>
          <w:tcPr>
            <w:tcW w:w="2693" w:type="dxa"/>
            <w:vAlign w:val="center"/>
          </w:tcPr>
          <w:p>
            <w:pPr>
              <w:pStyle w:val="11"/>
              <w:snapToGrid w:val="0"/>
              <w:jc w:val="center"/>
              <w:rPr>
                <w:rFonts w:ascii="Times New Roman" w:hAnsi="Times New Roman" w:cs="Times New Roman"/>
                <w:sz w:val="21"/>
                <w:szCs w:val="21"/>
                <w:highlight w:val="none"/>
              </w:rPr>
            </w:pPr>
            <w:r>
              <w:rPr>
                <w:rFonts w:ascii="Times New Roman" w:hAnsi="Times New Roman" w:cs="Times New Roman"/>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（四）固体废物污染防治类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tcPr>
          <w:p>
            <w:pPr>
              <w:snapToGrid w:val="0"/>
              <w:spacing w:before="62" w:beforeLines="2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kern w:val="0"/>
                <w:highlight w:val="none"/>
              </w:rPr>
              <w:t>贮存工业固体废物未采取符合国家环境保护标准的防护措施的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widowControl/>
              <w:ind w:firstLine="422" w:firstLineChars="200"/>
              <w:jc w:val="left"/>
              <w:rPr>
                <w:rFonts w:ascii="Times New Roman" w:hAnsi="Times New Roman" w:eastAsia="仿宋_GB2312" w:cs="Times New Roman"/>
                <w:highlight w:val="none"/>
              </w:rPr>
            </w:pPr>
            <w:r>
              <w:rPr>
                <w:rFonts w:hint="eastAsia" w:ascii="Times New Roman" w:hAnsi="Times New Roman" w:eastAsia="仿宋_GB2312" w:cs="仿宋_GB2312"/>
                <w:b/>
                <w:bCs/>
                <w:highlight w:val="none"/>
              </w:rPr>
              <w:t>《中华人民共和国固体废物污染环境防治法》第四十条第一款</w:t>
            </w:r>
            <w:r>
              <w:rPr>
                <w:rFonts w:hint="eastAsia" w:ascii="宋体" w:hAnsi="宋体" w:cs="宋体"/>
                <w:b/>
                <w:kern w:val="0"/>
                <w:highlight w:val="none"/>
                <w:lang w:bidi="ar"/>
              </w:rPr>
              <w:t xml:space="preserve">  </w:t>
            </w:r>
            <w:r>
              <w:rPr>
                <w:rFonts w:hint="eastAsia" w:ascii="Times New Roman" w:hAnsi="Times New Roman" w:eastAsia="仿宋_GB2312" w:cs="仿宋_GB2312"/>
                <w:highlight w:val="none"/>
              </w:rPr>
              <w:t>产生工业固体废物的单位应当根据经济、技术条件对工业固体废物加以利用；对暂时不利用或者不能利用的，应当按照国务院生态环境等主管部门的规定建设贮存设施、场所，安全分类存放，或者采取无害化处置措施。贮存工业固体废物应当采取符合国家环境保护标准的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widowControl/>
              <w:ind w:firstLine="422" w:firstLineChars="200"/>
              <w:jc w:val="left"/>
              <w:rPr>
                <w:rFonts w:ascii="Times New Roman" w:hAnsi="Times New Roman" w:eastAsia="仿宋_GB2312" w:cs="仿宋_GB2312"/>
                <w:highlight w:val="none"/>
              </w:rPr>
            </w:pPr>
            <w:r>
              <w:rPr>
                <w:rFonts w:hint="eastAsia" w:ascii="Times New Roman" w:hAnsi="Times New Roman" w:eastAsia="仿宋_GB2312" w:cs="仿宋_GB2312"/>
                <w:b/>
                <w:bCs/>
                <w:highlight w:val="none"/>
              </w:rPr>
              <w:t>《中华人民共和国固体废物污染环境防治法》第一百零二条第一款第（十）项 、第二款</w:t>
            </w:r>
            <w:r>
              <w:rPr>
                <w:rFonts w:hint="eastAsia" w:ascii="Times New Roman" w:hAnsi="Times New Roman" w:eastAsia="仿宋_GB2312" w:cs="仿宋_GB2312"/>
                <w:highlight w:val="none"/>
              </w:rPr>
              <w:t xml:space="preserve">  违反本法规定，有下列行为之一，由生态环境主管部门责令改正，处以罚款，没收违法所得；情节严重的，报经有批准权的人民政府批准，可以责令停业或者关闭： </w:t>
            </w:r>
          </w:p>
          <w:p>
            <w:pPr>
              <w:widowControl/>
              <w:ind w:firstLine="420" w:firstLineChars="200"/>
              <w:jc w:val="left"/>
              <w:rPr>
                <w:rFonts w:ascii="Times New Roman" w:hAnsi="Times New Roman" w:eastAsia="仿宋_GB2312" w:cs="仿宋_GB2312"/>
                <w:highlight w:val="none"/>
              </w:rPr>
            </w:pPr>
            <w:r>
              <w:rPr>
                <w:rFonts w:hint="eastAsia" w:ascii="Times New Roman" w:hAnsi="Times New Roman" w:eastAsia="仿宋_GB2312" w:cs="仿宋_GB2312"/>
                <w:highlight w:val="none"/>
              </w:rPr>
              <w:t xml:space="preserve">（十）贮存工业固体废物未采取符合国家环境保护标准的防护措施的； </w:t>
            </w:r>
          </w:p>
          <w:p>
            <w:pPr>
              <w:widowControl/>
              <w:ind w:firstLine="420" w:firstLineChars="200"/>
              <w:jc w:val="left"/>
              <w:rPr>
                <w:rFonts w:ascii="Times New Roman" w:hAnsi="Times New Roman" w:eastAsia="仿宋_GB2312" w:cs="Times New Roman"/>
                <w:highlight w:val="none"/>
              </w:rPr>
            </w:pPr>
            <w:r>
              <w:rPr>
                <w:rFonts w:hint="eastAsia" w:ascii="Times New Roman" w:hAnsi="Times New Roman" w:eastAsia="仿宋_GB2312" w:cs="仿宋_GB2312"/>
                <w:highlight w:val="none"/>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Times New Roman"/>
                <w:b/>
                <w:bCs/>
                <w:color w:val="000000"/>
                <w:highlight w:val="none"/>
              </w:rPr>
              <w:t>违法事实★</w:t>
            </w:r>
          </w:p>
        </w:tc>
        <w:tc>
          <w:tcPr>
            <w:tcW w:w="5245"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未规范采取符合国家环境保护标准的防护措施</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未采取符合国家环境保护标准的防护措施</w:t>
            </w:r>
          </w:p>
        </w:tc>
        <w:tc>
          <w:tcPr>
            <w:tcW w:w="2693" w:type="dxa"/>
            <w:vAlign w:val="center"/>
          </w:tcPr>
          <w:p>
            <w:pPr>
              <w:pStyle w:val="11"/>
              <w:snapToGrid w:val="0"/>
              <w:jc w:val="center"/>
              <w:rPr>
                <w:rFonts w:ascii="Times New Roman" w:hAnsi="Times New Roman" w:cs="Times New Roman"/>
                <w:color w:val="000000"/>
                <w:sz w:val="21"/>
                <w:szCs w:val="21"/>
                <w:highlight w:val="none"/>
              </w:rPr>
            </w:pPr>
            <w:r>
              <w:rPr>
                <w:rFonts w:ascii="Times New Roman" w:hAnsi="Times New Roman" w:cs="Times New Roman"/>
                <w:color w:val="000000"/>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Times New Roman"/>
                <w:b/>
                <w:bCs/>
                <w:highlight w:val="none"/>
              </w:rPr>
              <w:t>涉案固体废物总量</w:t>
            </w:r>
          </w:p>
        </w:tc>
        <w:tc>
          <w:tcPr>
            <w:tcW w:w="5245" w:type="dxa"/>
            <w:vAlign w:val="center"/>
          </w:tcPr>
          <w:p>
            <w:pPr>
              <w:pStyle w:val="11"/>
              <w:snapToGrid w:val="0"/>
              <w:jc w:val="center"/>
              <w:rPr>
                <w:rFonts w:ascii="Times New Roman" w:hAnsi="Times New Roman" w:eastAsia="仿宋_GB2312" w:cs="仿宋_GB2312"/>
                <w:highlight w:val="none"/>
              </w:rPr>
            </w:pPr>
            <w:r>
              <w:rPr>
                <w:rFonts w:ascii="Times New Roman" w:hAnsi="Times New Roman" w:eastAsia="仿宋_GB2312" w:cs="Times New Roman"/>
                <w:sz w:val="21"/>
                <w:szCs w:val="21"/>
                <w:highlight w:val="none"/>
              </w:rPr>
              <w:t>3</w:t>
            </w:r>
            <w:r>
              <w:rPr>
                <w:rFonts w:hint="eastAsia" w:ascii="Times New Roman" w:hAnsi="Times New Roman" w:eastAsia="仿宋_GB2312" w:cs="Times New Roman"/>
                <w:sz w:val="21"/>
                <w:szCs w:val="21"/>
                <w:highlight w:val="none"/>
              </w:rPr>
              <w:t>0</w:t>
            </w:r>
            <w:r>
              <w:rPr>
                <w:rFonts w:hint="eastAsia" w:ascii="Times New Roman" w:hAnsi="Times New Roman" w:eastAsia="仿宋_GB2312" w:cs="仿宋_GB2312"/>
                <w:sz w:val="21"/>
                <w:szCs w:val="21"/>
                <w:highlight w:val="none"/>
              </w:rPr>
              <w:t>吨以下</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highlight w:val="none"/>
              </w:rPr>
            </w:pPr>
            <w:r>
              <w:rPr>
                <w:rFonts w:ascii="Times New Roman" w:hAnsi="Times New Roman" w:eastAsia="仿宋_GB2312" w:cs="Times New Roman"/>
                <w:sz w:val="21"/>
                <w:szCs w:val="21"/>
                <w:highlight w:val="none"/>
              </w:rPr>
              <w:t>3</w:t>
            </w:r>
            <w:r>
              <w:rPr>
                <w:rFonts w:hint="eastAsia" w:ascii="Times New Roman" w:hAnsi="Times New Roman" w:eastAsia="仿宋_GB2312" w:cs="Times New Roman"/>
                <w:sz w:val="21"/>
                <w:szCs w:val="21"/>
                <w:highlight w:val="none"/>
              </w:rPr>
              <w:t>0</w:t>
            </w:r>
            <w:r>
              <w:rPr>
                <w:rFonts w:hint="eastAsia" w:ascii="Times New Roman" w:hAnsi="Times New Roman" w:eastAsia="仿宋_GB2312" w:cs="仿宋_GB2312"/>
                <w:sz w:val="21"/>
                <w:szCs w:val="21"/>
                <w:highlight w:val="none"/>
              </w:rPr>
              <w:t>吨以上100吨以下</w:t>
            </w:r>
          </w:p>
        </w:tc>
        <w:tc>
          <w:tcPr>
            <w:tcW w:w="2693" w:type="dxa"/>
            <w:vAlign w:val="center"/>
          </w:tcPr>
          <w:p>
            <w:pPr>
              <w:pStyle w:val="11"/>
              <w:snapToGrid w:val="0"/>
              <w:jc w:val="center"/>
              <w:rPr>
                <w:rFonts w:ascii="Times New Roman" w:hAnsi="Times New Roman" w:cs="Times New Roman"/>
                <w:highlight w:val="none"/>
              </w:rPr>
            </w:pPr>
            <w:r>
              <w:rPr>
                <w:rFonts w:hint="eastAsia" w:ascii="Times New Roman" w:hAnsi="Times New Roman" w:cs="Times New Roman"/>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宋体"/>
                <w:b/>
                <w:bCs/>
                <w:highlight w:val="none"/>
              </w:rPr>
            </w:pPr>
          </w:p>
        </w:tc>
        <w:tc>
          <w:tcPr>
            <w:tcW w:w="5245" w:type="dxa"/>
            <w:vAlign w:val="center"/>
          </w:tcPr>
          <w:p>
            <w:pPr>
              <w:pStyle w:val="11"/>
              <w:snapToGrid w:val="0"/>
              <w:jc w:val="center"/>
              <w:rPr>
                <w:rFonts w:ascii="Times New Roman" w:hAnsi="Times New Roman" w:eastAsia="仿宋_GB2312" w:cs="仿宋_GB2312"/>
                <w:highlight w:val="none"/>
              </w:rPr>
            </w:pPr>
            <w:r>
              <w:rPr>
                <w:rFonts w:hint="eastAsia" w:ascii="Times New Roman" w:hAnsi="Times New Roman" w:eastAsia="仿宋_GB2312" w:cs="仿宋_GB2312"/>
                <w:sz w:val="21"/>
                <w:szCs w:val="21"/>
                <w:highlight w:val="none"/>
              </w:rPr>
              <w:t>100吨以上500吨以下</w:t>
            </w:r>
          </w:p>
        </w:tc>
        <w:tc>
          <w:tcPr>
            <w:tcW w:w="2693" w:type="dxa"/>
            <w:vAlign w:val="center"/>
          </w:tcPr>
          <w:p>
            <w:pPr>
              <w:pStyle w:val="11"/>
              <w:snapToGrid w:val="0"/>
              <w:jc w:val="center"/>
              <w:rPr>
                <w:rFonts w:ascii="Times New Roman" w:hAnsi="Times New Roman" w:cs="Times New Roman"/>
                <w:highlight w:val="none"/>
              </w:rPr>
            </w:pPr>
            <w:r>
              <w:rPr>
                <w:rFonts w:hint="eastAsia" w:ascii="Times New Roman" w:hAnsi="Times New Roman" w:cs="Times New Roman"/>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500吨以上1000吨以下</w:t>
            </w:r>
          </w:p>
        </w:tc>
        <w:tc>
          <w:tcPr>
            <w:tcW w:w="2693" w:type="dxa"/>
            <w:vAlign w:val="center"/>
          </w:tcPr>
          <w:p>
            <w:pPr>
              <w:pStyle w:val="11"/>
              <w:snapToGrid w:val="0"/>
              <w:jc w:val="center"/>
              <w:rPr>
                <w:rFonts w:ascii="Times New Roman" w:hAnsi="Times New Roman" w:cs="Times New Roman"/>
                <w:sz w:val="21"/>
                <w:szCs w:val="21"/>
                <w:highlight w:val="none"/>
              </w:rPr>
            </w:pPr>
            <w:r>
              <w:rPr>
                <w:rFonts w:hint="eastAsia" w:ascii="Times New Roman" w:hAnsi="Times New Roman" w:cs="Times New Roman"/>
                <w:sz w:val="21"/>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1000吨以上</w:t>
            </w:r>
          </w:p>
        </w:tc>
        <w:tc>
          <w:tcPr>
            <w:tcW w:w="2693" w:type="dxa"/>
            <w:vAlign w:val="center"/>
          </w:tcPr>
          <w:p>
            <w:pPr>
              <w:pStyle w:val="11"/>
              <w:snapToGrid w:val="0"/>
              <w:jc w:val="center"/>
              <w:rPr>
                <w:rFonts w:ascii="Times New Roman" w:hAnsi="Times New Roman" w:cs="Times New Roman"/>
                <w:sz w:val="21"/>
                <w:szCs w:val="21"/>
                <w:highlight w:val="none"/>
              </w:rPr>
            </w:pPr>
            <w:r>
              <w:rPr>
                <w:rFonts w:hint="eastAsia" w:ascii="Times New Roman" w:hAnsi="Times New Roman" w:cs="Times New Roman"/>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restart"/>
            <w:vAlign w:val="center"/>
          </w:tcPr>
          <w:p>
            <w:pPr>
              <w:snapToGrid w:val="0"/>
              <w:jc w:val="center"/>
              <w:rPr>
                <w:rFonts w:ascii="Times New Roman" w:hAnsi="Times New Roman" w:cs="宋体"/>
                <w:b/>
                <w:bCs/>
                <w:highlight w:val="none"/>
              </w:rPr>
            </w:pPr>
            <w:r>
              <w:rPr>
                <w:rFonts w:hint="eastAsia" w:ascii="Times New Roman" w:hAnsi="Times New Roman" w:cs="宋体"/>
                <w:b/>
                <w:bCs/>
                <w:highlight w:val="none"/>
              </w:rPr>
              <w:t>贮存地点</w:t>
            </w:r>
          </w:p>
        </w:tc>
        <w:tc>
          <w:tcPr>
            <w:tcW w:w="5245" w:type="dxa"/>
            <w:vAlign w:val="center"/>
          </w:tcPr>
          <w:p>
            <w:pPr>
              <w:pStyle w:val="11"/>
              <w:snapToGrid w:val="0"/>
              <w:jc w:val="center"/>
              <w:rPr>
                <w:rFonts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符合环境功能规划（或无环境功能规划）</w:t>
            </w:r>
          </w:p>
        </w:tc>
        <w:tc>
          <w:tcPr>
            <w:tcW w:w="2693" w:type="dxa"/>
            <w:vAlign w:val="center"/>
          </w:tcPr>
          <w:p>
            <w:pPr>
              <w:snapToGrid w:val="0"/>
              <w:jc w:val="center"/>
              <w:rPr>
                <w:rFonts w:ascii="Times New Roman" w:hAnsi="Times New Roman" w:cs="Times New Roman"/>
                <w:highlight w:val="none"/>
              </w:rPr>
            </w:pPr>
            <w:r>
              <w:rPr>
                <w:rFonts w:hint="eastAsia"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宋体"/>
                <w:b/>
                <w:bCs/>
                <w:highlight w:val="none"/>
              </w:rPr>
            </w:pPr>
          </w:p>
        </w:tc>
        <w:tc>
          <w:tcPr>
            <w:tcW w:w="5245" w:type="dxa"/>
            <w:vAlign w:val="center"/>
          </w:tcPr>
          <w:p>
            <w:pPr>
              <w:pStyle w:val="11"/>
              <w:snapToGrid w:val="0"/>
              <w:jc w:val="center"/>
              <w:rPr>
                <w:rFonts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 xml:space="preserve">不符合环境功能规划，但位于居住区、商业交通居民混合区、 文化区、工业区和农村地区 </w:t>
            </w:r>
          </w:p>
        </w:tc>
        <w:tc>
          <w:tcPr>
            <w:tcW w:w="2693" w:type="dxa"/>
            <w:vAlign w:val="center"/>
          </w:tcPr>
          <w:p>
            <w:pPr>
              <w:snapToGrid w:val="0"/>
              <w:jc w:val="center"/>
              <w:rPr>
                <w:rFonts w:ascii="Times New Roman" w:hAnsi="Times New Roman" w:cs="Times New Roman"/>
                <w:highlight w:val="none"/>
              </w:rPr>
            </w:pPr>
            <w:r>
              <w:rPr>
                <w:rFonts w:hint="eastAsia"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宋体"/>
                <w:b/>
                <w:bCs/>
                <w:highlight w:val="none"/>
              </w:rPr>
            </w:pPr>
          </w:p>
        </w:tc>
        <w:tc>
          <w:tcPr>
            <w:tcW w:w="5245" w:type="dxa"/>
            <w:vAlign w:val="center"/>
          </w:tcPr>
          <w:p>
            <w:pPr>
              <w:pStyle w:val="11"/>
              <w:snapToGrid w:val="0"/>
              <w:jc w:val="center"/>
              <w:rPr>
                <w:rFonts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不符合环境功能规划，但位于自然保护区、风景名胜区和其他需要特殊保护的区域</w:t>
            </w:r>
          </w:p>
        </w:tc>
        <w:tc>
          <w:tcPr>
            <w:tcW w:w="2693" w:type="dxa"/>
            <w:vAlign w:val="center"/>
          </w:tcPr>
          <w:p>
            <w:pPr>
              <w:snapToGrid w:val="0"/>
              <w:jc w:val="center"/>
              <w:rPr>
                <w:rFonts w:ascii="Times New Roman" w:hAnsi="Times New Roman" w:cs="Times New Roman"/>
                <w:highlight w:val="none"/>
              </w:rPr>
            </w:pPr>
            <w:r>
              <w:rPr>
                <w:rFonts w:hint="eastAsia"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（四）固体废物污染防治类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ind w:firstLine="420" w:firstLineChars="200"/>
              <w:jc w:val="left"/>
              <w:rPr>
                <w:rFonts w:ascii="Times New Roman" w:hAnsi="Times New Roman" w:eastAsia="仿宋_GB2312" w:cs="Times New Roman"/>
                <w:highlight w:val="none"/>
              </w:rPr>
            </w:pPr>
            <w:r>
              <w:rPr>
                <w:rFonts w:hint="eastAsia" w:ascii="Times New Roman" w:hAnsi="Times New Roman" w:eastAsia="仿宋_GB2312" w:cs="仿宋_GB2312"/>
                <w:kern w:val="0"/>
                <w:highlight w:val="none"/>
              </w:rPr>
              <w:t>以拖延、围堵、滞留执法人员等方式拒绝、阻挠监督检查，或者在接受监督检查时弄虚作假的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snapToGrid w:val="0"/>
              <w:ind w:firstLine="422"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b/>
                <w:bCs/>
                <w:kern w:val="0"/>
                <w:highlight w:val="none"/>
              </w:rPr>
              <w:t>《中华人民共和国固体废物污染环境防治法》第二十六条第一款</w:t>
            </w:r>
            <w:r>
              <w:rPr>
                <w:rFonts w:hint="eastAsia" w:ascii="Times New Roman" w:hAnsi="Times New Roman" w:eastAsia="仿宋_GB2312" w:cs="仿宋_GB2312"/>
                <w:kern w:val="0"/>
                <w:highlight w:val="none"/>
              </w:rPr>
              <w:t xml:space="preserve">  生态环境主管部门及其环境执法机构和其他负有固体废物污染环境防治监督管理职责的部门，在各自职责范围内有权对从事产生、收集、贮存、运输、利用、处置固体废物等活动的单位和其他生产经营者进行现场检查。被检查者应当如实反映情况，并提供必要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snapToGrid w:val="0"/>
              <w:ind w:firstLine="422"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b/>
                <w:bCs/>
                <w:kern w:val="0"/>
                <w:highlight w:val="none"/>
              </w:rPr>
              <w:t>《中华人民共和国固体废物污染环境防治法》第一百零三条</w:t>
            </w:r>
            <w:r>
              <w:rPr>
                <w:rFonts w:hint="eastAsia" w:ascii="Times New Roman" w:hAnsi="Times New Roman" w:eastAsia="仿宋_GB2312" w:cs="仿宋_GB2312"/>
                <w:kern w:val="0"/>
                <w:highlight w:val="none"/>
              </w:rPr>
              <w:t xml:space="preserve">  违反本法规定，以拖延、围堵、滞留执法人员等方式拒绝、阻挠监督检查，或者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违法事实★</w:t>
            </w:r>
          </w:p>
        </w:tc>
        <w:tc>
          <w:tcPr>
            <w:tcW w:w="5245" w:type="dxa"/>
            <w:vAlign w:val="center"/>
          </w:tcPr>
          <w:p>
            <w:pPr>
              <w:pStyle w:val="11"/>
              <w:snapToGrid w:val="0"/>
              <w:jc w:val="center"/>
              <w:rPr>
                <w:rFonts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迟滞</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分钟以上</w:t>
            </w:r>
            <w:r>
              <w:rPr>
                <w:rFonts w:ascii="Times New Roman" w:hAnsi="Times New Roman" w:eastAsia="仿宋_GB2312" w:cs="Times New Roman"/>
                <w:sz w:val="21"/>
                <w:szCs w:val="21"/>
                <w:highlight w:val="none"/>
              </w:rPr>
              <w:t>30</w:t>
            </w:r>
            <w:r>
              <w:rPr>
                <w:rFonts w:hint="eastAsia" w:ascii="Times New Roman" w:hAnsi="Times New Roman" w:eastAsia="仿宋_GB2312" w:cs="仿宋_GB2312"/>
                <w:sz w:val="21"/>
                <w:szCs w:val="21"/>
                <w:highlight w:val="none"/>
              </w:rPr>
              <w:t>分钟以内/提供非关键性假信息</w:t>
            </w:r>
          </w:p>
        </w:tc>
        <w:tc>
          <w:tcPr>
            <w:tcW w:w="2693" w:type="dxa"/>
            <w:vAlign w:val="center"/>
          </w:tcPr>
          <w:p>
            <w:pPr>
              <w:pStyle w:val="11"/>
              <w:snapToGrid w:val="0"/>
              <w:jc w:val="center"/>
              <w:rPr>
                <w:rFonts w:ascii="Times New Roman" w:hAnsi="Times New Roman" w:cs="Times New Roman"/>
                <w:sz w:val="21"/>
                <w:szCs w:val="21"/>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迟滞超过半小时</w:t>
            </w:r>
          </w:p>
        </w:tc>
        <w:tc>
          <w:tcPr>
            <w:tcW w:w="2693" w:type="dxa"/>
            <w:vAlign w:val="center"/>
          </w:tcPr>
          <w:p>
            <w:pPr>
              <w:pStyle w:val="11"/>
              <w:snapToGrid w:val="0"/>
              <w:jc w:val="center"/>
              <w:rPr>
                <w:rFonts w:ascii="Times New Roman" w:hAnsi="Times New Roman" w:cs="Times New Roman"/>
                <w:sz w:val="21"/>
                <w:szCs w:val="21"/>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阻碍或隐匿部分资料/提供假信息</w:t>
            </w:r>
          </w:p>
        </w:tc>
        <w:tc>
          <w:tcPr>
            <w:tcW w:w="2693" w:type="dxa"/>
            <w:vAlign w:val="center"/>
          </w:tcPr>
          <w:p>
            <w:pPr>
              <w:pStyle w:val="11"/>
              <w:snapToGrid w:val="0"/>
              <w:jc w:val="center"/>
              <w:rPr>
                <w:rFonts w:ascii="Times New Roman" w:hAnsi="Times New Roman" w:cs="Times New Roman"/>
                <w:sz w:val="21"/>
                <w:szCs w:val="21"/>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围堵、滞留执法人员或拒绝提供资料</w:t>
            </w:r>
          </w:p>
        </w:tc>
        <w:tc>
          <w:tcPr>
            <w:tcW w:w="2693" w:type="dxa"/>
            <w:vAlign w:val="center"/>
          </w:tcPr>
          <w:p>
            <w:pPr>
              <w:pStyle w:val="11"/>
              <w:snapToGrid w:val="0"/>
              <w:jc w:val="center"/>
              <w:rPr>
                <w:rFonts w:ascii="Times New Roman" w:hAnsi="Times New Roman" w:cs="Times New Roman"/>
                <w:sz w:val="21"/>
                <w:szCs w:val="21"/>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暴力抗法/伪造现场或证据</w:t>
            </w:r>
          </w:p>
        </w:tc>
        <w:tc>
          <w:tcPr>
            <w:tcW w:w="2693" w:type="dxa"/>
            <w:vAlign w:val="center"/>
          </w:tcPr>
          <w:p>
            <w:pPr>
              <w:pStyle w:val="11"/>
              <w:snapToGrid w:val="0"/>
              <w:jc w:val="center"/>
              <w:rPr>
                <w:rFonts w:ascii="Times New Roman" w:hAnsi="Times New Roman" w:cs="Times New Roman"/>
                <w:sz w:val="21"/>
                <w:szCs w:val="21"/>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433"/>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09" w:type="dxa"/>
            <w:gridSpan w:val="3"/>
            <w:vAlign w:val="center"/>
          </w:tcPr>
          <w:p>
            <w:pPr>
              <w:snapToGrid w:val="0"/>
              <w:spacing w:line="288" w:lineRule="auto"/>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（四）固体废物污染防治类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spacing w:before="93" w:beforeLines="30" w:line="288" w:lineRule="auto"/>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kern w:val="0"/>
                <w:highlight w:val="none"/>
              </w:rPr>
              <w:t>未依法取得排污许可证产生工业固体废物的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vAlign w:val="center"/>
          </w:tcPr>
          <w:p>
            <w:pPr>
              <w:snapToGrid w:val="0"/>
              <w:spacing w:before="93" w:beforeLines="30" w:line="288" w:lineRule="auto"/>
              <w:ind w:firstLine="422"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b/>
                <w:bCs/>
                <w:kern w:val="0"/>
                <w:highlight w:val="none"/>
              </w:rPr>
              <w:t>《中华人民共和国固体废物污染环境防治法》第三十九条第一款</w:t>
            </w:r>
            <w:r>
              <w:rPr>
                <w:rFonts w:hint="eastAsia" w:ascii="Times New Roman" w:hAnsi="Times New Roman" w:eastAsia="仿宋_GB2312" w:cs="仿宋_GB2312"/>
                <w:kern w:val="0"/>
                <w:highlight w:val="none"/>
              </w:rPr>
              <w:t xml:space="preserve">  产生工业固体废物的单位应当取得排污许可证。排污许可的具体办法和实施步骤由国务院规定。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vAlign w:val="center"/>
          </w:tcPr>
          <w:p>
            <w:pPr>
              <w:snapToGrid w:val="0"/>
              <w:spacing w:before="93" w:beforeLines="30" w:line="288" w:lineRule="auto"/>
              <w:ind w:firstLine="422" w:firstLineChars="200"/>
              <w:jc w:val="left"/>
              <w:rPr>
                <w:rFonts w:ascii="Times New Roman" w:hAnsi="Times New Roman" w:eastAsia="仿宋_GB2312" w:cs="仿宋_GB2312"/>
                <w:highlight w:val="none"/>
              </w:rPr>
            </w:pPr>
            <w:r>
              <w:rPr>
                <w:rFonts w:hint="eastAsia" w:ascii="Times New Roman" w:hAnsi="Times New Roman" w:eastAsia="仿宋_GB2312" w:cs="仿宋_GB2312"/>
                <w:b/>
                <w:bCs/>
                <w:kern w:val="0"/>
                <w:highlight w:val="none"/>
              </w:rPr>
              <w:t>《中华人民共和国固体废物污染环境防治法》第一百零四条</w:t>
            </w:r>
            <w:r>
              <w:rPr>
                <w:rFonts w:hint="eastAsia" w:ascii="Times New Roman" w:hAnsi="Times New Roman" w:eastAsia="仿宋_GB2312" w:cs="仿宋_GB2312"/>
                <w:kern w:val="0"/>
                <w:highlight w:val="none"/>
              </w:rPr>
              <w:t xml:space="preserve">  违反本法规定，未依法取得排污许可证产生工业固体废物的，由生态环境主管部门责令改正或者限制生产、停产整治，处十万元以上一百万元以下的罚款；情节严重的，报经有批准权的人民政府批准，责令停业或者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43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50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宋体"/>
                <w:b/>
                <w:bCs/>
                <w:color w:val="000000"/>
                <w:highlight w:val="none"/>
              </w:rPr>
            </w:pPr>
            <w:r>
              <w:rPr>
                <w:rFonts w:hint="eastAsia" w:ascii="Times New Roman" w:hAnsi="Times New Roman" w:cs="宋体"/>
                <w:b/>
                <w:bCs/>
                <w:color w:val="000000"/>
                <w:highlight w:val="none"/>
              </w:rPr>
              <w:t>排污单位</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管理类别★</w:t>
            </w:r>
          </w:p>
        </w:tc>
        <w:tc>
          <w:tcPr>
            <w:tcW w:w="543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Times New Roman"/>
                <w:color w:val="000000"/>
                <w:sz w:val="21"/>
                <w:szCs w:val="21"/>
                <w:highlight w:val="none"/>
              </w:rPr>
              <w:t>简化管理</w:t>
            </w:r>
          </w:p>
        </w:tc>
        <w:tc>
          <w:tcPr>
            <w:tcW w:w="2505" w:type="dxa"/>
            <w:vAlign w:val="center"/>
          </w:tcPr>
          <w:p>
            <w:pPr>
              <w:pStyle w:val="11"/>
              <w:snapToGrid w:val="0"/>
              <w:jc w:val="center"/>
              <w:rPr>
                <w:rFonts w:ascii="Times New Roman" w:hAnsi="Times New Roman" w:cs="Times New Roman"/>
                <w:color w:val="000000"/>
                <w:sz w:val="21"/>
                <w:szCs w:val="21"/>
                <w:highlight w:val="none"/>
              </w:rPr>
            </w:pPr>
            <w:r>
              <w:rPr>
                <w:rFonts w:ascii="Times New Roman" w:hAnsi="Times New Roman" w:cs="Times New Roman"/>
                <w:color w:val="000000"/>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43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Times New Roman"/>
                <w:color w:val="000000"/>
                <w:sz w:val="21"/>
                <w:szCs w:val="21"/>
                <w:highlight w:val="none"/>
              </w:rPr>
              <w:t>重点管理</w:t>
            </w:r>
          </w:p>
        </w:tc>
        <w:tc>
          <w:tcPr>
            <w:tcW w:w="2505" w:type="dxa"/>
            <w:vAlign w:val="center"/>
          </w:tcPr>
          <w:p>
            <w:pPr>
              <w:pStyle w:val="11"/>
              <w:snapToGrid w:val="0"/>
              <w:jc w:val="center"/>
              <w:rPr>
                <w:rFonts w:ascii="Times New Roman" w:hAnsi="Times New Roman" w:cs="Times New Roman"/>
                <w:color w:val="000000"/>
                <w:sz w:val="21"/>
                <w:szCs w:val="21"/>
                <w:highlight w:val="none"/>
              </w:rPr>
            </w:pPr>
            <w:r>
              <w:rPr>
                <w:rFonts w:ascii="Times New Roman" w:hAnsi="Times New Roman" w:cs="Times New Roman"/>
                <w:color w:val="000000"/>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宋体"/>
                <w:b/>
                <w:bCs/>
                <w:highlight w:val="none"/>
              </w:rPr>
            </w:pPr>
            <w:r>
              <w:rPr>
                <w:rFonts w:hint="eastAsia" w:ascii="Times New Roman" w:hAnsi="Times New Roman" w:cs="宋体"/>
                <w:b/>
                <w:bCs/>
                <w:highlight w:val="none"/>
              </w:rPr>
              <w:t>固体废物</w:t>
            </w:r>
          </w:p>
          <w:p>
            <w:pPr>
              <w:snapToGrid w:val="0"/>
              <w:jc w:val="center"/>
              <w:rPr>
                <w:rFonts w:ascii="Times New Roman" w:hAnsi="Times New Roman" w:cs="宋体"/>
                <w:b/>
                <w:bCs/>
                <w:highlight w:val="none"/>
              </w:rPr>
            </w:pPr>
            <w:r>
              <w:rPr>
                <w:rFonts w:hint="eastAsia" w:ascii="Times New Roman" w:hAnsi="Times New Roman" w:cs="宋体"/>
                <w:b/>
                <w:bCs/>
                <w:highlight w:val="none"/>
              </w:rPr>
              <w:t>类别</w:t>
            </w:r>
          </w:p>
        </w:tc>
        <w:tc>
          <w:tcPr>
            <w:tcW w:w="5433" w:type="dxa"/>
            <w:vAlign w:val="center"/>
          </w:tcPr>
          <w:p>
            <w:pPr>
              <w:pStyle w:val="11"/>
              <w:snapToGrid w:val="0"/>
              <w:jc w:val="center"/>
              <w:rPr>
                <w:rFonts w:ascii="Times New Roman" w:hAnsi="Times New Roman" w:eastAsia="仿宋_GB2312" w:cs="Times New Roman"/>
                <w:sz w:val="21"/>
                <w:szCs w:val="21"/>
                <w:highlight w:val="none"/>
              </w:rPr>
            </w:pPr>
            <w:r>
              <w:rPr>
                <w:rFonts w:hint="eastAsia"/>
                <w:sz w:val="21"/>
                <w:szCs w:val="21"/>
                <w:highlight w:val="none"/>
              </w:rPr>
              <w:t>Ⅰ</w:t>
            </w:r>
            <w:r>
              <w:rPr>
                <w:rFonts w:hint="eastAsia" w:ascii="Times New Roman" w:hAnsi="Times New Roman" w:eastAsia="仿宋_GB2312" w:cs="仿宋_GB2312"/>
                <w:sz w:val="21"/>
                <w:szCs w:val="21"/>
                <w:highlight w:val="none"/>
              </w:rPr>
              <w:t>类一般工业固体废物</w:t>
            </w:r>
          </w:p>
        </w:tc>
        <w:tc>
          <w:tcPr>
            <w:tcW w:w="2505" w:type="dxa"/>
            <w:vAlign w:val="center"/>
          </w:tcPr>
          <w:p>
            <w:pPr>
              <w:pStyle w:val="11"/>
              <w:snapToGrid w:val="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eastAsia="仿宋_GB2312" w:cs="Times New Roman"/>
                <w:b/>
                <w:bCs/>
                <w:highlight w:val="none"/>
              </w:rPr>
            </w:pPr>
          </w:p>
        </w:tc>
        <w:tc>
          <w:tcPr>
            <w:tcW w:w="5433" w:type="dxa"/>
            <w:vAlign w:val="center"/>
          </w:tcPr>
          <w:p>
            <w:pPr>
              <w:pStyle w:val="11"/>
              <w:snapToGrid w:val="0"/>
              <w:jc w:val="center"/>
              <w:rPr>
                <w:rFonts w:ascii="Times New Roman" w:hAnsi="Times New Roman" w:eastAsia="仿宋_GB2312" w:cs="Times New Roman"/>
                <w:sz w:val="21"/>
                <w:szCs w:val="21"/>
                <w:highlight w:val="none"/>
              </w:rPr>
            </w:pPr>
            <w:r>
              <w:rPr>
                <w:rFonts w:hint="eastAsia"/>
                <w:sz w:val="21"/>
                <w:szCs w:val="21"/>
                <w:highlight w:val="none"/>
              </w:rPr>
              <w:t>Ⅱ</w:t>
            </w:r>
            <w:r>
              <w:rPr>
                <w:rFonts w:hint="eastAsia" w:ascii="Times New Roman" w:hAnsi="Times New Roman" w:eastAsia="仿宋_GB2312" w:cs="仿宋_GB2312"/>
                <w:sz w:val="21"/>
                <w:szCs w:val="21"/>
                <w:highlight w:val="none"/>
              </w:rPr>
              <w:t>类一般工业固体废物</w:t>
            </w:r>
          </w:p>
        </w:tc>
        <w:tc>
          <w:tcPr>
            <w:tcW w:w="2505" w:type="dxa"/>
            <w:vAlign w:val="center"/>
          </w:tcPr>
          <w:p>
            <w:pPr>
              <w:pStyle w:val="11"/>
              <w:snapToGrid w:val="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eastAsia="仿宋_GB2312" w:cs="Times New Roman"/>
                <w:b/>
                <w:bCs/>
                <w:highlight w:val="none"/>
              </w:rPr>
            </w:pPr>
          </w:p>
        </w:tc>
        <w:tc>
          <w:tcPr>
            <w:tcW w:w="5433"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危险废物</w:t>
            </w:r>
          </w:p>
        </w:tc>
        <w:tc>
          <w:tcPr>
            <w:tcW w:w="250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Times New Roman"/>
                <w:b/>
                <w:bCs/>
                <w:highlight w:val="none"/>
              </w:rPr>
              <w:t>月产生或</w:t>
            </w:r>
          </w:p>
          <w:p>
            <w:pPr>
              <w:snapToGrid w:val="0"/>
              <w:jc w:val="center"/>
              <w:rPr>
                <w:rFonts w:ascii="Times New Roman" w:hAnsi="Times New Roman" w:cs="Times New Roman"/>
                <w:b/>
                <w:bCs/>
                <w:highlight w:val="none"/>
              </w:rPr>
            </w:pPr>
            <w:r>
              <w:rPr>
                <w:rFonts w:hint="eastAsia" w:ascii="Times New Roman" w:hAnsi="Times New Roman" w:cs="Times New Roman"/>
                <w:b/>
                <w:bCs/>
                <w:highlight w:val="none"/>
              </w:rPr>
              <w:t>排放固体</w:t>
            </w:r>
          </w:p>
          <w:p>
            <w:pPr>
              <w:snapToGrid w:val="0"/>
              <w:jc w:val="center"/>
              <w:rPr>
                <w:rFonts w:ascii="Times New Roman" w:hAnsi="Times New Roman" w:eastAsia="仿宋_GB2312" w:cs="Times New Roman"/>
                <w:b/>
                <w:bCs/>
                <w:highlight w:val="none"/>
              </w:rPr>
            </w:pPr>
            <w:r>
              <w:rPr>
                <w:rFonts w:hint="eastAsia" w:ascii="Times New Roman" w:hAnsi="Times New Roman" w:cs="Times New Roman"/>
                <w:b/>
                <w:bCs/>
                <w:highlight w:val="none"/>
              </w:rPr>
              <w:t>废物量</w:t>
            </w:r>
          </w:p>
        </w:tc>
        <w:tc>
          <w:tcPr>
            <w:tcW w:w="5433" w:type="dxa"/>
            <w:vAlign w:val="center"/>
          </w:tcPr>
          <w:p>
            <w:pPr>
              <w:pStyle w:val="11"/>
              <w:snapToGrid w:val="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3</w:t>
            </w:r>
            <w:r>
              <w:rPr>
                <w:rFonts w:hint="eastAsia" w:ascii="Times New Roman" w:hAnsi="Times New Roman" w:eastAsia="仿宋_GB2312" w:cs="Times New Roman"/>
                <w:sz w:val="21"/>
                <w:szCs w:val="21"/>
                <w:highlight w:val="none"/>
              </w:rPr>
              <w:t>0</w:t>
            </w:r>
            <w:r>
              <w:rPr>
                <w:rFonts w:hint="eastAsia" w:ascii="Times New Roman" w:hAnsi="Times New Roman" w:eastAsia="仿宋_GB2312" w:cs="仿宋_GB2312"/>
                <w:sz w:val="21"/>
                <w:szCs w:val="21"/>
                <w:highlight w:val="none"/>
              </w:rPr>
              <w:t>吨以下</w:t>
            </w:r>
          </w:p>
        </w:tc>
        <w:tc>
          <w:tcPr>
            <w:tcW w:w="2505"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eastAsia="仿宋_GB2312" w:cs="Times New Roman"/>
                <w:b/>
                <w:bCs/>
                <w:highlight w:val="none"/>
              </w:rPr>
            </w:pPr>
          </w:p>
        </w:tc>
        <w:tc>
          <w:tcPr>
            <w:tcW w:w="5433" w:type="dxa"/>
            <w:vAlign w:val="center"/>
          </w:tcPr>
          <w:p>
            <w:pPr>
              <w:pStyle w:val="11"/>
              <w:snapToGrid w:val="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3</w:t>
            </w:r>
            <w:r>
              <w:rPr>
                <w:rFonts w:hint="eastAsia" w:ascii="Times New Roman" w:hAnsi="Times New Roman" w:eastAsia="仿宋_GB2312" w:cs="Times New Roman"/>
                <w:sz w:val="21"/>
                <w:szCs w:val="21"/>
                <w:highlight w:val="none"/>
              </w:rPr>
              <w:t>0</w:t>
            </w:r>
            <w:r>
              <w:rPr>
                <w:rFonts w:hint="eastAsia" w:ascii="Times New Roman" w:hAnsi="Times New Roman" w:eastAsia="仿宋_GB2312" w:cs="仿宋_GB2312"/>
                <w:sz w:val="21"/>
                <w:szCs w:val="21"/>
                <w:highlight w:val="none"/>
              </w:rPr>
              <w:t>吨以上100吨以下</w:t>
            </w:r>
          </w:p>
        </w:tc>
        <w:tc>
          <w:tcPr>
            <w:tcW w:w="250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cs="Times New Roman"/>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eastAsia="仿宋_GB2312" w:cs="Times New Roman"/>
                <w:b/>
                <w:bCs/>
                <w:highlight w:val="none"/>
              </w:rPr>
            </w:pPr>
          </w:p>
        </w:tc>
        <w:tc>
          <w:tcPr>
            <w:tcW w:w="5433"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100吨以上500吨以下</w:t>
            </w:r>
          </w:p>
        </w:tc>
        <w:tc>
          <w:tcPr>
            <w:tcW w:w="250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cs="Times New Roman"/>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eastAsia="仿宋_GB2312" w:cs="Times New Roman"/>
                <w:b/>
                <w:bCs/>
                <w:highlight w:val="none"/>
              </w:rPr>
            </w:pPr>
          </w:p>
        </w:tc>
        <w:tc>
          <w:tcPr>
            <w:tcW w:w="5433"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500吨以上1000吨以下</w:t>
            </w:r>
          </w:p>
        </w:tc>
        <w:tc>
          <w:tcPr>
            <w:tcW w:w="250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cs="Times New Roman"/>
                <w:sz w:val="21"/>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eastAsia="仿宋_GB2312" w:cs="Times New Roman"/>
                <w:b/>
                <w:bCs/>
                <w:highlight w:val="none"/>
              </w:rPr>
            </w:pPr>
          </w:p>
        </w:tc>
        <w:tc>
          <w:tcPr>
            <w:tcW w:w="5433"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1000吨以上</w:t>
            </w:r>
          </w:p>
        </w:tc>
        <w:tc>
          <w:tcPr>
            <w:tcW w:w="250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cs="Times New Roman"/>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宋体"/>
                <w:b/>
                <w:bCs/>
                <w:highlight w:val="none"/>
              </w:rPr>
            </w:pPr>
            <w:r>
              <w:rPr>
                <w:rFonts w:hint="eastAsia" w:ascii="Times New Roman" w:hAnsi="Times New Roman" w:cs="宋体"/>
                <w:b/>
                <w:bCs/>
                <w:highlight w:val="none"/>
              </w:rPr>
              <w:t>违法</w:t>
            </w:r>
            <w:r>
              <w:rPr>
                <w:rFonts w:ascii="Times New Roman" w:hAnsi="Times New Roman" w:cs="宋体"/>
                <w:b/>
                <w:bCs/>
                <w:highlight w:val="none"/>
              </w:rPr>
              <w:t>行为</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持续时间</w:t>
            </w:r>
          </w:p>
        </w:tc>
        <w:tc>
          <w:tcPr>
            <w:tcW w:w="543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r>
              <w:rPr>
                <w:rFonts w:hint="eastAsia" w:ascii="Times New Roman" w:hAnsi="Times New Roman" w:eastAsia="仿宋_GB2312" w:cs="仿宋_GB2312"/>
                <w:highlight w:val="none"/>
              </w:rPr>
              <w:t>个月以内</w:t>
            </w:r>
          </w:p>
        </w:tc>
        <w:tc>
          <w:tcPr>
            <w:tcW w:w="2505"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433" w:type="dxa"/>
            <w:vAlign w:val="center"/>
          </w:tcPr>
          <w:p>
            <w:pPr>
              <w:pStyle w:val="11"/>
              <w:snapToGrid w:val="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1</w:t>
            </w:r>
            <w:r>
              <w:rPr>
                <w:rFonts w:hint="eastAsia" w:ascii="Times New Roman" w:hAnsi="Times New Roman" w:eastAsia="仿宋_GB2312" w:cs="仿宋_GB2312"/>
                <w:sz w:val="21"/>
                <w:szCs w:val="21"/>
                <w:highlight w:val="none"/>
              </w:rPr>
              <w:t>个月以上</w:t>
            </w:r>
            <w:r>
              <w:rPr>
                <w:rFonts w:ascii="Times New Roman" w:hAnsi="Times New Roman" w:eastAsia="仿宋_GB2312" w:cs="Times New Roman"/>
                <w:sz w:val="21"/>
                <w:szCs w:val="21"/>
                <w:highlight w:val="none"/>
              </w:rPr>
              <w:t>3</w:t>
            </w:r>
            <w:r>
              <w:rPr>
                <w:rFonts w:hint="eastAsia" w:ascii="Times New Roman" w:hAnsi="Times New Roman" w:eastAsia="仿宋_GB2312" w:cs="仿宋_GB2312"/>
                <w:sz w:val="21"/>
                <w:szCs w:val="21"/>
                <w:highlight w:val="none"/>
              </w:rPr>
              <w:t>个月以内</w:t>
            </w:r>
          </w:p>
        </w:tc>
        <w:tc>
          <w:tcPr>
            <w:tcW w:w="2505" w:type="dxa"/>
            <w:vAlign w:val="center"/>
          </w:tcPr>
          <w:p>
            <w:pPr>
              <w:pStyle w:val="11"/>
              <w:snapToGrid w:val="0"/>
              <w:jc w:val="center"/>
              <w:rPr>
                <w:rFonts w:ascii="Times New Roman" w:hAnsi="Times New Roman" w:cs="Times New Roman"/>
                <w:sz w:val="21"/>
                <w:szCs w:val="21"/>
                <w:highlight w:val="none"/>
              </w:rPr>
            </w:pPr>
            <w:r>
              <w:rPr>
                <w:rFonts w:ascii="Times New Roman" w:hAnsi="Times New Roman" w:cs="Times New Roman"/>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433" w:type="dxa"/>
            <w:vAlign w:val="center"/>
          </w:tcPr>
          <w:p>
            <w:pPr>
              <w:pStyle w:val="11"/>
              <w:snapToGrid w:val="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3</w:t>
            </w:r>
            <w:r>
              <w:rPr>
                <w:rFonts w:hint="eastAsia" w:ascii="Times New Roman" w:hAnsi="Times New Roman" w:eastAsia="仿宋_GB2312" w:cs="仿宋_GB2312"/>
                <w:sz w:val="21"/>
                <w:szCs w:val="21"/>
                <w:highlight w:val="none"/>
              </w:rPr>
              <w:t>个月以上</w:t>
            </w:r>
            <w:r>
              <w:rPr>
                <w:rFonts w:ascii="Times New Roman" w:hAnsi="Times New Roman" w:eastAsia="仿宋_GB2312" w:cs="Times New Roman"/>
                <w:sz w:val="21"/>
                <w:szCs w:val="21"/>
                <w:highlight w:val="none"/>
              </w:rPr>
              <w:t>6</w:t>
            </w:r>
            <w:r>
              <w:rPr>
                <w:rFonts w:hint="eastAsia" w:ascii="Times New Roman" w:hAnsi="Times New Roman" w:eastAsia="仿宋_GB2312" w:cs="仿宋_GB2312"/>
                <w:sz w:val="21"/>
                <w:szCs w:val="21"/>
                <w:highlight w:val="none"/>
              </w:rPr>
              <w:t>个月以内</w:t>
            </w:r>
          </w:p>
        </w:tc>
        <w:tc>
          <w:tcPr>
            <w:tcW w:w="2505" w:type="dxa"/>
            <w:vAlign w:val="center"/>
          </w:tcPr>
          <w:p>
            <w:pPr>
              <w:pStyle w:val="11"/>
              <w:snapToGrid w:val="0"/>
              <w:jc w:val="center"/>
              <w:rPr>
                <w:rFonts w:ascii="Times New Roman" w:hAnsi="Times New Roman" w:cs="Times New Roman"/>
                <w:sz w:val="21"/>
                <w:szCs w:val="21"/>
                <w:highlight w:val="none"/>
              </w:rPr>
            </w:pPr>
            <w:r>
              <w:rPr>
                <w:rFonts w:ascii="Times New Roman" w:hAnsi="Times New Roman" w:cs="Times New Roman"/>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433" w:type="dxa"/>
            <w:vAlign w:val="center"/>
          </w:tcPr>
          <w:p>
            <w:pPr>
              <w:pStyle w:val="11"/>
              <w:snapToGrid w:val="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6</w:t>
            </w:r>
            <w:r>
              <w:rPr>
                <w:rFonts w:hint="eastAsia" w:ascii="Times New Roman" w:hAnsi="Times New Roman" w:eastAsia="仿宋_GB2312" w:cs="仿宋_GB2312"/>
                <w:sz w:val="21"/>
                <w:szCs w:val="21"/>
                <w:highlight w:val="none"/>
              </w:rPr>
              <w:t>个月以上</w:t>
            </w:r>
            <w:r>
              <w:rPr>
                <w:rFonts w:ascii="Times New Roman" w:hAnsi="Times New Roman" w:eastAsia="仿宋_GB2312" w:cs="Times New Roman"/>
                <w:sz w:val="21"/>
                <w:szCs w:val="21"/>
                <w:highlight w:val="none"/>
              </w:rPr>
              <w:t>12</w:t>
            </w:r>
            <w:r>
              <w:rPr>
                <w:rFonts w:hint="eastAsia" w:ascii="Times New Roman" w:hAnsi="Times New Roman" w:eastAsia="仿宋_GB2312" w:cs="仿宋_GB2312"/>
                <w:sz w:val="21"/>
                <w:szCs w:val="21"/>
                <w:highlight w:val="none"/>
              </w:rPr>
              <w:t>个月以内</w:t>
            </w:r>
          </w:p>
        </w:tc>
        <w:tc>
          <w:tcPr>
            <w:tcW w:w="2505" w:type="dxa"/>
            <w:vAlign w:val="center"/>
          </w:tcPr>
          <w:p>
            <w:pPr>
              <w:pStyle w:val="11"/>
              <w:snapToGrid w:val="0"/>
              <w:jc w:val="center"/>
              <w:rPr>
                <w:rFonts w:ascii="Times New Roman" w:hAnsi="Times New Roman" w:cs="Times New Roman"/>
                <w:sz w:val="21"/>
                <w:szCs w:val="21"/>
                <w:highlight w:val="none"/>
              </w:rPr>
            </w:pPr>
            <w:r>
              <w:rPr>
                <w:rFonts w:ascii="Times New Roman" w:hAnsi="Times New Roman" w:cs="Times New Roman"/>
                <w:sz w:val="21"/>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433" w:type="dxa"/>
            <w:vAlign w:val="center"/>
          </w:tcPr>
          <w:p>
            <w:pPr>
              <w:pStyle w:val="11"/>
              <w:snapToGrid w:val="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12</w:t>
            </w:r>
            <w:r>
              <w:rPr>
                <w:rFonts w:hint="eastAsia" w:ascii="Times New Roman" w:hAnsi="Times New Roman" w:eastAsia="仿宋_GB2312" w:cs="仿宋_GB2312"/>
                <w:sz w:val="21"/>
                <w:szCs w:val="21"/>
                <w:highlight w:val="none"/>
              </w:rPr>
              <w:t>个月以上</w:t>
            </w:r>
          </w:p>
        </w:tc>
        <w:tc>
          <w:tcPr>
            <w:tcW w:w="2505" w:type="dxa"/>
            <w:vAlign w:val="center"/>
          </w:tcPr>
          <w:p>
            <w:pPr>
              <w:pStyle w:val="11"/>
              <w:snapToGrid w:val="0"/>
              <w:jc w:val="center"/>
              <w:rPr>
                <w:rFonts w:ascii="Times New Roman" w:hAnsi="Times New Roman" w:cs="Times New Roman"/>
                <w:sz w:val="21"/>
                <w:szCs w:val="21"/>
                <w:highlight w:val="none"/>
              </w:rPr>
            </w:pPr>
            <w:r>
              <w:rPr>
                <w:rFonts w:ascii="Times New Roman" w:hAnsi="Times New Roman" w:cs="Times New Roman"/>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left"/>
              <w:rPr>
                <w:rFonts w:ascii="Times New Roman" w:hAnsi="Times New Roman" w:cs="Times New Roman"/>
                <w:color w:val="FF0000"/>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（四）固体废物污染防治类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ind w:firstLine="420"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从事畜禽规模养殖未及时收集、贮存、利用或者处置养殖过程中产生的畜禽粪污等固体废物的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widowControl/>
              <w:ind w:firstLine="422"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b/>
                <w:bCs/>
                <w:kern w:val="0"/>
                <w:highlight w:val="none"/>
              </w:rPr>
              <w:t>《中华人民共和国固体废物污染环境防治法》第六十五条第二款</w:t>
            </w:r>
            <w:r>
              <w:rPr>
                <w:rFonts w:hint="eastAsia" w:ascii="Times New Roman" w:hAnsi="Times New Roman" w:eastAsia="仿宋_GB2312" w:cs="仿宋_GB2312"/>
                <w:kern w:val="0"/>
                <w:highlight w:val="none"/>
              </w:rPr>
              <w:t xml:space="preserve">  从事畜禽规模养殖应当及时收集、贮存、利用或者处置养殖过程中产生的畜禽粪污等固体废物，避免造成环境污染。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widowControl/>
              <w:ind w:firstLine="422"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b/>
                <w:bCs/>
                <w:kern w:val="0"/>
                <w:highlight w:val="none"/>
              </w:rPr>
              <w:t>《中华人民共和国固体废物污染环境防治法》第一百零七条</w:t>
            </w:r>
            <w:r>
              <w:rPr>
                <w:rFonts w:hint="eastAsia" w:ascii="Times New Roman" w:hAnsi="Times New Roman" w:eastAsia="仿宋_GB2312" w:cs="仿宋_GB2312"/>
                <w:kern w:val="0"/>
                <w:highlight w:val="none"/>
              </w:rPr>
              <w:t xml:space="preserve">  从事畜禽规模养殖未及时收集、贮存、利用或者处置养殖过程中产生的畜禽粪污等固体废物的，由生态环境主管部门责令改正，可以处十万元以下的罚款；情节严重的，报经有批准权的人民政府批准，责令停业或者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Times New Roman"/>
                <w:b/>
                <w:bCs/>
                <w:highlight w:val="none"/>
              </w:rPr>
              <w:t>养殖规模</w:t>
            </w:r>
            <w:r>
              <w:rPr>
                <w:rFonts w:hint="eastAsia" w:ascii="Times New Roman" w:hAnsi="Times New Roman" w:cs="宋体"/>
                <w:b/>
                <w:bCs/>
                <w:highlight w:val="none"/>
              </w:rPr>
              <w:t>★</w:t>
            </w:r>
          </w:p>
        </w:tc>
        <w:tc>
          <w:tcPr>
            <w:tcW w:w="5245" w:type="dxa"/>
          </w:tcPr>
          <w:p>
            <w:pPr>
              <w:jc w:val="center"/>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年出栏生猪不足1000头（其他畜禽种类折合生猪的养殖规模）</w:t>
            </w:r>
          </w:p>
        </w:tc>
        <w:tc>
          <w:tcPr>
            <w:tcW w:w="2693" w:type="dxa"/>
            <w:vAlign w:val="center"/>
          </w:tcPr>
          <w:p>
            <w:pPr>
              <w:jc w:val="center"/>
              <w:rPr>
                <w:rFonts w:ascii="Times New Roman" w:hAnsi="Times New Roman" w:eastAsia="仿宋_GB2312" w:cs="仿宋_GB2312"/>
                <w:kern w:val="0"/>
                <w:highlight w:val="none"/>
              </w:rPr>
            </w:pPr>
            <w:r>
              <w:rPr>
                <w:rFonts w:ascii="Times New Roman" w:hAnsi="Times New Roman" w:eastAsia="仿宋_GB2312" w:cs="仿宋_GB2312"/>
                <w:kern w:val="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tcPr>
          <w:p>
            <w:pPr>
              <w:jc w:val="center"/>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年出栏生猪1000-2000头（其他畜禽种类折合生猪的养殖规模）</w:t>
            </w:r>
          </w:p>
        </w:tc>
        <w:tc>
          <w:tcPr>
            <w:tcW w:w="2693" w:type="dxa"/>
            <w:vAlign w:val="center"/>
          </w:tcPr>
          <w:p>
            <w:pPr>
              <w:jc w:val="center"/>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tcPr>
          <w:p>
            <w:pPr>
              <w:jc w:val="center"/>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年出栏生猪2000头以上（其他畜禽种类折合生猪的养殖规模）</w:t>
            </w:r>
          </w:p>
        </w:tc>
        <w:tc>
          <w:tcPr>
            <w:tcW w:w="2693" w:type="dxa"/>
            <w:vAlign w:val="center"/>
          </w:tcPr>
          <w:p>
            <w:pPr>
              <w:jc w:val="center"/>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建设地点</w:t>
            </w:r>
          </w:p>
        </w:tc>
        <w:tc>
          <w:tcPr>
            <w:tcW w:w="5245" w:type="dxa"/>
            <w:vAlign w:val="center"/>
          </w:tcPr>
          <w:p>
            <w:pPr>
              <w:pStyle w:val="11"/>
              <w:snapToGrid w:val="0"/>
              <w:jc w:val="center"/>
              <w:rPr>
                <w:rFonts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非禁养区</w:t>
            </w:r>
          </w:p>
        </w:tc>
        <w:tc>
          <w:tcPr>
            <w:tcW w:w="2693" w:type="dxa"/>
            <w:vAlign w:val="center"/>
          </w:tcPr>
          <w:p>
            <w:pPr>
              <w:pStyle w:val="11"/>
              <w:snapToGrid w:val="0"/>
              <w:jc w:val="center"/>
              <w:rPr>
                <w:rFonts w:ascii="Times New Roman" w:hAnsi="Times New Roman" w:eastAsia="仿宋_GB2312" w:cs="仿宋_GB2312"/>
                <w:sz w:val="21"/>
                <w:szCs w:val="21"/>
                <w:highlight w:val="none"/>
              </w:rPr>
            </w:pPr>
            <w:r>
              <w:rPr>
                <w:rFonts w:ascii="Times New Roman" w:hAnsi="Times New Roman" w:eastAsia="仿宋_GB2312" w:cs="仿宋_GB2312"/>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限养区</w:t>
            </w:r>
          </w:p>
        </w:tc>
        <w:tc>
          <w:tcPr>
            <w:tcW w:w="2693" w:type="dxa"/>
            <w:vAlign w:val="center"/>
          </w:tcPr>
          <w:p>
            <w:pPr>
              <w:pStyle w:val="11"/>
              <w:snapToGrid w:val="0"/>
              <w:jc w:val="center"/>
              <w:rPr>
                <w:rFonts w:ascii="Times New Roman" w:hAnsi="Times New Roman" w:eastAsia="仿宋_GB2312" w:cs="仿宋_GB2312"/>
                <w:sz w:val="21"/>
                <w:szCs w:val="21"/>
                <w:highlight w:val="none"/>
              </w:rPr>
            </w:pPr>
            <w:r>
              <w:rPr>
                <w:rFonts w:ascii="Times New Roman" w:hAnsi="Times New Roman" w:eastAsia="仿宋_GB2312" w:cs="仿宋_GB2312"/>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禁养区</w:t>
            </w:r>
          </w:p>
        </w:tc>
        <w:tc>
          <w:tcPr>
            <w:tcW w:w="2693" w:type="dxa"/>
            <w:vAlign w:val="center"/>
          </w:tcPr>
          <w:p>
            <w:pPr>
              <w:pStyle w:val="11"/>
              <w:snapToGrid w:val="0"/>
              <w:jc w:val="center"/>
              <w:rPr>
                <w:rFonts w:ascii="Times New Roman" w:hAnsi="Times New Roman" w:eastAsia="仿宋_GB2312" w:cs="仿宋_GB2312"/>
                <w:sz w:val="21"/>
                <w:szCs w:val="21"/>
                <w:highlight w:val="none"/>
              </w:rPr>
            </w:pPr>
            <w:r>
              <w:rPr>
                <w:rFonts w:ascii="Times New Roman" w:hAnsi="Times New Roman" w:eastAsia="仿宋_GB2312" w:cs="仿宋_GB2312"/>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p>
            <w:pPr>
              <w:snapToGrid w:val="0"/>
              <w:jc w:val="center"/>
              <w:rPr>
                <w:rFonts w:ascii="Times New Roman" w:hAnsi="Times New Roman" w:cs="Times New Roman"/>
                <w:highlight w:val="none"/>
              </w:rPr>
            </w:pPr>
            <w:r>
              <w:rPr>
                <w:rFonts w:hint="eastAsia" w:ascii="Times New Roman" w:hAnsi="Times New Roman" w:cs="宋体"/>
                <w:b/>
                <w:bCs/>
                <w:highlight w:val="none"/>
              </w:rPr>
              <w:t>持续时间</w:t>
            </w:r>
          </w:p>
        </w:tc>
        <w:tc>
          <w:tcPr>
            <w:tcW w:w="5245" w:type="dxa"/>
          </w:tcPr>
          <w:p>
            <w:pPr>
              <w:pStyle w:val="35"/>
              <w:spacing w:before="65"/>
              <w:ind w:left="958" w:right="949"/>
              <w:rPr>
                <w:rFonts w:ascii="Times New Roman" w:hAnsi="Times New Roman" w:eastAsia="仿宋_GB2312" w:cs="仿宋_GB2312"/>
                <w:kern w:val="0"/>
                <w:highlight w:val="none"/>
                <w:lang w:val="en-US" w:bidi="ar-SA"/>
              </w:rPr>
            </w:pPr>
            <w:r>
              <w:rPr>
                <w:rFonts w:hint="eastAsia" w:ascii="Times New Roman" w:hAnsi="Times New Roman" w:eastAsia="仿宋_GB2312" w:cs="仿宋_GB2312"/>
                <w:kern w:val="0"/>
                <w:highlight w:val="none"/>
                <w:lang w:val="en-US" w:bidi="ar-SA"/>
              </w:rPr>
              <w:t>3 个月以下的</w:t>
            </w:r>
          </w:p>
        </w:tc>
        <w:tc>
          <w:tcPr>
            <w:tcW w:w="2693" w:type="dxa"/>
          </w:tcPr>
          <w:p>
            <w:pPr>
              <w:pStyle w:val="35"/>
              <w:spacing w:before="79"/>
              <w:ind w:left="9"/>
              <w:rPr>
                <w:rFonts w:ascii="Times New Roman" w:hAnsi="Times New Roman" w:eastAsia="仿宋_GB2312" w:cs="仿宋_GB2312"/>
                <w:kern w:val="0"/>
                <w:highlight w:val="none"/>
                <w:lang w:val="en-US" w:bidi="ar-SA"/>
              </w:rPr>
            </w:pPr>
            <w:r>
              <w:rPr>
                <w:rFonts w:hint="eastAsia" w:ascii="Times New Roman" w:hAnsi="Times New Roman" w:eastAsia="仿宋_GB2312" w:cs="仿宋_GB2312"/>
                <w:kern w:val="0"/>
                <w:highlight w:val="none"/>
                <w:lang w:val="en-US"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tcPr>
          <w:p>
            <w:pPr>
              <w:pStyle w:val="35"/>
              <w:spacing w:before="63"/>
              <w:ind w:left="958" w:right="949"/>
              <w:rPr>
                <w:rFonts w:ascii="Times New Roman" w:hAnsi="Times New Roman" w:eastAsia="仿宋_GB2312" w:cs="仿宋_GB2312"/>
                <w:kern w:val="0"/>
                <w:highlight w:val="none"/>
                <w:lang w:val="en-US" w:bidi="ar-SA"/>
              </w:rPr>
            </w:pPr>
            <w:r>
              <w:rPr>
                <w:rFonts w:hint="eastAsia" w:ascii="Times New Roman" w:hAnsi="Times New Roman" w:eastAsia="仿宋_GB2312" w:cs="仿宋_GB2312"/>
                <w:kern w:val="0"/>
                <w:highlight w:val="none"/>
                <w:lang w:val="en-US" w:bidi="ar-SA"/>
              </w:rPr>
              <w:t>3 个月以上 6 个月以下的</w:t>
            </w:r>
          </w:p>
        </w:tc>
        <w:tc>
          <w:tcPr>
            <w:tcW w:w="2693" w:type="dxa"/>
          </w:tcPr>
          <w:p>
            <w:pPr>
              <w:pStyle w:val="35"/>
              <w:spacing w:before="77"/>
              <w:ind w:left="9"/>
              <w:rPr>
                <w:rFonts w:ascii="Times New Roman" w:hAnsi="Times New Roman" w:eastAsia="仿宋_GB2312" w:cs="仿宋_GB2312"/>
                <w:kern w:val="0"/>
                <w:highlight w:val="none"/>
                <w:lang w:val="en-US" w:bidi="ar-SA"/>
              </w:rPr>
            </w:pPr>
            <w:r>
              <w:rPr>
                <w:rFonts w:hint="eastAsia" w:ascii="Times New Roman" w:hAnsi="Times New Roman" w:eastAsia="仿宋_GB2312" w:cs="仿宋_GB2312"/>
                <w:kern w:val="0"/>
                <w:highlight w:val="none"/>
                <w:lang w:val="en-US"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tcPr>
          <w:p>
            <w:pPr>
              <w:pStyle w:val="35"/>
              <w:spacing w:before="63"/>
              <w:ind w:left="958" w:right="949"/>
              <w:rPr>
                <w:rFonts w:ascii="Times New Roman" w:hAnsi="Times New Roman" w:eastAsia="仿宋_GB2312" w:cs="仿宋_GB2312"/>
                <w:kern w:val="0"/>
                <w:highlight w:val="none"/>
                <w:lang w:val="en-US" w:bidi="ar-SA"/>
              </w:rPr>
            </w:pPr>
            <w:r>
              <w:rPr>
                <w:rFonts w:hint="eastAsia" w:ascii="Times New Roman" w:hAnsi="Times New Roman" w:eastAsia="仿宋_GB2312" w:cs="仿宋_GB2312"/>
                <w:kern w:val="0"/>
                <w:highlight w:val="none"/>
                <w:lang w:val="en-US" w:bidi="ar-SA"/>
              </w:rPr>
              <w:t>6 个月以上 1 年以下的</w:t>
            </w:r>
          </w:p>
        </w:tc>
        <w:tc>
          <w:tcPr>
            <w:tcW w:w="2693" w:type="dxa"/>
          </w:tcPr>
          <w:p>
            <w:pPr>
              <w:pStyle w:val="35"/>
              <w:spacing w:before="77"/>
              <w:ind w:left="9"/>
              <w:rPr>
                <w:rFonts w:ascii="Times New Roman" w:hAnsi="Times New Roman" w:eastAsia="仿宋_GB2312" w:cs="仿宋_GB2312"/>
                <w:kern w:val="0"/>
                <w:highlight w:val="none"/>
                <w:lang w:val="en-US" w:bidi="ar-SA"/>
              </w:rPr>
            </w:pPr>
            <w:r>
              <w:rPr>
                <w:rFonts w:hint="eastAsia" w:ascii="Times New Roman" w:hAnsi="Times New Roman" w:eastAsia="仿宋_GB2312" w:cs="仿宋_GB2312"/>
                <w:kern w:val="0"/>
                <w:highlight w:val="none"/>
                <w:lang w:val="en-US"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tcPr>
          <w:p>
            <w:pPr>
              <w:pStyle w:val="35"/>
              <w:spacing w:before="63"/>
              <w:ind w:left="960" w:right="949"/>
              <w:rPr>
                <w:rFonts w:ascii="Times New Roman" w:hAnsi="Times New Roman" w:eastAsia="仿宋_GB2312" w:cs="仿宋_GB2312"/>
                <w:kern w:val="0"/>
                <w:highlight w:val="none"/>
                <w:lang w:val="en-US" w:bidi="ar-SA"/>
              </w:rPr>
            </w:pPr>
            <w:r>
              <w:rPr>
                <w:rFonts w:hint="eastAsia" w:ascii="Times New Roman" w:hAnsi="Times New Roman" w:eastAsia="仿宋_GB2312" w:cs="仿宋_GB2312"/>
                <w:kern w:val="0"/>
                <w:highlight w:val="none"/>
                <w:lang w:val="en-US" w:bidi="ar-SA"/>
              </w:rPr>
              <w:t>1 年以上的</w:t>
            </w:r>
          </w:p>
        </w:tc>
        <w:tc>
          <w:tcPr>
            <w:tcW w:w="2693" w:type="dxa"/>
          </w:tcPr>
          <w:p>
            <w:pPr>
              <w:pStyle w:val="35"/>
              <w:spacing w:before="77"/>
              <w:ind w:left="9"/>
              <w:rPr>
                <w:rFonts w:ascii="Times New Roman" w:hAnsi="Times New Roman" w:eastAsia="仿宋_GB2312" w:cs="仿宋_GB2312"/>
                <w:kern w:val="0"/>
                <w:highlight w:val="none"/>
                <w:lang w:val="en-US" w:bidi="ar-SA"/>
              </w:rPr>
            </w:pPr>
            <w:r>
              <w:rPr>
                <w:rFonts w:hint="eastAsia" w:ascii="Times New Roman" w:hAnsi="Times New Roman" w:eastAsia="仿宋_GB2312" w:cs="仿宋_GB2312"/>
                <w:kern w:val="0"/>
                <w:highlight w:val="none"/>
                <w:lang w:val="en-US"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（四）固体废物污染防治类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ind w:firstLine="420" w:firstLineChars="200"/>
              <w:jc w:val="left"/>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尾矿、煤矸石、废石等矿业固体废物贮存设施停止使用后，未按照国家有关环境保护规定进行封场的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widowControl/>
              <w:ind w:firstLine="422" w:firstLineChars="200"/>
              <w:jc w:val="left"/>
              <w:rPr>
                <w:rFonts w:ascii="Times New Roman" w:hAnsi="Times New Roman" w:eastAsia="仿宋_GB2312" w:cs="仿宋_GB2312"/>
                <w:highlight w:val="none"/>
              </w:rPr>
            </w:pPr>
            <w:r>
              <w:rPr>
                <w:rFonts w:hint="eastAsia" w:ascii="Times New Roman" w:hAnsi="Times New Roman" w:eastAsia="仿宋_GB2312" w:cs="仿宋_GB2312"/>
                <w:b/>
                <w:bCs/>
                <w:highlight w:val="none"/>
              </w:rPr>
              <w:t>《中华人民共和国固体废物污染环境防治法》第四十二条第三款</w:t>
            </w:r>
            <w:r>
              <w:rPr>
                <w:rFonts w:hint="eastAsia" w:ascii="Times New Roman" w:hAnsi="Times New Roman" w:eastAsia="仿宋_GB2312" w:cs="仿宋_GB2312"/>
                <w:highlight w:val="none"/>
              </w:rPr>
              <w:t xml:space="preserve">  尾矿、煤矸石、废石等矿业固体废物贮存设施停止使用后，矿山企业应当按照国家有关环境保护等规定进行封场，防止造成环境污染和生态破坏。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widowControl/>
              <w:ind w:firstLine="422" w:firstLineChars="200"/>
              <w:jc w:val="left"/>
              <w:rPr>
                <w:rFonts w:ascii="Times New Roman" w:hAnsi="Times New Roman" w:eastAsia="仿宋_GB2312" w:cs="仿宋_GB2312"/>
                <w:highlight w:val="none"/>
              </w:rPr>
            </w:pPr>
            <w:r>
              <w:rPr>
                <w:rFonts w:hint="eastAsia" w:ascii="Times New Roman" w:hAnsi="Times New Roman" w:eastAsia="仿宋_GB2312" w:cs="仿宋_GB2312"/>
                <w:b/>
                <w:bCs/>
                <w:highlight w:val="none"/>
              </w:rPr>
              <w:t>《中华人民共和国固体废物污染环境防治法》第一百一十条</w:t>
            </w:r>
            <w:r>
              <w:rPr>
                <w:rFonts w:hint="eastAsia" w:ascii="Times New Roman" w:hAnsi="Times New Roman" w:eastAsia="仿宋_GB2312" w:cs="仿宋_GB2312"/>
                <w:highlight w:val="none"/>
              </w:rPr>
              <w:t xml:space="preserve">  尾矿、煤矸石、废石等矿业固体废物贮存设施停止使用后，未按照国家有关环境保护规定进行封场的，由生态环境主管部门责令改正，处二十万元以上一百万元以下的罚款。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45"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 xml:space="preserve">按照国家有关环境保护规定进行封场但不规范的 </w:t>
            </w:r>
          </w:p>
        </w:tc>
        <w:tc>
          <w:tcPr>
            <w:tcW w:w="2693" w:type="dxa"/>
            <w:vAlign w:val="center"/>
          </w:tcPr>
          <w:p>
            <w:pPr>
              <w:snapToGrid w:val="0"/>
              <w:jc w:val="center"/>
              <w:rPr>
                <w:rFonts w:ascii="Times New Roman" w:hAnsi="Times New Roman" w:cs="Times New Roman"/>
                <w:b/>
                <w:bCs/>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 xml:space="preserve">未按照国家有关环境保护规定进行封场的 </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宋体"/>
                <w:b/>
                <w:bCs/>
                <w:highlight w:val="none"/>
              </w:rPr>
            </w:pPr>
            <w:r>
              <w:rPr>
                <w:rFonts w:hint="eastAsia" w:ascii="Times New Roman" w:hAnsi="Times New Roman" w:cs="宋体"/>
                <w:b/>
                <w:bCs/>
                <w:highlight w:val="none"/>
              </w:rPr>
              <w:t>贮存设施</w:t>
            </w:r>
          </w:p>
          <w:p>
            <w:pPr>
              <w:snapToGrid w:val="0"/>
              <w:jc w:val="center"/>
              <w:rPr>
                <w:rFonts w:ascii="Times New Roman" w:hAnsi="Times New Roman" w:cs="宋体"/>
                <w:b/>
                <w:bCs/>
                <w:highlight w:val="none"/>
              </w:rPr>
            </w:pPr>
            <w:r>
              <w:rPr>
                <w:rFonts w:hint="eastAsia" w:ascii="Times New Roman" w:hAnsi="Times New Roman" w:cs="宋体"/>
                <w:b/>
                <w:bCs/>
                <w:highlight w:val="none"/>
              </w:rPr>
              <w:t>规模</w:t>
            </w: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不足</w:t>
            </w:r>
            <w:r>
              <w:rPr>
                <w:rFonts w:ascii="Times New Roman" w:hAnsi="Times New Roman" w:eastAsia="仿宋_GB2312" w:cs="Times New Roman"/>
                <w:highlight w:val="none"/>
              </w:rPr>
              <w:t>10</w:t>
            </w:r>
            <w:r>
              <w:rPr>
                <w:rFonts w:hint="eastAsia" w:ascii="Times New Roman" w:hAnsi="Times New Roman" w:eastAsia="仿宋_GB2312" w:cs="Times New Roman"/>
                <w:highlight w:val="none"/>
              </w:rPr>
              <w:t>万</w:t>
            </w:r>
            <w:r>
              <w:rPr>
                <w:rFonts w:ascii="Times New Roman" w:hAnsi="Times New Roman" w:eastAsia="仿宋_GB2312" w:cs="Times New Roman"/>
                <w:highlight w:val="none"/>
              </w:rPr>
              <w:t>m³</w:t>
            </w:r>
          </w:p>
        </w:tc>
        <w:tc>
          <w:tcPr>
            <w:tcW w:w="2693" w:type="dxa"/>
            <w:vAlign w:val="center"/>
          </w:tcPr>
          <w:p>
            <w:pPr>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10</w:t>
            </w:r>
            <w:r>
              <w:rPr>
                <w:rFonts w:hint="eastAsia" w:ascii="Times New Roman" w:hAnsi="Times New Roman" w:eastAsia="仿宋_GB2312" w:cs="Times New Roman"/>
                <w:highlight w:val="none"/>
              </w:rPr>
              <w:t>万</w:t>
            </w:r>
            <w:r>
              <w:rPr>
                <w:rFonts w:ascii="Times New Roman" w:hAnsi="Times New Roman" w:eastAsia="仿宋_GB2312" w:cs="Times New Roman"/>
                <w:highlight w:val="none"/>
              </w:rPr>
              <w:t>m³</w:t>
            </w:r>
            <w:r>
              <w:rPr>
                <w:rFonts w:hint="eastAsia" w:ascii="Times New Roman" w:hAnsi="Times New Roman" w:eastAsia="仿宋_GB2312" w:cs="Times New Roman"/>
                <w:highlight w:val="none"/>
              </w:rPr>
              <w:t>以上不足</w:t>
            </w:r>
            <w:r>
              <w:rPr>
                <w:rFonts w:ascii="Times New Roman" w:hAnsi="Times New Roman" w:eastAsia="仿宋_GB2312" w:cs="Times New Roman"/>
                <w:highlight w:val="none"/>
              </w:rPr>
              <w:t>20</w:t>
            </w:r>
            <w:r>
              <w:rPr>
                <w:rFonts w:hint="eastAsia" w:ascii="Times New Roman" w:hAnsi="Times New Roman" w:eastAsia="仿宋_GB2312" w:cs="Times New Roman"/>
                <w:highlight w:val="none"/>
              </w:rPr>
              <w:t>万</w:t>
            </w:r>
            <w:r>
              <w:rPr>
                <w:rFonts w:ascii="Times New Roman" w:hAnsi="Times New Roman" w:eastAsia="仿宋_GB2312" w:cs="Times New Roman"/>
                <w:highlight w:val="none"/>
              </w:rPr>
              <w:t>m³</w:t>
            </w:r>
          </w:p>
        </w:tc>
        <w:tc>
          <w:tcPr>
            <w:tcW w:w="2693" w:type="dxa"/>
            <w:vAlign w:val="center"/>
          </w:tcPr>
          <w:p>
            <w:pPr>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20</w:t>
            </w:r>
            <w:r>
              <w:rPr>
                <w:rFonts w:hint="eastAsia" w:ascii="Times New Roman" w:hAnsi="Times New Roman" w:eastAsia="仿宋_GB2312" w:cs="Times New Roman"/>
                <w:highlight w:val="none"/>
              </w:rPr>
              <w:t>万</w:t>
            </w:r>
            <w:r>
              <w:rPr>
                <w:rFonts w:ascii="Times New Roman" w:hAnsi="Times New Roman" w:eastAsia="仿宋_GB2312" w:cs="Times New Roman"/>
                <w:highlight w:val="none"/>
              </w:rPr>
              <w:t>m³</w:t>
            </w:r>
            <w:r>
              <w:rPr>
                <w:rFonts w:hint="eastAsia" w:ascii="Times New Roman" w:hAnsi="Times New Roman" w:eastAsia="仿宋_GB2312" w:cs="Times New Roman"/>
                <w:highlight w:val="none"/>
              </w:rPr>
              <w:t>以上不足</w:t>
            </w:r>
            <w:r>
              <w:rPr>
                <w:rFonts w:ascii="Times New Roman" w:hAnsi="Times New Roman" w:eastAsia="仿宋_GB2312" w:cs="Times New Roman"/>
                <w:highlight w:val="none"/>
              </w:rPr>
              <w:t>30</w:t>
            </w:r>
            <w:r>
              <w:rPr>
                <w:rFonts w:hint="eastAsia" w:ascii="Times New Roman" w:hAnsi="Times New Roman" w:eastAsia="仿宋_GB2312" w:cs="Times New Roman"/>
                <w:highlight w:val="none"/>
              </w:rPr>
              <w:t>万</w:t>
            </w:r>
            <w:r>
              <w:rPr>
                <w:rFonts w:ascii="Times New Roman" w:hAnsi="Times New Roman" w:eastAsia="仿宋_GB2312" w:cs="Times New Roman"/>
                <w:highlight w:val="none"/>
              </w:rPr>
              <w:t>m³</w:t>
            </w:r>
          </w:p>
        </w:tc>
        <w:tc>
          <w:tcPr>
            <w:tcW w:w="2693" w:type="dxa"/>
            <w:vAlign w:val="center"/>
          </w:tcPr>
          <w:p>
            <w:pPr>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30</w:t>
            </w:r>
            <w:r>
              <w:rPr>
                <w:rFonts w:hint="eastAsia" w:ascii="Times New Roman" w:hAnsi="Times New Roman" w:eastAsia="仿宋_GB2312" w:cs="Times New Roman"/>
                <w:highlight w:val="none"/>
              </w:rPr>
              <w:t>万</w:t>
            </w:r>
            <w:r>
              <w:rPr>
                <w:rFonts w:ascii="Times New Roman" w:hAnsi="Times New Roman" w:eastAsia="仿宋_GB2312" w:cs="Times New Roman"/>
                <w:highlight w:val="none"/>
              </w:rPr>
              <w:t>m³</w:t>
            </w:r>
            <w:r>
              <w:rPr>
                <w:rFonts w:hint="eastAsia" w:ascii="Times New Roman" w:hAnsi="Times New Roman" w:eastAsia="仿宋_GB2312" w:cs="Times New Roman"/>
                <w:highlight w:val="none"/>
              </w:rPr>
              <w:t>以上不足</w:t>
            </w:r>
            <w:r>
              <w:rPr>
                <w:rFonts w:ascii="Times New Roman" w:hAnsi="Times New Roman" w:eastAsia="仿宋_GB2312" w:cs="Times New Roman"/>
                <w:highlight w:val="none"/>
              </w:rPr>
              <w:t>50</w:t>
            </w:r>
            <w:r>
              <w:rPr>
                <w:rFonts w:hint="eastAsia" w:ascii="Times New Roman" w:hAnsi="Times New Roman" w:eastAsia="仿宋_GB2312" w:cs="Times New Roman"/>
                <w:highlight w:val="none"/>
              </w:rPr>
              <w:t>万</w:t>
            </w:r>
            <w:r>
              <w:rPr>
                <w:rFonts w:ascii="Times New Roman" w:hAnsi="Times New Roman" w:eastAsia="仿宋_GB2312" w:cs="Times New Roman"/>
                <w:highlight w:val="none"/>
              </w:rPr>
              <w:t>m³</w:t>
            </w:r>
          </w:p>
        </w:tc>
        <w:tc>
          <w:tcPr>
            <w:tcW w:w="2693" w:type="dxa"/>
            <w:vAlign w:val="center"/>
          </w:tcPr>
          <w:p>
            <w:pPr>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50</w:t>
            </w:r>
            <w:r>
              <w:rPr>
                <w:rFonts w:hint="eastAsia" w:ascii="Times New Roman" w:hAnsi="Times New Roman" w:eastAsia="仿宋_GB2312" w:cs="Times New Roman"/>
                <w:highlight w:val="none"/>
              </w:rPr>
              <w:t>万</w:t>
            </w:r>
            <w:r>
              <w:rPr>
                <w:rFonts w:ascii="Times New Roman" w:hAnsi="Times New Roman" w:eastAsia="仿宋_GB2312" w:cs="Times New Roman"/>
                <w:highlight w:val="none"/>
              </w:rPr>
              <w:t>m³</w:t>
            </w:r>
            <w:r>
              <w:rPr>
                <w:rFonts w:hint="eastAsia" w:ascii="Times New Roman" w:hAnsi="Times New Roman" w:eastAsia="仿宋_GB2312" w:cs="Times New Roman"/>
                <w:highlight w:val="none"/>
              </w:rPr>
              <w:t>以上</w:t>
            </w:r>
          </w:p>
        </w:tc>
        <w:tc>
          <w:tcPr>
            <w:tcW w:w="2693" w:type="dxa"/>
            <w:vAlign w:val="center"/>
          </w:tcPr>
          <w:p>
            <w:pPr>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宋体"/>
                <w:b/>
                <w:bCs/>
                <w:highlight w:val="none"/>
              </w:rPr>
            </w:pPr>
            <w:r>
              <w:rPr>
                <w:rFonts w:hint="eastAsia" w:ascii="Times New Roman" w:hAnsi="Times New Roman" w:cs="宋体"/>
                <w:b/>
                <w:bCs/>
                <w:highlight w:val="none"/>
              </w:rPr>
              <w:t>违法行为</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持续时间</w:t>
            </w: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1个月以内</w:t>
            </w:r>
          </w:p>
        </w:tc>
        <w:tc>
          <w:tcPr>
            <w:tcW w:w="269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1个月以上</w:t>
            </w:r>
            <w:r>
              <w:rPr>
                <w:rFonts w:ascii="Times New Roman" w:hAnsi="Times New Roman" w:eastAsia="仿宋_GB2312" w:cs="Times New Roman"/>
                <w:highlight w:val="none"/>
              </w:rPr>
              <w:t>3</w:t>
            </w:r>
            <w:r>
              <w:rPr>
                <w:rFonts w:hint="eastAsia" w:ascii="Times New Roman" w:hAnsi="Times New Roman" w:eastAsia="仿宋_GB2312" w:cs="仿宋_GB2312"/>
                <w:highlight w:val="none"/>
              </w:rPr>
              <w:t>个月以内</w:t>
            </w:r>
          </w:p>
        </w:tc>
        <w:tc>
          <w:tcPr>
            <w:tcW w:w="2693" w:type="dxa"/>
            <w:vAlign w:val="center"/>
          </w:tcPr>
          <w:p>
            <w:pPr>
              <w:snapToGrid w:val="0"/>
              <w:jc w:val="center"/>
              <w:rPr>
                <w:rFonts w:ascii="Times New Roman" w:hAnsi="Times New Roman" w:cs="Times New Roman"/>
                <w:highlight w:val="none"/>
              </w:rPr>
            </w:pPr>
            <w:r>
              <w:rPr>
                <w:rFonts w:hint="eastAsia"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3</w:t>
            </w:r>
            <w:r>
              <w:rPr>
                <w:rFonts w:hint="eastAsia" w:ascii="Times New Roman" w:hAnsi="Times New Roman" w:eastAsia="仿宋_GB2312" w:cs="仿宋_GB2312"/>
                <w:sz w:val="21"/>
                <w:szCs w:val="21"/>
                <w:highlight w:val="none"/>
              </w:rPr>
              <w:t>个月以上</w:t>
            </w:r>
            <w:r>
              <w:rPr>
                <w:rFonts w:ascii="Times New Roman" w:hAnsi="Times New Roman" w:eastAsia="仿宋_GB2312" w:cs="Times New Roman"/>
                <w:sz w:val="21"/>
                <w:szCs w:val="21"/>
                <w:highlight w:val="none"/>
              </w:rPr>
              <w:t>6</w:t>
            </w:r>
            <w:r>
              <w:rPr>
                <w:rFonts w:hint="eastAsia" w:ascii="Times New Roman" w:hAnsi="Times New Roman" w:eastAsia="仿宋_GB2312" w:cs="仿宋_GB2312"/>
                <w:sz w:val="21"/>
                <w:szCs w:val="21"/>
                <w:highlight w:val="none"/>
              </w:rPr>
              <w:t>个月以内</w:t>
            </w:r>
          </w:p>
        </w:tc>
        <w:tc>
          <w:tcPr>
            <w:tcW w:w="2693" w:type="dxa"/>
            <w:vAlign w:val="center"/>
          </w:tcPr>
          <w:p>
            <w:pPr>
              <w:pStyle w:val="11"/>
              <w:snapToGrid w:val="0"/>
              <w:jc w:val="center"/>
              <w:rPr>
                <w:rFonts w:ascii="Times New Roman" w:hAnsi="Times New Roman" w:cs="Times New Roman"/>
                <w:sz w:val="21"/>
                <w:szCs w:val="21"/>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6</w:t>
            </w:r>
            <w:r>
              <w:rPr>
                <w:rFonts w:hint="eastAsia" w:ascii="Times New Roman" w:hAnsi="Times New Roman" w:eastAsia="仿宋_GB2312" w:cs="仿宋_GB2312"/>
                <w:sz w:val="21"/>
                <w:szCs w:val="21"/>
                <w:highlight w:val="none"/>
              </w:rPr>
              <w:t>个月以上12个月以内</w:t>
            </w:r>
          </w:p>
        </w:tc>
        <w:tc>
          <w:tcPr>
            <w:tcW w:w="2693" w:type="dxa"/>
            <w:vAlign w:val="center"/>
          </w:tcPr>
          <w:p>
            <w:pPr>
              <w:pStyle w:val="11"/>
              <w:snapToGrid w:val="0"/>
              <w:jc w:val="center"/>
              <w:rPr>
                <w:rFonts w:ascii="Times New Roman" w:hAnsi="Times New Roman" w:cs="Times New Roman"/>
                <w:sz w:val="21"/>
                <w:szCs w:val="21"/>
                <w:highlight w:val="none"/>
              </w:rPr>
            </w:pPr>
            <w:r>
              <w:rPr>
                <w:rFonts w:hint="eastAsia" w:ascii="Times New Roman" w:hAnsi="Times New Roman" w:cs="Times New Roman"/>
                <w:sz w:val="21"/>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12个月以上</w:t>
            </w:r>
          </w:p>
        </w:tc>
        <w:tc>
          <w:tcPr>
            <w:tcW w:w="2693" w:type="dxa"/>
            <w:vAlign w:val="center"/>
          </w:tcPr>
          <w:p>
            <w:pPr>
              <w:pStyle w:val="11"/>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（四）固体废物污染防治类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jc w:val="center"/>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未按照规定设置危险废物识别标志的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widowControl/>
              <w:ind w:firstLine="422"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b/>
                <w:bCs/>
                <w:kern w:val="0"/>
                <w:highlight w:val="none"/>
              </w:rPr>
              <w:t xml:space="preserve">《中华人民共和国固体废物污染环境防治法》第七十七条  </w:t>
            </w:r>
            <w:r>
              <w:rPr>
                <w:rFonts w:hint="eastAsia" w:ascii="Times New Roman" w:hAnsi="Times New Roman" w:eastAsia="仿宋_GB2312" w:cs="仿宋_GB2312"/>
                <w:kern w:val="0"/>
                <w:highlight w:val="none"/>
              </w:rPr>
              <w:t xml:space="preserve">危险废物的容器和包装物以及收集、贮存、运输、利用、处置危险废物的设施、场所，应当按照规定设置危险废物识别标志。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widowControl/>
              <w:ind w:firstLine="422"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b/>
                <w:bCs/>
                <w:kern w:val="0"/>
                <w:highlight w:val="none"/>
              </w:rPr>
              <w:t xml:space="preserve">《中华人民共和国固体废物污染环境防治法》第一百一十二条第一款第（一）项、第二款  </w:t>
            </w:r>
            <w:r>
              <w:rPr>
                <w:rFonts w:hint="eastAsia" w:ascii="Times New Roman" w:hAnsi="Times New Roman" w:eastAsia="仿宋_GB2312" w:cs="仿宋_GB2312"/>
                <w:kern w:val="0"/>
                <w:highlight w:val="none"/>
              </w:rPr>
              <w:t xml:space="preserve">违反本法规定，有下列行为之一，由生态环境主管部门责令改正，处以罚款，没收违法所得；情节严重的，报经有批准权的人民政府批准，可以责令停业或者关闭： </w:t>
            </w:r>
          </w:p>
          <w:p>
            <w:pPr>
              <w:widowControl/>
              <w:ind w:firstLine="420"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 xml:space="preserve">（一）未按照规定设置危险废物识别标志的； </w:t>
            </w:r>
          </w:p>
          <w:p>
            <w:pPr>
              <w:widowControl/>
              <w:ind w:firstLine="420"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违法事实★</w:t>
            </w: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危险废物识别标志设置不规范的</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部分</w:t>
            </w:r>
            <w:r>
              <w:rPr>
                <w:rFonts w:ascii="Times New Roman" w:hAnsi="Times New Roman" w:eastAsia="仿宋_GB2312" w:cs="Times New Roman"/>
                <w:sz w:val="21"/>
                <w:szCs w:val="21"/>
                <w:highlight w:val="none"/>
              </w:rPr>
              <w:t>危险废物未设置识别标志的</w:t>
            </w:r>
          </w:p>
        </w:tc>
        <w:tc>
          <w:tcPr>
            <w:tcW w:w="2693" w:type="dxa"/>
            <w:vAlign w:val="center"/>
          </w:tcPr>
          <w:p>
            <w:pPr>
              <w:snapToGrid w:val="0"/>
              <w:jc w:val="center"/>
              <w:rPr>
                <w:rFonts w:ascii="Times New Roman" w:hAnsi="Times New Roman" w:cs="Times New Roman"/>
                <w:highlight w:val="none"/>
              </w:rPr>
            </w:pPr>
            <w:r>
              <w:rPr>
                <w:rFonts w:hint="eastAsia"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危险废物均</w:t>
            </w:r>
            <w:r>
              <w:rPr>
                <w:rFonts w:hint="eastAsia" w:ascii="Times New Roman" w:hAnsi="Times New Roman" w:eastAsia="仿宋_GB2312" w:cs="Times New Roman"/>
                <w:sz w:val="21"/>
                <w:szCs w:val="21"/>
                <w:highlight w:val="none"/>
              </w:rPr>
              <w:t>未设置</w:t>
            </w:r>
            <w:r>
              <w:rPr>
                <w:rFonts w:hint="eastAsia" w:ascii="Times New Roman" w:hAnsi="Times New Roman" w:eastAsia="仿宋_GB2312" w:cs="仿宋_GB2312"/>
                <w:sz w:val="21"/>
                <w:szCs w:val="21"/>
                <w:highlight w:val="none"/>
              </w:rPr>
              <w:t>识别标志的</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Times New Roman"/>
                <w:b/>
                <w:bCs/>
                <w:highlight w:val="none"/>
              </w:rPr>
              <w:t>涉案危险</w:t>
            </w:r>
          </w:p>
          <w:p>
            <w:pPr>
              <w:snapToGrid w:val="0"/>
              <w:jc w:val="center"/>
              <w:rPr>
                <w:rFonts w:ascii="Times New Roman" w:hAnsi="Times New Roman" w:cs="Times New Roman"/>
                <w:b/>
                <w:bCs/>
                <w:highlight w:val="none"/>
              </w:rPr>
            </w:pPr>
            <w:r>
              <w:rPr>
                <w:rFonts w:hint="eastAsia" w:ascii="Times New Roman" w:hAnsi="Times New Roman" w:cs="Times New Roman"/>
                <w:b/>
                <w:bCs/>
                <w:highlight w:val="none"/>
              </w:rPr>
              <w:t>废物数量</w:t>
            </w: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1吨以下</w:t>
            </w:r>
          </w:p>
        </w:tc>
        <w:tc>
          <w:tcPr>
            <w:tcW w:w="2693" w:type="dxa"/>
            <w:vAlign w:val="center"/>
          </w:tcPr>
          <w:p>
            <w:pPr>
              <w:pStyle w:val="11"/>
              <w:snapToGrid w:val="0"/>
              <w:jc w:val="center"/>
              <w:rPr>
                <w:rFonts w:ascii="Times New Roman" w:hAnsi="Times New Roman" w:cs="Times New Roman"/>
                <w:sz w:val="21"/>
                <w:szCs w:val="21"/>
                <w:highlight w:val="none"/>
              </w:rPr>
            </w:pPr>
            <w:r>
              <w:rPr>
                <w:rFonts w:ascii="Times New Roman" w:hAnsi="Times New Roman" w:cs="Times New Roman"/>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1</w:t>
            </w:r>
            <w:r>
              <w:rPr>
                <w:rFonts w:hint="eastAsia" w:ascii="Times New Roman" w:hAnsi="Times New Roman" w:eastAsia="仿宋_GB2312" w:cs="仿宋_GB2312"/>
                <w:sz w:val="21"/>
                <w:szCs w:val="21"/>
                <w:highlight w:val="none"/>
              </w:rPr>
              <w:t>吨以上</w:t>
            </w:r>
            <w:r>
              <w:rPr>
                <w:rFonts w:ascii="Times New Roman" w:hAnsi="Times New Roman" w:eastAsia="仿宋_GB2312" w:cs="Times New Roman"/>
                <w:sz w:val="21"/>
                <w:szCs w:val="21"/>
                <w:highlight w:val="none"/>
              </w:rPr>
              <w:t>3</w:t>
            </w:r>
            <w:r>
              <w:rPr>
                <w:rFonts w:hint="eastAsia" w:ascii="Times New Roman" w:hAnsi="Times New Roman" w:eastAsia="仿宋_GB2312" w:cs="仿宋_GB2312"/>
                <w:sz w:val="21"/>
                <w:szCs w:val="21"/>
                <w:highlight w:val="none"/>
              </w:rPr>
              <w:t>吨以下</w:t>
            </w:r>
          </w:p>
        </w:tc>
        <w:tc>
          <w:tcPr>
            <w:tcW w:w="2693" w:type="dxa"/>
            <w:vAlign w:val="center"/>
          </w:tcPr>
          <w:p>
            <w:pPr>
              <w:pStyle w:val="11"/>
              <w:snapToGrid w:val="0"/>
              <w:jc w:val="center"/>
              <w:rPr>
                <w:rFonts w:ascii="Times New Roman" w:hAnsi="Times New Roman" w:cs="Times New Roman"/>
                <w:sz w:val="21"/>
                <w:szCs w:val="21"/>
                <w:highlight w:val="none"/>
              </w:rPr>
            </w:pPr>
            <w:r>
              <w:rPr>
                <w:rFonts w:ascii="Times New Roman" w:hAnsi="Times New Roman" w:cs="Times New Roman"/>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3</w:t>
            </w:r>
            <w:r>
              <w:rPr>
                <w:rFonts w:hint="eastAsia" w:ascii="Times New Roman" w:hAnsi="Times New Roman" w:eastAsia="仿宋_GB2312" w:cs="仿宋_GB2312"/>
                <w:sz w:val="21"/>
                <w:szCs w:val="21"/>
                <w:highlight w:val="none"/>
              </w:rPr>
              <w:t>吨以上</w:t>
            </w:r>
            <w:r>
              <w:rPr>
                <w:rFonts w:ascii="Times New Roman" w:hAnsi="Times New Roman" w:eastAsia="仿宋_GB2312" w:cs="Times New Roman"/>
                <w:sz w:val="21"/>
                <w:szCs w:val="21"/>
                <w:highlight w:val="none"/>
              </w:rPr>
              <w:t>5</w:t>
            </w:r>
            <w:r>
              <w:rPr>
                <w:rFonts w:hint="eastAsia" w:ascii="Times New Roman" w:hAnsi="Times New Roman" w:eastAsia="仿宋_GB2312" w:cs="仿宋_GB2312"/>
                <w:sz w:val="21"/>
                <w:szCs w:val="21"/>
                <w:highlight w:val="none"/>
              </w:rPr>
              <w:t>吨以下</w:t>
            </w:r>
          </w:p>
        </w:tc>
        <w:tc>
          <w:tcPr>
            <w:tcW w:w="2693" w:type="dxa"/>
            <w:vAlign w:val="center"/>
          </w:tcPr>
          <w:p>
            <w:pPr>
              <w:pStyle w:val="11"/>
              <w:snapToGrid w:val="0"/>
              <w:jc w:val="center"/>
              <w:rPr>
                <w:rFonts w:ascii="Times New Roman" w:hAnsi="Times New Roman" w:cs="Times New Roman"/>
                <w:sz w:val="21"/>
                <w:szCs w:val="21"/>
                <w:highlight w:val="none"/>
              </w:rPr>
            </w:pPr>
            <w:r>
              <w:rPr>
                <w:rFonts w:ascii="Times New Roman" w:hAnsi="Times New Roman" w:cs="Times New Roman"/>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5</w:t>
            </w:r>
            <w:r>
              <w:rPr>
                <w:rFonts w:hint="eastAsia" w:ascii="Times New Roman" w:hAnsi="Times New Roman" w:eastAsia="仿宋_GB2312" w:cs="仿宋_GB2312"/>
                <w:sz w:val="21"/>
                <w:szCs w:val="21"/>
                <w:highlight w:val="none"/>
              </w:rPr>
              <w:t>吨以上</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吨以下</w:t>
            </w:r>
          </w:p>
        </w:tc>
        <w:tc>
          <w:tcPr>
            <w:tcW w:w="2693" w:type="dxa"/>
            <w:vAlign w:val="center"/>
          </w:tcPr>
          <w:p>
            <w:pPr>
              <w:pStyle w:val="11"/>
              <w:snapToGrid w:val="0"/>
              <w:jc w:val="center"/>
              <w:rPr>
                <w:rFonts w:ascii="Times New Roman" w:hAnsi="Times New Roman" w:cs="Times New Roman"/>
                <w:sz w:val="21"/>
                <w:szCs w:val="21"/>
                <w:highlight w:val="none"/>
              </w:rPr>
            </w:pPr>
            <w:r>
              <w:rPr>
                <w:rFonts w:ascii="Times New Roman" w:hAnsi="Times New Roman" w:cs="Times New Roman"/>
                <w:sz w:val="21"/>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吨以上</w:t>
            </w:r>
          </w:p>
        </w:tc>
        <w:tc>
          <w:tcPr>
            <w:tcW w:w="2693" w:type="dxa"/>
            <w:vAlign w:val="center"/>
          </w:tcPr>
          <w:p>
            <w:pPr>
              <w:pStyle w:val="11"/>
              <w:snapToGrid w:val="0"/>
              <w:jc w:val="center"/>
              <w:rPr>
                <w:rFonts w:ascii="Times New Roman" w:hAnsi="Times New Roman" w:cs="Times New Roman"/>
                <w:sz w:val="21"/>
                <w:szCs w:val="21"/>
                <w:highlight w:val="none"/>
              </w:rPr>
            </w:pPr>
            <w:r>
              <w:rPr>
                <w:rFonts w:ascii="Times New Roman" w:hAnsi="Times New Roman" w:cs="Times New Roman"/>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71" w:type="dxa"/>
            <w:vMerge w:val="restart"/>
            <w:vAlign w:val="center"/>
          </w:tcPr>
          <w:p>
            <w:pPr>
              <w:snapToGrid w:val="0"/>
              <w:jc w:val="center"/>
              <w:rPr>
                <w:rFonts w:ascii="Times New Roman" w:hAnsi="Times New Roman" w:cs="宋体"/>
                <w:b/>
                <w:bCs/>
                <w:highlight w:val="none"/>
              </w:rPr>
            </w:pPr>
            <w:r>
              <w:rPr>
                <w:rFonts w:hint="eastAsia" w:ascii="Times New Roman" w:hAnsi="Times New Roman" w:cs="宋体"/>
                <w:b/>
                <w:bCs/>
                <w:highlight w:val="none"/>
              </w:rPr>
              <w:t>违法行为</w:t>
            </w:r>
          </w:p>
          <w:p>
            <w:pPr>
              <w:snapToGrid w:val="0"/>
              <w:jc w:val="center"/>
              <w:rPr>
                <w:rFonts w:ascii="Times New Roman" w:hAnsi="Times New Roman" w:cs="宋体"/>
                <w:b/>
                <w:bCs/>
                <w:highlight w:val="none"/>
              </w:rPr>
            </w:pPr>
            <w:r>
              <w:rPr>
                <w:rFonts w:hint="eastAsia" w:ascii="Times New Roman" w:hAnsi="Times New Roman" w:cs="宋体"/>
                <w:b/>
                <w:bCs/>
                <w:highlight w:val="none"/>
              </w:rPr>
              <w:t>持续时间</w:t>
            </w:r>
          </w:p>
        </w:tc>
        <w:tc>
          <w:tcPr>
            <w:tcW w:w="5245" w:type="dxa"/>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3个月以下</w:t>
            </w:r>
          </w:p>
        </w:tc>
        <w:tc>
          <w:tcPr>
            <w:tcW w:w="2693" w:type="dxa"/>
            <w:vAlign w:val="center"/>
          </w:tcPr>
          <w:p>
            <w:pPr>
              <w:snapToGrid w:val="0"/>
              <w:jc w:val="center"/>
              <w:rPr>
                <w:rFonts w:ascii="Times New Roman" w:hAnsi="Times New Roman" w:cs="Times New Roman"/>
                <w:highlight w:val="none"/>
              </w:rPr>
            </w:pPr>
            <w:r>
              <w:rPr>
                <w:rFonts w:hint="eastAsia"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71" w:type="dxa"/>
            <w:vMerge w:val="continue"/>
            <w:vAlign w:val="center"/>
          </w:tcPr>
          <w:p>
            <w:pPr>
              <w:snapToGrid w:val="0"/>
              <w:jc w:val="center"/>
              <w:rPr>
                <w:rFonts w:ascii="Times New Roman" w:hAnsi="Times New Roman" w:cs="宋体"/>
                <w:b/>
                <w:bCs/>
                <w:highlight w:val="none"/>
              </w:rPr>
            </w:pPr>
          </w:p>
        </w:tc>
        <w:tc>
          <w:tcPr>
            <w:tcW w:w="5245" w:type="dxa"/>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3个月以上6个月以下</w:t>
            </w:r>
          </w:p>
        </w:tc>
        <w:tc>
          <w:tcPr>
            <w:tcW w:w="2693" w:type="dxa"/>
            <w:vAlign w:val="center"/>
          </w:tcPr>
          <w:p>
            <w:pPr>
              <w:snapToGrid w:val="0"/>
              <w:jc w:val="center"/>
              <w:rPr>
                <w:rFonts w:ascii="Times New Roman" w:hAnsi="Times New Roman" w:cs="Times New Roman"/>
                <w:highlight w:val="none"/>
              </w:rPr>
            </w:pPr>
            <w:r>
              <w:rPr>
                <w:rFonts w:hint="eastAsia"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71" w:type="dxa"/>
            <w:vMerge w:val="continue"/>
            <w:vAlign w:val="center"/>
          </w:tcPr>
          <w:p>
            <w:pPr>
              <w:snapToGrid w:val="0"/>
              <w:jc w:val="center"/>
              <w:rPr>
                <w:rFonts w:ascii="Times New Roman" w:hAnsi="Times New Roman" w:cs="宋体"/>
                <w:b/>
                <w:bCs/>
                <w:highlight w:val="none"/>
              </w:rPr>
            </w:pPr>
          </w:p>
        </w:tc>
        <w:tc>
          <w:tcPr>
            <w:tcW w:w="5245" w:type="dxa"/>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6个月以上12个月以下</w:t>
            </w:r>
          </w:p>
        </w:tc>
        <w:tc>
          <w:tcPr>
            <w:tcW w:w="2693" w:type="dxa"/>
            <w:vAlign w:val="center"/>
          </w:tcPr>
          <w:p>
            <w:pPr>
              <w:snapToGrid w:val="0"/>
              <w:jc w:val="center"/>
              <w:rPr>
                <w:rFonts w:ascii="Times New Roman" w:hAnsi="Times New Roman" w:cs="Times New Roman"/>
                <w:highlight w:val="none"/>
              </w:rPr>
            </w:pPr>
            <w:r>
              <w:rPr>
                <w:rFonts w:hint="eastAsia"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71" w:type="dxa"/>
            <w:vMerge w:val="continue"/>
            <w:vAlign w:val="center"/>
          </w:tcPr>
          <w:p>
            <w:pPr>
              <w:snapToGrid w:val="0"/>
              <w:jc w:val="center"/>
              <w:rPr>
                <w:rFonts w:ascii="Times New Roman" w:hAnsi="Times New Roman" w:cs="宋体"/>
                <w:b/>
                <w:bCs/>
                <w:highlight w:val="none"/>
              </w:rPr>
            </w:pPr>
          </w:p>
        </w:tc>
        <w:tc>
          <w:tcPr>
            <w:tcW w:w="5245" w:type="dxa"/>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12个月以上</w:t>
            </w:r>
          </w:p>
        </w:tc>
        <w:tc>
          <w:tcPr>
            <w:tcW w:w="2693" w:type="dxa"/>
            <w:vAlign w:val="center"/>
          </w:tcPr>
          <w:p>
            <w:pPr>
              <w:snapToGrid w:val="0"/>
              <w:jc w:val="center"/>
              <w:rPr>
                <w:rFonts w:ascii="Times New Roman" w:hAnsi="Times New Roman" w:cs="Times New Roman"/>
                <w:highlight w:val="none"/>
              </w:rPr>
            </w:pPr>
            <w:r>
              <w:rPr>
                <w:rFonts w:hint="eastAsia"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（四）固体废物污染防治类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kern w:val="0"/>
                <w:highlight w:val="none"/>
              </w:rPr>
              <w:t>未按照国家有关规定制定危险废物管理计划或者申报危险废物有关资料的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snapToGrid w:val="0"/>
              <w:ind w:firstLine="422"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b/>
                <w:bCs/>
                <w:kern w:val="0"/>
                <w:highlight w:val="none"/>
              </w:rPr>
              <w:t>《中华人民共和国固体废物污染环境防治法》第七十八条第一款</w:t>
            </w:r>
            <w:r>
              <w:rPr>
                <w:rFonts w:hint="eastAsia" w:ascii="Times New Roman" w:hAnsi="Times New Roman" w:eastAsia="仿宋_GB2312" w:cs="仿宋_GB2312"/>
                <w:kern w:val="0"/>
                <w:highlight w:val="none"/>
              </w:rPr>
              <w:t xml:space="preserve">  产生危险废物的单位，应当按照国家有关规定制定危险废物管理计划；建立危险废物管理台账，如实记录有关信息，并通过国家危险废物信息管理系统向所在地生态环境主管部门申报危险废物的种类、产生量、流向、贮存、处置等有关资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snapToGrid w:val="0"/>
              <w:ind w:firstLine="422"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b/>
                <w:bCs/>
                <w:kern w:val="0"/>
                <w:highlight w:val="none"/>
              </w:rPr>
              <w:t>《中华人民共和国固体废物污染环境防治法》第一百一十二条第一款第（二）项、第二款</w:t>
            </w:r>
            <w:r>
              <w:rPr>
                <w:rFonts w:hint="eastAsia" w:ascii="Times New Roman" w:hAnsi="Times New Roman" w:eastAsia="仿宋_GB2312" w:cs="仿宋_GB2312"/>
                <w:kern w:val="0"/>
                <w:highlight w:val="none"/>
              </w:rPr>
              <w:t xml:space="preserve">  违反本法规定，有下列行为之一，由生态环境主管部门责令改正，处以罚款，没收违法所得；情节严重的，报经有批准权的人民政府批准，可以责令停业或者关闭： </w:t>
            </w:r>
          </w:p>
          <w:p>
            <w:pPr>
              <w:snapToGrid w:val="0"/>
              <w:jc w:val="left"/>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 xml:space="preserve">（二）未按照国家有关规定制定危险废物管理计划或者申报危险废物有关资料的； </w:t>
            </w:r>
          </w:p>
          <w:p>
            <w:pPr>
              <w:snapToGrid w:val="0"/>
              <w:ind w:firstLine="420"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违法事实★</w:t>
            </w:r>
          </w:p>
        </w:tc>
        <w:tc>
          <w:tcPr>
            <w:tcW w:w="5245"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已制定危险废物管理计划，但申报不规范的</w:t>
            </w:r>
          </w:p>
        </w:tc>
        <w:tc>
          <w:tcPr>
            <w:tcW w:w="2693" w:type="dxa"/>
            <w:vAlign w:val="center"/>
          </w:tcPr>
          <w:p>
            <w:pPr>
              <w:pStyle w:val="11"/>
              <w:snapToGrid w:val="0"/>
              <w:jc w:val="center"/>
              <w:rPr>
                <w:rFonts w:ascii="Times New Roman" w:hAnsi="Times New Roman" w:cs="Times New Roman"/>
                <w:sz w:val="21"/>
                <w:szCs w:val="21"/>
                <w:highlight w:val="none"/>
              </w:rPr>
            </w:pPr>
            <w:r>
              <w:rPr>
                <w:rFonts w:ascii="Times New Roman" w:hAnsi="Times New Roman" w:cs="Times New Roman"/>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已制定危险废物管理计划，未进行申报的</w:t>
            </w:r>
          </w:p>
        </w:tc>
        <w:tc>
          <w:tcPr>
            <w:tcW w:w="2693" w:type="dxa"/>
            <w:vAlign w:val="center"/>
          </w:tcPr>
          <w:p>
            <w:pPr>
              <w:pStyle w:val="11"/>
              <w:snapToGrid w:val="0"/>
              <w:jc w:val="center"/>
              <w:rPr>
                <w:rFonts w:ascii="Times New Roman" w:hAnsi="Times New Roman" w:cs="Times New Roman"/>
                <w:sz w:val="21"/>
                <w:szCs w:val="21"/>
                <w:highlight w:val="none"/>
              </w:rPr>
            </w:pPr>
            <w:r>
              <w:rPr>
                <w:rFonts w:hint="eastAsia" w:ascii="Times New Roman" w:hAnsi="Times New Roman" w:cs="Times New Roman"/>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未制定危险废物管理计划的</w:t>
            </w:r>
          </w:p>
        </w:tc>
        <w:tc>
          <w:tcPr>
            <w:tcW w:w="2693" w:type="dxa"/>
            <w:vAlign w:val="center"/>
          </w:tcPr>
          <w:p>
            <w:pPr>
              <w:pStyle w:val="11"/>
              <w:snapToGrid w:val="0"/>
              <w:jc w:val="center"/>
              <w:rPr>
                <w:rFonts w:ascii="Times New Roman" w:hAnsi="Times New Roman" w:cs="Times New Roman"/>
                <w:sz w:val="21"/>
                <w:szCs w:val="21"/>
                <w:highlight w:val="none"/>
              </w:rPr>
            </w:pPr>
            <w:r>
              <w:rPr>
                <w:rFonts w:hint="eastAsia" w:ascii="Times New Roman" w:hAnsi="Times New Roman" w:cs="Times New Roman"/>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宋体"/>
                <w:b/>
                <w:bCs/>
                <w:highlight w:val="none"/>
              </w:rPr>
            </w:pPr>
            <w:r>
              <w:rPr>
                <w:rFonts w:hint="eastAsia" w:ascii="Times New Roman" w:hAnsi="Times New Roman" w:cs="宋体"/>
                <w:b/>
                <w:bCs/>
                <w:highlight w:val="none"/>
              </w:rPr>
              <w:t>申报登记</w:t>
            </w:r>
          </w:p>
          <w:p>
            <w:pPr>
              <w:snapToGrid w:val="0"/>
              <w:jc w:val="center"/>
              <w:rPr>
                <w:rFonts w:ascii="Times New Roman" w:hAnsi="Times New Roman" w:cs="Times New Roman"/>
                <w:highlight w:val="none"/>
              </w:rPr>
            </w:pPr>
            <w:r>
              <w:rPr>
                <w:rFonts w:hint="eastAsia" w:ascii="Times New Roman" w:hAnsi="Times New Roman" w:cs="宋体"/>
                <w:b/>
                <w:bCs/>
                <w:highlight w:val="none"/>
              </w:rPr>
              <w:t>数量</w:t>
            </w: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危险废物1吨以下</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危险废物1吨以上不足5吨</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危险废物5吨以上不足10吨</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危险废物10吨以上不足20吨</w:t>
            </w:r>
          </w:p>
        </w:tc>
        <w:tc>
          <w:tcPr>
            <w:tcW w:w="2693" w:type="dxa"/>
            <w:vAlign w:val="center"/>
          </w:tcPr>
          <w:p>
            <w:pPr>
              <w:snapToGrid w:val="0"/>
              <w:jc w:val="center"/>
              <w:rPr>
                <w:rFonts w:ascii="Times New Roman" w:hAnsi="Times New Roman" w:cs="Times New Roman"/>
                <w:highlight w:val="none"/>
              </w:rPr>
            </w:pPr>
            <w:r>
              <w:rPr>
                <w:rFonts w:hint="eastAsia"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20吨以上</w:t>
            </w:r>
          </w:p>
        </w:tc>
        <w:tc>
          <w:tcPr>
            <w:tcW w:w="2693" w:type="dxa"/>
            <w:vAlign w:val="center"/>
          </w:tcPr>
          <w:p>
            <w:pPr>
              <w:snapToGrid w:val="0"/>
              <w:jc w:val="center"/>
              <w:rPr>
                <w:rFonts w:ascii="Times New Roman" w:hAnsi="Times New Roman" w:cs="Times New Roman"/>
                <w:highlight w:val="none"/>
              </w:rPr>
            </w:pPr>
            <w:r>
              <w:rPr>
                <w:rFonts w:hint="eastAsia"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Times New Roman"/>
                <w:b/>
                <w:bCs/>
                <w:highlight w:val="none"/>
              </w:rPr>
              <w:t>逾期时间</w:t>
            </w:r>
          </w:p>
        </w:tc>
        <w:tc>
          <w:tcPr>
            <w:tcW w:w="524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r>
              <w:rPr>
                <w:rFonts w:hint="eastAsia" w:ascii="Times New Roman" w:hAnsi="Times New Roman" w:eastAsia="仿宋_GB2312" w:cs="仿宋_GB2312"/>
                <w:highlight w:val="none"/>
              </w:rPr>
              <w:t>个月以内</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3</w:t>
            </w:r>
            <w:r>
              <w:rPr>
                <w:rFonts w:hint="eastAsia" w:ascii="Times New Roman" w:hAnsi="Times New Roman" w:eastAsia="仿宋_GB2312" w:cs="仿宋_GB2312"/>
                <w:sz w:val="21"/>
                <w:szCs w:val="21"/>
                <w:highlight w:val="none"/>
              </w:rPr>
              <w:t>个月以上</w:t>
            </w:r>
            <w:r>
              <w:rPr>
                <w:rFonts w:ascii="Times New Roman" w:hAnsi="Times New Roman" w:eastAsia="仿宋_GB2312" w:cs="Times New Roman"/>
                <w:sz w:val="21"/>
                <w:szCs w:val="21"/>
                <w:highlight w:val="none"/>
              </w:rPr>
              <w:t>6</w:t>
            </w:r>
            <w:r>
              <w:rPr>
                <w:rFonts w:hint="eastAsia" w:ascii="Times New Roman" w:hAnsi="Times New Roman" w:eastAsia="仿宋_GB2312" w:cs="仿宋_GB2312"/>
                <w:sz w:val="21"/>
                <w:szCs w:val="21"/>
                <w:highlight w:val="none"/>
              </w:rPr>
              <w:t>个月以内</w:t>
            </w:r>
          </w:p>
        </w:tc>
        <w:tc>
          <w:tcPr>
            <w:tcW w:w="2693" w:type="dxa"/>
            <w:vAlign w:val="center"/>
          </w:tcPr>
          <w:p>
            <w:pPr>
              <w:pStyle w:val="11"/>
              <w:snapToGrid w:val="0"/>
              <w:jc w:val="center"/>
              <w:rPr>
                <w:rFonts w:ascii="Times New Roman" w:hAnsi="Times New Roman" w:cs="Times New Roman"/>
                <w:sz w:val="21"/>
                <w:szCs w:val="21"/>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6</w:t>
            </w:r>
            <w:r>
              <w:rPr>
                <w:rFonts w:hint="eastAsia" w:ascii="Times New Roman" w:hAnsi="Times New Roman" w:eastAsia="仿宋_GB2312" w:cs="仿宋_GB2312"/>
                <w:sz w:val="21"/>
                <w:szCs w:val="21"/>
                <w:highlight w:val="none"/>
              </w:rPr>
              <w:t>个月以上</w:t>
            </w:r>
          </w:p>
        </w:tc>
        <w:tc>
          <w:tcPr>
            <w:tcW w:w="2693" w:type="dxa"/>
            <w:vAlign w:val="center"/>
          </w:tcPr>
          <w:p>
            <w:pPr>
              <w:pStyle w:val="11"/>
              <w:snapToGrid w:val="0"/>
              <w:jc w:val="center"/>
              <w:rPr>
                <w:rFonts w:ascii="Times New Roman" w:hAnsi="Times New Roman" w:cs="Times New Roman"/>
                <w:sz w:val="21"/>
                <w:szCs w:val="21"/>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500"/>
        <w:gridCol w:w="2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（四）固体废物污染防治类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kern w:val="0"/>
                <w:highlight w:val="none"/>
              </w:rPr>
              <w:t>擅自倾倒、堆放危险废物的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snapToGrid w:val="0"/>
              <w:ind w:firstLine="422"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b/>
                <w:bCs/>
                <w:kern w:val="0"/>
                <w:highlight w:val="none"/>
              </w:rPr>
              <w:t>《中华人民共和国固体废物污染环境防治法》第七十九条</w:t>
            </w:r>
            <w:r>
              <w:rPr>
                <w:rFonts w:hint="eastAsia" w:ascii="Times New Roman" w:hAnsi="Times New Roman" w:eastAsia="仿宋_GB2312" w:cs="仿宋_GB2312"/>
                <w:kern w:val="0"/>
                <w:highlight w:val="none"/>
              </w:rPr>
              <w:t xml:space="preserve">  产生危险废物的单位，应当按照国家有关规定和环境保护标准要求贮存、利用、处置危险废物，不得擅自倾倒、堆放。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snapToGrid w:val="0"/>
              <w:ind w:firstLine="422"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b/>
                <w:bCs/>
                <w:kern w:val="0"/>
                <w:highlight w:val="none"/>
              </w:rPr>
              <w:t>《中华人民共和国固体废物污染环境防治法》第一百一十二条第一款第（三）项、第二款</w:t>
            </w:r>
            <w:r>
              <w:rPr>
                <w:rFonts w:hint="eastAsia" w:ascii="Times New Roman" w:hAnsi="Times New Roman" w:eastAsia="仿宋_GB2312" w:cs="仿宋_GB2312"/>
                <w:kern w:val="0"/>
                <w:highlight w:val="none"/>
              </w:rPr>
              <w:t xml:space="preserve">  违反本法规定，有下列行为之一，由生态环境主管部门责令改正，处以罚款，没收违法所得；情节严重的，报经有批准权的人民政府批准，可以责令停业或者关闭： </w:t>
            </w:r>
          </w:p>
          <w:p>
            <w:pPr>
              <w:snapToGrid w:val="0"/>
              <w:ind w:firstLine="420"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 xml:space="preserve">（三）擅自倾倒、堆放危险废物的； </w:t>
            </w:r>
          </w:p>
          <w:p>
            <w:pPr>
              <w:snapToGrid w:val="0"/>
              <w:ind w:firstLine="420"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 xml:space="preserve">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500"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438"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Times New Roman"/>
                <w:b/>
                <w:bCs/>
                <w:highlight w:val="none"/>
              </w:rPr>
              <w:t>涉及危险</w:t>
            </w:r>
          </w:p>
          <w:p>
            <w:pPr>
              <w:snapToGrid w:val="0"/>
              <w:jc w:val="center"/>
              <w:rPr>
                <w:rFonts w:ascii="Times New Roman" w:hAnsi="Times New Roman" w:cs="Times New Roman"/>
                <w:b/>
                <w:bCs/>
                <w:highlight w:val="none"/>
              </w:rPr>
            </w:pPr>
            <w:r>
              <w:rPr>
                <w:rFonts w:hint="eastAsia" w:ascii="Times New Roman" w:hAnsi="Times New Roman" w:cs="Times New Roman"/>
                <w:b/>
                <w:bCs/>
                <w:highlight w:val="none"/>
              </w:rPr>
              <w:t>废物数量</w:t>
            </w:r>
            <w:r>
              <w:rPr>
                <w:rFonts w:hint="eastAsia" w:ascii="Times New Roman" w:hAnsi="Times New Roman" w:cs="宋体"/>
                <w:b/>
                <w:bCs/>
                <w:highlight w:val="none"/>
              </w:rPr>
              <w:t>★</w:t>
            </w:r>
          </w:p>
        </w:tc>
        <w:tc>
          <w:tcPr>
            <w:tcW w:w="5500"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1吨以下的</w:t>
            </w:r>
          </w:p>
        </w:tc>
        <w:tc>
          <w:tcPr>
            <w:tcW w:w="2438"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jc w:val="center"/>
              <w:rPr>
                <w:rFonts w:ascii="Times New Roman" w:hAnsi="Times New Roman" w:cs="Times New Roman"/>
                <w:b/>
                <w:bCs/>
                <w:highlight w:val="none"/>
              </w:rPr>
            </w:pPr>
          </w:p>
        </w:tc>
        <w:tc>
          <w:tcPr>
            <w:tcW w:w="5500"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1吨以上不足3吨的</w:t>
            </w:r>
          </w:p>
        </w:tc>
        <w:tc>
          <w:tcPr>
            <w:tcW w:w="2438" w:type="dxa"/>
            <w:vAlign w:val="center"/>
          </w:tcPr>
          <w:p>
            <w:pPr>
              <w:pStyle w:val="11"/>
              <w:snapToGrid w:val="0"/>
              <w:jc w:val="center"/>
              <w:rPr>
                <w:rFonts w:ascii="Times New Roman" w:hAnsi="Times New Roman" w:cs="Times New Roman"/>
                <w:sz w:val="21"/>
                <w:szCs w:val="21"/>
                <w:highlight w:val="none"/>
              </w:rPr>
            </w:pPr>
            <w:r>
              <w:rPr>
                <w:rFonts w:ascii="Times New Roman" w:hAnsi="Times New Roman" w:cs="Times New Roman"/>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jc w:val="center"/>
              <w:rPr>
                <w:rFonts w:ascii="Times New Roman" w:hAnsi="Times New Roman" w:cs="Times New Roman"/>
                <w:b/>
                <w:bCs/>
                <w:highlight w:val="none"/>
              </w:rPr>
            </w:pPr>
          </w:p>
        </w:tc>
        <w:tc>
          <w:tcPr>
            <w:tcW w:w="5500"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3吨以上不足5吨的</w:t>
            </w:r>
          </w:p>
        </w:tc>
        <w:tc>
          <w:tcPr>
            <w:tcW w:w="2438" w:type="dxa"/>
            <w:vAlign w:val="center"/>
          </w:tcPr>
          <w:p>
            <w:pPr>
              <w:pStyle w:val="11"/>
              <w:snapToGrid w:val="0"/>
              <w:jc w:val="center"/>
              <w:rPr>
                <w:rFonts w:ascii="Times New Roman" w:hAnsi="Times New Roman" w:cs="Times New Roman"/>
                <w:sz w:val="21"/>
                <w:szCs w:val="21"/>
                <w:highlight w:val="none"/>
              </w:rPr>
            </w:pPr>
            <w:r>
              <w:rPr>
                <w:rFonts w:ascii="Times New Roman" w:hAnsi="Times New Roman" w:cs="Times New Roman"/>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jc w:val="center"/>
              <w:rPr>
                <w:rFonts w:ascii="Times New Roman" w:hAnsi="Times New Roman" w:cs="Times New Roman"/>
                <w:b/>
                <w:bCs/>
                <w:highlight w:val="none"/>
              </w:rPr>
            </w:pPr>
          </w:p>
        </w:tc>
        <w:tc>
          <w:tcPr>
            <w:tcW w:w="5500"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5吨以上不足10吨的</w:t>
            </w:r>
          </w:p>
        </w:tc>
        <w:tc>
          <w:tcPr>
            <w:tcW w:w="2438" w:type="dxa"/>
            <w:vAlign w:val="center"/>
          </w:tcPr>
          <w:p>
            <w:pPr>
              <w:pStyle w:val="11"/>
              <w:snapToGrid w:val="0"/>
              <w:jc w:val="center"/>
              <w:rPr>
                <w:rFonts w:ascii="Times New Roman" w:hAnsi="Times New Roman" w:cs="Times New Roman"/>
                <w:sz w:val="21"/>
                <w:szCs w:val="21"/>
                <w:highlight w:val="none"/>
              </w:rPr>
            </w:pPr>
            <w:r>
              <w:rPr>
                <w:rFonts w:ascii="Times New Roman" w:hAnsi="Times New Roman" w:cs="Times New Roman"/>
                <w:sz w:val="21"/>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jc w:val="center"/>
              <w:rPr>
                <w:rFonts w:ascii="Times New Roman" w:hAnsi="Times New Roman" w:cs="Times New Roman"/>
                <w:b/>
                <w:bCs/>
                <w:highlight w:val="none"/>
              </w:rPr>
            </w:pPr>
          </w:p>
        </w:tc>
        <w:tc>
          <w:tcPr>
            <w:tcW w:w="5500"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10吨以上的</w:t>
            </w:r>
          </w:p>
        </w:tc>
        <w:tc>
          <w:tcPr>
            <w:tcW w:w="2438" w:type="dxa"/>
            <w:vAlign w:val="center"/>
          </w:tcPr>
          <w:p>
            <w:pPr>
              <w:pStyle w:val="11"/>
              <w:snapToGrid w:val="0"/>
              <w:jc w:val="center"/>
              <w:rPr>
                <w:rFonts w:ascii="Times New Roman" w:hAnsi="Times New Roman" w:cs="Times New Roman"/>
                <w:sz w:val="21"/>
                <w:szCs w:val="21"/>
                <w:highlight w:val="none"/>
              </w:rPr>
            </w:pPr>
            <w:r>
              <w:rPr>
                <w:rFonts w:ascii="Times New Roman" w:hAnsi="Times New Roman" w:cs="Times New Roman"/>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发生地环境</w:t>
            </w:r>
          </w:p>
          <w:p>
            <w:pPr>
              <w:snapToGrid w:val="0"/>
              <w:jc w:val="center"/>
              <w:rPr>
                <w:rFonts w:ascii="Times New Roman" w:hAnsi="Times New Roman" w:eastAsia="仿宋_GB2312" w:cs="仿宋_GB2312"/>
                <w:highlight w:val="none"/>
              </w:rPr>
            </w:pPr>
            <w:r>
              <w:rPr>
                <w:rFonts w:hint="eastAsia" w:ascii="Times New Roman" w:hAnsi="Times New Roman" w:cs="宋体"/>
                <w:b/>
                <w:bCs/>
                <w:highlight w:val="none"/>
              </w:rPr>
              <w:t>敏感程度★</w:t>
            </w:r>
          </w:p>
        </w:tc>
        <w:tc>
          <w:tcPr>
            <w:tcW w:w="5500" w:type="dxa"/>
            <w:vAlign w:val="center"/>
          </w:tcPr>
          <w:p>
            <w:pPr>
              <w:pStyle w:val="11"/>
              <w:snapToGrid w:val="0"/>
              <w:jc w:val="center"/>
              <w:rPr>
                <w:rFonts w:ascii="Times New Roman" w:hAnsi="Times New Roman" w:eastAsia="仿宋_GB2312" w:cs="仿宋_GB2312"/>
                <w:highlight w:val="none"/>
              </w:rPr>
            </w:pPr>
            <w:r>
              <w:rPr>
                <w:rFonts w:hint="eastAsia" w:ascii="Times New Roman" w:hAnsi="Times New Roman" w:eastAsia="仿宋_GB2312" w:cs="仿宋_GB2312"/>
                <w:sz w:val="21"/>
                <w:szCs w:val="21"/>
                <w:highlight w:val="none"/>
              </w:rPr>
              <w:t>第二类建设用地</w:t>
            </w:r>
          </w:p>
        </w:tc>
        <w:tc>
          <w:tcPr>
            <w:tcW w:w="2438" w:type="dxa"/>
            <w:vAlign w:val="center"/>
          </w:tcPr>
          <w:p>
            <w:pPr>
              <w:snapToGrid w:val="0"/>
              <w:jc w:val="center"/>
              <w:rPr>
                <w:rFonts w:ascii="Times New Roman" w:hAnsi="Times New Roman" w:eastAsia="仿宋_GB2312" w:cs="仿宋_GB2312"/>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jc w:val="center"/>
              <w:rPr>
                <w:rFonts w:ascii="Times New Roman" w:hAnsi="Times New Roman" w:eastAsia="仿宋_GB2312" w:cs="仿宋_GB2312"/>
                <w:highlight w:val="none"/>
              </w:rPr>
            </w:pPr>
          </w:p>
        </w:tc>
        <w:tc>
          <w:tcPr>
            <w:tcW w:w="5500" w:type="dxa"/>
            <w:vAlign w:val="center"/>
          </w:tcPr>
          <w:p>
            <w:pPr>
              <w:pStyle w:val="11"/>
              <w:snapToGrid w:val="0"/>
              <w:jc w:val="center"/>
              <w:rPr>
                <w:rFonts w:ascii="Times New Roman" w:hAnsi="Times New Roman" w:eastAsia="仿宋_GB2312" w:cs="仿宋_GB2312"/>
                <w:highlight w:val="none"/>
              </w:rPr>
            </w:pPr>
            <w:r>
              <w:rPr>
                <w:rFonts w:hint="eastAsia" w:ascii="Times New Roman" w:hAnsi="Times New Roman" w:eastAsia="仿宋_GB2312" w:cs="仿宋_GB2312"/>
                <w:sz w:val="21"/>
                <w:szCs w:val="21"/>
                <w:highlight w:val="none"/>
              </w:rPr>
              <w:t>第一类建设用地</w:t>
            </w:r>
          </w:p>
        </w:tc>
        <w:tc>
          <w:tcPr>
            <w:tcW w:w="2438" w:type="dxa"/>
            <w:vAlign w:val="center"/>
          </w:tcPr>
          <w:p>
            <w:pPr>
              <w:snapToGrid w:val="0"/>
              <w:jc w:val="center"/>
              <w:rPr>
                <w:rFonts w:ascii="Times New Roman" w:hAnsi="Times New Roman" w:eastAsia="仿宋_GB2312" w:cs="仿宋_GB2312"/>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jc w:val="center"/>
              <w:rPr>
                <w:rFonts w:ascii="Times New Roman" w:hAnsi="Times New Roman" w:eastAsia="仿宋_GB2312" w:cs="仿宋_GB2312"/>
                <w:highlight w:val="none"/>
              </w:rPr>
            </w:pPr>
          </w:p>
        </w:tc>
        <w:tc>
          <w:tcPr>
            <w:tcW w:w="5500" w:type="dxa"/>
            <w:vAlign w:val="center"/>
          </w:tcPr>
          <w:p>
            <w:pPr>
              <w:pStyle w:val="11"/>
              <w:snapToGrid w:val="0"/>
              <w:jc w:val="center"/>
              <w:rPr>
                <w:rFonts w:ascii="Times New Roman" w:hAnsi="Times New Roman" w:eastAsia="仿宋_GB2312" w:cs="仿宋_GB2312"/>
                <w:highlight w:val="none"/>
              </w:rPr>
            </w:pPr>
            <w:r>
              <w:rPr>
                <w:rFonts w:hint="eastAsia" w:ascii="Times New Roman" w:hAnsi="Times New Roman" w:eastAsia="仿宋_GB2312" w:cs="仿宋_GB2312"/>
                <w:sz w:val="21"/>
                <w:szCs w:val="21"/>
                <w:highlight w:val="none"/>
              </w:rPr>
              <w:t>严格管控类农用地</w:t>
            </w:r>
          </w:p>
        </w:tc>
        <w:tc>
          <w:tcPr>
            <w:tcW w:w="2438" w:type="dxa"/>
            <w:vAlign w:val="center"/>
          </w:tcPr>
          <w:p>
            <w:pPr>
              <w:snapToGrid w:val="0"/>
              <w:jc w:val="center"/>
              <w:rPr>
                <w:rFonts w:ascii="Times New Roman" w:hAnsi="Times New Roman" w:eastAsia="仿宋_GB2312" w:cs="仿宋_GB2312"/>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jc w:val="center"/>
              <w:rPr>
                <w:rFonts w:ascii="Times New Roman" w:hAnsi="Times New Roman" w:eastAsia="仿宋_GB2312" w:cs="仿宋_GB2312"/>
                <w:highlight w:val="none"/>
              </w:rPr>
            </w:pPr>
          </w:p>
        </w:tc>
        <w:tc>
          <w:tcPr>
            <w:tcW w:w="5500" w:type="dxa"/>
            <w:vAlign w:val="center"/>
          </w:tcPr>
          <w:p>
            <w:pPr>
              <w:pStyle w:val="11"/>
              <w:snapToGrid w:val="0"/>
              <w:jc w:val="center"/>
              <w:rPr>
                <w:rFonts w:ascii="Times New Roman" w:hAnsi="Times New Roman" w:eastAsia="仿宋_GB2312" w:cs="仿宋_GB2312"/>
                <w:highlight w:val="none"/>
              </w:rPr>
            </w:pPr>
            <w:r>
              <w:rPr>
                <w:rFonts w:hint="eastAsia" w:ascii="Times New Roman" w:hAnsi="Times New Roman" w:eastAsia="仿宋_GB2312" w:cs="仿宋_GB2312"/>
                <w:sz w:val="21"/>
                <w:szCs w:val="21"/>
                <w:highlight w:val="none"/>
              </w:rPr>
              <w:t>安全利用类农用地</w:t>
            </w:r>
          </w:p>
        </w:tc>
        <w:tc>
          <w:tcPr>
            <w:tcW w:w="2438" w:type="dxa"/>
            <w:vAlign w:val="center"/>
          </w:tcPr>
          <w:p>
            <w:pPr>
              <w:snapToGrid w:val="0"/>
              <w:jc w:val="center"/>
              <w:rPr>
                <w:rFonts w:ascii="Times New Roman" w:hAnsi="Times New Roman" w:eastAsia="仿宋_GB2312" w:cs="仿宋_GB2312"/>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jc w:val="center"/>
              <w:rPr>
                <w:rFonts w:ascii="Times New Roman" w:hAnsi="Times New Roman" w:eastAsia="仿宋_GB2312" w:cs="仿宋_GB2312"/>
                <w:highlight w:val="none"/>
              </w:rPr>
            </w:pPr>
          </w:p>
        </w:tc>
        <w:tc>
          <w:tcPr>
            <w:tcW w:w="5500" w:type="dxa"/>
            <w:vAlign w:val="center"/>
          </w:tcPr>
          <w:p>
            <w:pPr>
              <w:pStyle w:val="11"/>
              <w:snapToGrid w:val="0"/>
              <w:jc w:val="center"/>
              <w:rPr>
                <w:rFonts w:ascii="Times New Roman" w:hAnsi="Times New Roman" w:eastAsia="仿宋_GB2312" w:cs="仿宋_GB2312"/>
                <w:highlight w:val="none"/>
              </w:rPr>
            </w:pPr>
            <w:r>
              <w:rPr>
                <w:rFonts w:hint="eastAsia" w:ascii="Times New Roman" w:hAnsi="Times New Roman" w:eastAsia="仿宋_GB2312" w:cs="仿宋_GB2312"/>
                <w:sz w:val="21"/>
                <w:szCs w:val="21"/>
                <w:highlight w:val="none"/>
              </w:rPr>
              <w:t>有限保护类农用地</w:t>
            </w:r>
          </w:p>
        </w:tc>
        <w:tc>
          <w:tcPr>
            <w:tcW w:w="2438" w:type="dxa"/>
            <w:vAlign w:val="center"/>
          </w:tcPr>
          <w:p>
            <w:pPr>
              <w:snapToGrid w:val="0"/>
              <w:jc w:val="center"/>
              <w:rPr>
                <w:rFonts w:ascii="Times New Roman" w:hAnsi="Times New Roman" w:eastAsia="仿宋_GB2312" w:cs="仿宋_GB2312"/>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危险废物</w:t>
            </w:r>
          </w:p>
          <w:p>
            <w:pPr>
              <w:snapToGrid w:val="0"/>
              <w:jc w:val="center"/>
              <w:rPr>
                <w:rFonts w:ascii="Times New Roman" w:hAnsi="Times New Roman" w:cs="Times New Roman"/>
                <w:b/>
                <w:bCs/>
                <w:highlight w:val="none"/>
              </w:rPr>
            </w:pPr>
            <w:r>
              <w:rPr>
                <w:rFonts w:hint="eastAsia" w:ascii="Times New Roman" w:hAnsi="Times New Roman" w:cs="Times New Roman"/>
                <w:b/>
                <w:bCs/>
                <w:highlight w:val="none"/>
              </w:rPr>
              <w:t>种类</w:t>
            </w:r>
          </w:p>
        </w:tc>
        <w:tc>
          <w:tcPr>
            <w:tcW w:w="5500" w:type="dxa"/>
            <w:vAlign w:val="center"/>
          </w:tcPr>
          <w:p>
            <w:pPr>
              <w:pStyle w:val="12"/>
              <w:snapToGrid w:val="0"/>
              <w:spacing w:before="0" w:beforeAutospacing="0" w:after="0" w:afterAutospacing="0"/>
              <w:ind w:firstLine="480"/>
              <w:jc w:val="center"/>
              <w:rPr>
                <w:rFonts w:ascii="Times New Roman" w:hAnsi="Times New Roman" w:eastAsia="仿宋_GB2312" w:cs="Times New Roman"/>
                <w:kern w:val="2"/>
                <w:sz w:val="21"/>
                <w:szCs w:val="21"/>
                <w:highlight w:val="none"/>
              </w:rPr>
            </w:pPr>
            <w:r>
              <w:rPr>
                <w:rFonts w:hint="eastAsia" w:ascii="Times New Roman" w:hAnsi="Times New Roman" w:eastAsia="仿宋_GB2312" w:cs="Times New Roman"/>
                <w:kern w:val="2"/>
                <w:sz w:val="21"/>
                <w:szCs w:val="21"/>
                <w:highlight w:val="none"/>
              </w:rPr>
              <w:t>3种以下的</w:t>
            </w:r>
          </w:p>
        </w:tc>
        <w:tc>
          <w:tcPr>
            <w:tcW w:w="2438"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jc w:val="center"/>
              <w:rPr>
                <w:rFonts w:ascii="Times New Roman" w:hAnsi="Times New Roman" w:cs="宋体"/>
                <w:b/>
                <w:bCs/>
                <w:highlight w:val="none"/>
              </w:rPr>
            </w:pPr>
          </w:p>
        </w:tc>
        <w:tc>
          <w:tcPr>
            <w:tcW w:w="5500"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Times New Roman"/>
                <w:kern w:val="2"/>
                <w:sz w:val="21"/>
                <w:szCs w:val="21"/>
                <w:highlight w:val="none"/>
              </w:rPr>
              <w:t>3种以上5种以下</w:t>
            </w:r>
            <w:r>
              <w:rPr>
                <w:rFonts w:hint="eastAsia" w:ascii="Times New Roman" w:hAnsi="Times New Roman" w:eastAsia="仿宋_GB2312" w:cs="仿宋_GB2312"/>
                <w:kern w:val="2"/>
                <w:sz w:val="21"/>
                <w:szCs w:val="21"/>
                <w:highlight w:val="none"/>
              </w:rPr>
              <w:t>的</w:t>
            </w:r>
          </w:p>
        </w:tc>
        <w:tc>
          <w:tcPr>
            <w:tcW w:w="2438" w:type="dxa"/>
            <w:vAlign w:val="center"/>
          </w:tcPr>
          <w:p>
            <w:pPr>
              <w:pStyle w:val="11"/>
              <w:snapToGrid w:val="0"/>
              <w:jc w:val="center"/>
              <w:rPr>
                <w:rFonts w:ascii="Times New Roman" w:hAnsi="Times New Roman" w:cs="Times New Roman"/>
                <w:sz w:val="21"/>
                <w:szCs w:val="21"/>
                <w:highlight w:val="none"/>
              </w:rPr>
            </w:pPr>
            <w:r>
              <w:rPr>
                <w:rFonts w:hint="eastAsia" w:ascii="Times New Roman" w:hAnsi="Times New Roman" w:cs="Times New Roman"/>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jc w:val="center"/>
              <w:rPr>
                <w:rFonts w:ascii="Times New Roman" w:hAnsi="Times New Roman" w:cs="宋体"/>
                <w:b/>
                <w:bCs/>
                <w:highlight w:val="none"/>
              </w:rPr>
            </w:pPr>
          </w:p>
        </w:tc>
        <w:tc>
          <w:tcPr>
            <w:tcW w:w="5500"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Times New Roman"/>
                <w:kern w:val="2"/>
                <w:sz w:val="21"/>
                <w:szCs w:val="21"/>
                <w:highlight w:val="none"/>
              </w:rPr>
              <w:t>5种以上</w:t>
            </w:r>
            <w:r>
              <w:rPr>
                <w:rFonts w:hint="eastAsia" w:ascii="Times New Roman" w:hAnsi="Times New Roman" w:eastAsia="仿宋_GB2312" w:cs="仿宋_GB2312"/>
                <w:kern w:val="2"/>
                <w:sz w:val="21"/>
                <w:szCs w:val="21"/>
                <w:highlight w:val="none"/>
              </w:rPr>
              <w:t>的</w:t>
            </w:r>
          </w:p>
        </w:tc>
        <w:tc>
          <w:tcPr>
            <w:tcW w:w="2438" w:type="dxa"/>
            <w:vAlign w:val="center"/>
          </w:tcPr>
          <w:p>
            <w:pPr>
              <w:pStyle w:val="11"/>
              <w:snapToGrid w:val="0"/>
              <w:jc w:val="center"/>
              <w:rPr>
                <w:rFonts w:ascii="Times New Roman" w:hAnsi="Times New Roman" w:cs="Times New Roman"/>
                <w:sz w:val="21"/>
                <w:szCs w:val="21"/>
                <w:highlight w:val="none"/>
              </w:rPr>
            </w:pPr>
            <w:r>
              <w:rPr>
                <w:rFonts w:hint="eastAsia" w:ascii="Times New Roman" w:hAnsi="Times New Roman" w:cs="Times New Roman"/>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违法行为持续时间或</w:t>
            </w:r>
          </w:p>
          <w:p>
            <w:pPr>
              <w:snapToGrid w:val="0"/>
              <w:jc w:val="center"/>
              <w:rPr>
                <w:rFonts w:ascii="Times New Roman" w:hAnsi="Times New Roman" w:cs="宋体"/>
                <w:b/>
                <w:bCs/>
                <w:highlight w:val="none"/>
              </w:rPr>
            </w:pPr>
            <w:r>
              <w:rPr>
                <w:rFonts w:hint="eastAsia" w:ascii="Times New Roman" w:hAnsi="Times New Roman" w:cs="宋体"/>
                <w:b/>
                <w:bCs/>
                <w:highlight w:val="none"/>
              </w:rPr>
              <w:t>发生频次</w:t>
            </w:r>
          </w:p>
        </w:tc>
        <w:tc>
          <w:tcPr>
            <w:tcW w:w="5500"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r>
              <w:rPr>
                <w:rFonts w:hint="eastAsia" w:ascii="Times New Roman" w:hAnsi="Times New Roman" w:eastAsia="仿宋_GB2312" w:cs="仿宋_GB2312"/>
                <w:highlight w:val="none"/>
              </w:rPr>
              <w:t>个月以内或</w:t>
            </w:r>
            <w:r>
              <w:rPr>
                <w:rFonts w:ascii="Times New Roman" w:hAnsi="Times New Roman" w:eastAsia="仿宋_GB2312" w:cs="Times New Roman"/>
                <w:highlight w:val="none"/>
              </w:rPr>
              <w:t>2</w:t>
            </w:r>
            <w:r>
              <w:rPr>
                <w:rFonts w:hint="eastAsia" w:ascii="Times New Roman" w:hAnsi="Times New Roman" w:eastAsia="仿宋_GB2312" w:cs="仿宋_GB2312"/>
                <w:highlight w:val="none"/>
              </w:rPr>
              <w:t>次以下</w:t>
            </w:r>
          </w:p>
        </w:tc>
        <w:tc>
          <w:tcPr>
            <w:tcW w:w="2438"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jc w:val="center"/>
              <w:rPr>
                <w:rFonts w:ascii="Times New Roman" w:hAnsi="Times New Roman" w:cs="宋体"/>
                <w:b/>
                <w:bCs/>
                <w:highlight w:val="none"/>
              </w:rPr>
            </w:pPr>
          </w:p>
        </w:tc>
        <w:tc>
          <w:tcPr>
            <w:tcW w:w="5500"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3</w:t>
            </w:r>
            <w:r>
              <w:rPr>
                <w:rFonts w:hint="eastAsia" w:ascii="Times New Roman" w:hAnsi="Times New Roman" w:eastAsia="仿宋_GB2312" w:cs="仿宋_GB2312"/>
                <w:sz w:val="21"/>
                <w:szCs w:val="21"/>
                <w:highlight w:val="none"/>
              </w:rPr>
              <w:t>个月以上</w:t>
            </w:r>
            <w:r>
              <w:rPr>
                <w:rFonts w:ascii="Times New Roman" w:hAnsi="Times New Roman" w:eastAsia="仿宋_GB2312" w:cs="Times New Roman"/>
                <w:sz w:val="21"/>
                <w:szCs w:val="21"/>
                <w:highlight w:val="none"/>
              </w:rPr>
              <w:t>6</w:t>
            </w:r>
            <w:r>
              <w:rPr>
                <w:rFonts w:hint="eastAsia" w:ascii="Times New Roman" w:hAnsi="Times New Roman" w:eastAsia="仿宋_GB2312" w:cs="仿宋_GB2312"/>
                <w:sz w:val="21"/>
                <w:szCs w:val="21"/>
                <w:highlight w:val="none"/>
              </w:rPr>
              <w:t>个月以内或</w:t>
            </w:r>
            <w:r>
              <w:rPr>
                <w:rFonts w:ascii="Times New Roman" w:hAnsi="Times New Roman" w:eastAsia="仿宋_GB2312" w:cs="Times New Roman"/>
                <w:sz w:val="21"/>
                <w:szCs w:val="21"/>
                <w:highlight w:val="none"/>
              </w:rPr>
              <w:t>2</w:t>
            </w:r>
            <w:r>
              <w:rPr>
                <w:rFonts w:hint="eastAsia" w:ascii="Times New Roman" w:hAnsi="Times New Roman" w:eastAsia="仿宋_GB2312" w:cs="仿宋_GB2312"/>
                <w:sz w:val="21"/>
                <w:szCs w:val="21"/>
                <w:highlight w:val="none"/>
              </w:rPr>
              <w:t>次</w:t>
            </w:r>
          </w:p>
        </w:tc>
        <w:tc>
          <w:tcPr>
            <w:tcW w:w="2438" w:type="dxa"/>
            <w:vAlign w:val="center"/>
          </w:tcPr>
          <w:p>
            <w:pPr>
              <w:pStyle w:val="11"/>
              <w:snapToGrid w:val="0"/>
              <w:jc w:val="center"/>
              <w:rPr>
                <w:rFonts w:ascii="Times New Roman" w:hAnsi="Times New Roman" w:cs="Times New Roman"/>
                <w:sz w:val="21"/>
                <w:szCs w:val="21"/>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jc w:val="center"/>
              <w:rPr>
                <w:rFonts w:ascii="Times New Roman" w:hAnsi="Times New Roman" w:cs="宋体"/>
                <w:b/>
                <w:bCs/>
                <w:highlight w:val="none"/>
              </w:rPr>
            </w:pPr>
          </w:p>
        </w:tc>
        <w:tc>
          <w:tcPr>
            <w:tcW w:w="5500"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6</w:t>
            </w:r>
            <w:r>
              <w:rPr>
                <w:rFonts w:hint="eastAsia" w:ascii="Times New Roman" w:hAnsi="Times New Roman" w:eastAsia="仿宋_GB2312" w:cs="仿宋_GB2312"/>
                <w:sz w:val="21"/>
                <w:szCs w:val="21"/>
                <w:highlight w:val="none"/>
              </w:rPr>
              <w:t>个月以上或</w:t>
            </w:r>
            <w:r>
              <w:rPr>
                <w:rFonts w:ascii="Times New Roman" w:hAnsi="Times New Roman" w:eastAsia="仿宋_GB2312" w:cs="Times New Roman"/>
                <w:sz w:val="21"/>
                <w:szCs w:val="21"/>
                <w:highlight w:val="none"/>
              </w:rPr>
              <w:t>3</w:t>
            </w:r>
            <w:r>
              <w:rPr>
                <w:rFonts w:hint="eastAsia" w:ascii="Times New Roman" w:hAnsi="Times New Roman" w:eastAsia="仿宋_GB2312" w:cs="仿宋_GB2312"/>
                <w:sz w:val="21"/>
                <w:szCs w:val="21"/>
                <w:highlight w:val="none"/>
              </w:rPr>
              <w:t>次以上</w:t>
            </w:r>
          </w:p>
        </w:tc>
        <w:tc>
          <w:tcPr>
            <w:tcW w:w="2438" w:type="dxa"/>
            <w:vAlign w:val="center"/>
          </w:tcPr>
          <w:p>
            <w:pPr>
              <w:pStyle w:val="11"/>
              <w:snapToGrid w:val="0"/>
              <w:jc w:val="center"/>
              <w:rPr>
                <w:rFonts w:ascii="Times New Roman" w:hAnsi="Times New Roman" w:cs="Times New Roman"/>
                <w:sz w:val="21"/>
                <w:szCs w:val="21"/>
                <w:highlight w:val="none"/>
              </w:rPr>
            </w:pPr>
            <w:r>
              <w:rPr>
                <w:rFonts w:hint="eastAsia" w:ascii="Times New Roman" w:hAnsi="Times New Roman" w:eastAsia="仿宋_GB2312" w:cs="仿宋_GB2312"/>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9209" w:type="dxa"/>
            <w:gridSpan w:val="3"/>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（四）固体废物污染防治类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widowControl/>
              <w:jc w:val="center"/>
              <w:rPr>
                <w:rFonts w:ascii="Times New Roman" w:hAnsi="Times New Roman" w:eastAsia="仿宋_GB2312" w:cs="Times New Roman"/>
                <w:highlight w:val="none"/>
              </w:rPr>
            </w:pPr>
            <w:r>
              <w:rPr>
                <w:rFonts w:hint="eastAsia" w:ascii="Times New Roman" w:hAnsi="Times New Roman" w:eastAsia="仿宋_GB2312" w:cs="仿宋_GB2312"/>
                <w:kern w:val="0"/>
                <w:highlight w:val="none"/>
              </w:rPr>
              <w:t>将危险废物提供或者委托给无许可证的单位从事经营活动的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widowControl/>
              <w:jc w:val="left"/>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 xml:space="preserve"> </w:t>
            </w:r>
            <w:r>
              <w:rPr>
                <w:rFonts w:hint="eastAsia" w:ascii="Times New Roman" w:hAnsi="Times New Roman" w:eastAsia="仿宋_GB2312" w:cs="仿宋_GB2312"/>
                <w:b/>
                <w:bCs/>
                <w:kern w:val="0"/>
                <w:highlight w:val="none"/>
              </w:rPr>
              <w:t xml:space="preserve"> 《中华人民共和国固体废物污染环境防治法》第八十条第三款 </w:t>
            </w:r>
            <w:r>
              <w:rPr>
                <w:rFonts w:hint="eastAsia" w:ascii="Times New Roman" w:hAnsi="Times New Roman" w:eastAsia="仿宋_GB2312" w:cs="仿宋_GB2312"/>
                <w:kern w:val="0"/>
                <w:highlight w:val="none"/>
              </w:rPr>
              <w:t xml:space="preserve"> 禁止将危险废物提供或者委托给无许可证的单位或者其他生产经营者从事收集、贮存、利用、处置活动。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widowControl/>
              <w:ind w:firstLine="422"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b/>
                <w:bCs/>
                <w:kern w:val="0"/>
                <w:highlight w:val="none"/>
              </w:rPr>
              <w:t>《中华人民共和国固体废物污染环境防治法》第一百一十二条第一款第（四）项、第二款</w:t>
            </w:r>
            <w:r>
              <w:rPr>
                <w:rFonts w:hint="eastAsia" w:ascii="Times New Roman" w:hAnsi="Times New Roman" w:eastAsia="仿宋_GB2312" w:cs="仿宋_GB2312"/>
                <w:kern w:val="0"/>
                <w:highlight w:val="none"/>
              </w:rPr>
              <w:t xml:space="preserve">  违反本法规定，有下列行为之一，由生态环境主管部门责令改正，处以罚款，没收违法所得；情节严重的，报经有批准权的人民政府批准，可以责令停业或者关闭： </w:t>
            </w:r>
          </w:p>
          <w:p>
            <w:pPr>
              <w:widowControl/>
              <w:ind w:firstLine="420"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 xml:space="preserve">（四）将危险废物提供或者委托给无许可证的单位或者其他生产经营者从事经营活动的； </w:t>
            </w:r>
          </w:p>
          <w:p>
            <w:pPr>
              <w:widowControl/>
              <w:ind w:firstLine="420"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 xml:space="preserve">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Times New Roman"/>
                <w:b/>
                <w:bCs/>
                <w:highlight w:val="none"/>
              </w:rPr>
              <w:t>涉及危险</w:t>
            </w:r>
          </w:p>
          <w:p>
            <w:pPr>
              <w:snapToGrid w:val="0"/>
              <w:jc w:val="center"/>
              <w:rPr>
                <w:rFonts w:ascii="Times New Roman" w:hAnsi="Times New Roman" w:cs="Times New Roman"/>
                <w:b/>
                <w:bCs/>
                <w:highlight w:val="none"/>
              </w:rPr>
            </w:pPr>
            <w:r>
              <w:rPr>
                <w:rFonts w:hint="eastAsia" w:ascii="Times New Roman" w:hAnsi="Times New Roman" w:cs="Times New Roman"/>
                <w:b/>
                <w:bCs/>
                <w:highlight w:val="none"/>
              </w:rPr>
              <w:t>废物数量★</w:t>
            </w: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1吨以下的</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1吨以上不足3吨的</w:t>
            </w:r>
          </w:p>
        </w:tc>
        <w:tc>
          <w:tcPr>
            <w:tcW w:w="2693" w:type="dxa"/>
            <w:vAlign w:val="center"/>
          </w:tcPr>
          <w:p>
            <w:pPr>
              <w:pStyle w:val="11"/>
              <w:snapToGrid w:val="0"/>
              <w:jc w:val="center"/>
              <w:rPr>
                <w:rFonts w:ascii="Times New Roman" w:hAnsi="Times New Roman" w:cs="Times New Roman"/>
                <w:highlight w:val="none"/>
              </w:rPr>
            </w:pPr>
            <w:r>
              <w:rPr>
                <w:rFonts w:ascii="Times New Roman" w:hAnsi="Times New Roman" w:cs="Times New Roman"/>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3吨以上不足5吨的</w:t>
            </w:r>
          </w:p>
        </w:tc>
        <w:tc>
          <w:tcPr>
            <w:tcW w:w="2693" w:type="dxa"/>
            <w:vAlign w:val="center"/>
          </w:tcPr>
          <w:p>
            <w:pPr>
              <w:pStyle w:val="11"/>
              <w:snapToGrid w:val="0"/>
              <w:jc w:val="center"/>
              <w:rPr>
                <w:rFonts w:ascii="Times New Roman" w:hAnsi="Times New Roman" w:cs="Times New Roman"/>
                <w:highlight w:val="none"/>
              </w:rPr>
            </w:pPr>
            <w:r>
              <w:rPr>
                <w:rFonts w:ascii="Times New Roman" w:hAnsi="Times New Roman" w:cs="Times New Roman"/>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5吨以上不足10吨的</w:t>
            </w:r>
          </w:p>
        </w:tc>
        <w:tc>
          <w:tcPr>
            <w:tcW w:w="2693" w:type="dxa"/>
            <w:vAlign w:val="center"/>
          </w:tcPr>
          <w:p>
            <w:pPr>
              <w:pStyle w:val="11"/>
              <w:snapToGrid w:val="0"/>
              <w:jc w:val="center"/>
              <w:rPr>
                <w:rFonts w:ascii="Times New Roman" w:hAnsi="Times New Roman" w:cs="Times New Roman"/>
                <w:highlight w:val="none"/>
              </w:rPr>
            </w:pPr>
            <w:r>
              <w:rPr>
                <w:rFonts w:ascii="Times New Roman" w:hAnsi="Times New Roman" w:cs="Times New Roman"/>
                <w:sz w:val="21"/>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10吨以上的</w:t>
            </w:r>
          </w:p>
        </w:tc>
        <w:tc>
          <w:tcPr>
            <w:tcW w:w="2693" w:type="dxa"/>
            <w:vAlign w:val="center"/>
          </w:tcPr>
          <w:p>
            <w:pPr>
              <w:pStyle w:val="11"/>
              <w:snapToGrid w:val="0"/>
              <w:jc w:val="center"/>
              <w:rPr>
                <w:rFonts w:ascii="Times New Roman" w:hAnsi="Times New Roman" w:cs="Times New Roman"/>
                <w:highlight w:val="none"/>
              </w:rPr>
            </w:pPr>
            <w:r>
              <w:rPr>
                <w:rFonts w:ascii="Times New Roman" w:hAnsi="Times New Roman" w:cs="Times New Roman"/>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危险废物</w:t>
            </w:r>
          </w:p>
          <w:p>
            <w:pPr>
              <w:snapToGrid w:val="0"/>
              <w:jc w:val="center"/>
              <w:rPr>
                <w:rFonts w:ascii="Times New Roman" w:hAnsi="Times New Roman" w:cs="Times New Roman"/>
                <w:b/>
                <w:bCs/>
                <w:highlight w:val="none"/>
              </w:rPr>
            </w:pPr>
            <w:r>
              <w:rPr>
                <w:rFonts w:hint="eastAsia" w:ascii="Times New Roman" w:hAnsi="Times New Roman" w:cs="Times New Roman"/>
                <w:b/>
                <w:bCs/>
                <w:highlight w:val="none"/>
              </w:rPr>
              <w:t>种类</w:t>
            </w:r>
          </w:p>
        </w:tc>
        <w:tc>
          <w:tcPr>
            <w:tcW w:w="5245" w:type="dxa"/>
            <w:vAlign w:val="center"/>
          </w:tcPr>
          <w:p>
            <w:pPr>
              <w:pStyle w:val="12"/>
              <w:snapToGrid w:val="0"/>
              <w:spacing w:before="0" w:beforeAutospacing="0" w:after="0" w:afterAutospacing="0"/>
              <w:jc w:val="center"/>
              <w:rPr>
                <w:rFonts w:ascii="Times New Roman" w:hAnsi="Times New Roman" w:eastAsia="仿宋_GB2312" w:cs="Times New Roman"/>
                <w:highlight w:val="none"/>
              </w:rPr>
            </w:pPr>
            <w:r>
              <w:rPr>
                <w:rFonts w:hint="eastAsia" w:ascii="Times New Roman" w:hAnsi="Times New Roman" w:eastAsia="仿宋_GB2312" w:cs="Times New Roman"/>
                <w:kern w:val="2"/>
                <w:sz w:val="21"/>
                <w:szCs w:val="21"/>
                <w:highlight w:val="none"/>
              </w:rPr>
              <w:t>3种以下的</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2"/>
              <w:snapToGrid w:val="0"/>
              <w:spacing w:before="0" w:beforeAutospacing="0" w:after="0" w:afterAutospacing="0"/>
              <w:jc w:val="center"/>
              <w:rPr>
                <w:rFonts w:ascii="Times New Roman" w:hAnsi="Times New Roman" w:eastAsia="仿宋_GB2312" w:cs="仿宋_GB2312"/>
                <w:sz w:val="21"/>
                <w:szCs w:val="21"/>
                <w:highlight w:val="none"/>
              </w:rPr>
            </w:pPr>
            <w:r>
              <w:rPr>
                <w:rFonts w:hint="eastAsia" w:ascii="Times New Roman" w:hAnsi="Times New Roman" w:eastAsia="仿宋_GB2312" w:cs="Times New Roman"/>
                <w:kern w:val="2"/>
                <w:sz w:val="21"/>
                <w:szCs w:val="21"/>
                <w:highlight w:val="none"/>
              </w:rPr>
              <w:t>3种以上5种以下</w:t>
            </w:r>
            <w:r>
              <w:rPr>
                <w:rFonts w:hint="eastAsia" w:ascii="Times New Roman" w:hAnsi="Times New Roman" w:eastAsia="仿宋_GB2312" w:cs="仿宋_GB2312"/>
                <w:kern w:val="2"/>
                <w:sz w:val="21"/>
                <w:szCs w:val="21"/>
                <w:highlight w:val="none"/>
              </w:rPr>
              <w:t>的</w:t>
            </w:r>
          </w:p>
        </w:tc>
        <w:tc>
          <w:tcPr>
            <w:tcW w:w="2693" w:type="dxa"/>
            <w:vAlign w:val="center"/>
          </w:tcPr>
          <w:p>
            <w:pPr>
              <w:pStyle w:val="11"/>
              <w:snapToGrid w:val="0"/>
              <w:jc w:val="center"/>
              <w:rPr>
                <w:rFonts w:ascii="Times New Roman" w:hAnsi="Times New Roman" w:cs="Times New Roman"/>
                <w:sz w:val="21"/>
                <w:szCs w:val="21"/>
                <w:highlight w:val="none"/>
              </w:rPr>
            </w:pPr>
            <w:r>
              <w:rPr>
                <w:rFonts w:hint="eastAsia" w:ascii="Times New Roman" w:hAnsi="Times New Roman" w:cs="Times New Roman"/>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2"/>
              <w:snapToGrid w:val="0"/>
              <w:spacing w:before="0" w:beforeAutospacing="0" w:after="0" w:afterAutospacing="0"/>
              <w:jc w:val="center"/>
              <w:rPr>
                <w:rFonts w:ascii="Times New Roman" w:hAnsi="Times New Roman" w:eastAsia="仿宋_GB2312" w:cs="仿宋_GB2312"/>
                <w:sz w:val="21"/>
                <w:szCs w:val="21"/>
                <w:highlight w:val="none"/>
              </w:rPr>
            </w:pPr>
            <w:r>
              <w:rPr>
                <w:rFonts w:hint="eastAsia" w:ascii="Times New Roman" w:hAnsi="Times New Roman" w:eastAsia="仿宋_GB2312" w:cs="Times New Roman"/>
                <w:kern w:val="2"/>
                <w:sz w:val="21"/>
                <w:szCs w:val="21"/>
                <w:highlight w:val="none"/>
              </w:rPr>
              <w:t>5种以上</w:t>
            </w:r>
            <w:r>
              <w:rPr>
                <w:rFonts w:hint="eastAsia" w:ascii="Times New Roman" w:hAnsi="Times New Roman" w:eastAsia="仿宋_GB2312" w:cs="仿宋_GB2312"/>
                <w:kern w:val="2"/>
                <w:sz w:val="21"/>
                <w:szCs w:val="21"/>
                <w:highlight w:val="none"/>
              </w:rPr>
              <w:t>的</w:t>
            </w:r>
          </w:p>
        </w:tc>
        <w:tc>
          <w:tcPr>
            <w:tcW w:w="2693" w:type="dxa"/>
            <w:vAlign w:val="center"/>
          </w:tcPr>
          <w:p>
            <w:pPr>
              <w:pStyle w:val="11"/>
              <w:snapToGrid w:val="0"/>
              <w:jc w:val="center"/>
              <w:rPr>
                <w:rFonts w:ascii="Times New Roman" w:hAnsi="Times New Roman" w:cs="Times New Roman"/>
                <w:sz w:val="21"/>
                <w:szCs w:val="21"/>
                <w:highlight w:val="none"/>
              </w:rPr>
            </w:pPr>
            <w:r>
              <w:rPr>
                <w:rFonts w:hint="eastAsia" w:ascii="Times New Roman" w:hAnsi="Times New Roman" w:cs="Times New Roman"/>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Times New Roman"/>
                <w:b/>
                <w:bCs/>
                <w:highlight w:val="none"/>
              </w:rPr>
              <w:t>涉及</w:t>
            </w:r>
            <w:r>
              <w:rPr>
                <w:rFonts w:ascii="Times New Roman" w:hAnsi="Times New Roman" w:cs="Times New Roman"/>
                <w:b/>
                <w:bCs/>
                <w:highlight w:val="none"/>
              </w:rPr>
              <w:t>危险</w:t>
            </w:r>
          </w:p>
          <w:p>
            <w:pPr>
              <w:snapToGrid w:val="0"/>
              <w:jc w:val="center"/>
              <w:rPr>
                <w:rFonts w:ascii="Times New Roman" w:hAnsi="Times New Roman" w:cs="Times New Roman"/>
                <w:b/>
                <w:bCs/>
                <w:highlight w:val="none"/>
              </w:rPr>
            </w:pPr>
            <w:r>
              <w:rPr>
                <w:rFonts w:ascii="Times New Roman" w:hAnsi="Times New Roman" w:cs="Times New Roman"/>
                <w:b/>
                <w:bCs/>
                <w:highlight w:val="none"/>
              </w:rPr>
              <w:t>废物情况</w:t>
            </w:r>
          </w:p>
        </w:tc>
        <w:tc>
          <w:tcPr>
            <w:tcW w:w="5245" w:type="dxa"/>
            <w:vAlign w:val="center"/>
          </w:tcPr>
          <w:p>
            <w:pPr>
              <w:pStyle w:val="12"/>
              <w:snapToGrid w:val="0"/>
              <w:spacing w:before="0" w:beforeAutospacing="0" w:after="0" w:afterAutospacing="0"/>
              <w:jc w:val="center"/>
              <w:rPr>
                <w:rFonts w:ascii="Times New Roman" w:hAnsi="Times New Roman" w:eastAsia="仿宋_GB2312" w:cs="Times New Roman"/>
                <w:kern w:val="2"/>
                <w:sz w:val="21"/>
                <w:szCs w:val="21"/>
                <w:highlight w:val="none"/>
              </w:rPr>
            </w:pPr>
            <w:r>
              <w:rPr>
                <w:rFonts w:hint="eastAsia" w:ascii="Times New Roman" w:hAnsi="Times New Roman" w:eastAsia="仿宋_GB2312" w:cs="Times New Roman"/>
                <w:kern w:val="2"/>
                <w:sz w:val="21"/>
                <w:szCs w:val="21"/>
                <w:highlight w:val="none"/>
              </w:rPr>
              <w:t>暂未处置，</w:t>
            </w:r>
            <w:r>
              <w:rPr>
                <w:rFonts w:ascii="Times New Roman" w:hAnsi="Times New Roman" w:eastAsia="仿宋_GB2312" w:cs="Times New Roman"/>
                <w:kern w:val="2"/>
                <w:sz w:val="21"/>
                <w:szCs w:val="21"/>
                <w:highlight w:val="none"/>
              </w:rPr>
              <w:t>且未造成</w:t>
            </w:r>
            <w:r>
              <w:rPr>
                <w:rFonts w:hint="eastAsia" w:ascii="Times New Roman" w:hAnsi="Times New Roman" w:eastAsia="仿宋_GB2312" w:cs="Times New Roman"/>
                <w:kern w:val="2"/>
                <w:sz w:val="21"/>
                <w:szCs w:val="21"/>
                <w:highlight w:val="none"/>
              </w:rPr>
              <w:t>危害</w:t>
            </w:r>
          </w:p>
        </w:tc>
        <w:tc>
          <w:tcPr>
            <w:tcW w:w="2693" w:type="dxa"/>
            <w:vAlign w:val="center"/>
          </w:tcPr>
          <w:p>
            <w:pPr>
              <w:pStyle w:val="11"/>
              <w:snapToGrid w:val="0"/>
              <w:jc w:val="center"/>
              <w:rPr>
                <w:rFonts w:ascii="Times New Roman" w:hAnsi="Times New Roman" w:cs="Times New Roman"/>
                <w:sz w:val="21"/>
                <w:szCs w:val="21"/>
                <w:highlight w:val="none"/>
              </w:rPr>
            </w:pPr>
            <w:r>
              <w:rPr>
                <w:rFonts w:hint="eastAsia" w:ascii="Times New Roman" w:hAnsi="Times New Roman" w:cs="Times New Roman"/>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2"/>
              <w:snapToGrid w:val="0"/>
              <w:spacing w:before="0" w:beforeAutospacing="0" w:after="0" w:afterAutospacing="0"/>
              <w:jc w:val="center"/>
              <w:rPr>
                <w:rFonts w:ascii="Times New Roman" w:hAnsi="Times New Roman" w:eastAsia="仿宋_GB2312" w:cs="Times New Roman"/>
                <w:kern w:val="2"/>
                <w:sz w:val="21"/>
                <w:szCs w:val="21"/>
                <w:highlight w:val="none"/>
              </w:rPr>
            </w:pPr>
            <w:r>
              <w:rPr>
                <w:rFonts w:hint="eastAsia" w:ascii="Times New Roman" w:hAnsi="Times New Roman" w:eastAsia="仿宋_GB2312" w:cs="Times New Roman"/>
                <w:kern w:val="2"/>
                <w:sz w:val="21"/>
                <w:szCs w:val="21"/>
                <w:highlight w:val="none"/>
              </w:rPr>
              <w:t>资源化</w:t>
            </w:r>
            <w:r>
              <w:rPr>
                <w:rFonts w:ascii="Times New Roman" w:hAnsi="Times New Roman" w:eastAsia="仿宋_GB2312" w:cs="Times New Roman"/>
                <w:kern w:val="2"/>
                <w:sz w:val="21"/>
                <w:szCs w:val="21"/>
                <w:highlight w:val="none"/>
              </w:rPr>
              <w:t>综合利用</w:t>
            </w:r>
          </w:p>
        </w:tc>
        <w:tc>
          <w:tcPr>
            <w:tcW w:w="2693" w:type="dxa"/>
            <w:vAlign w:val="center"/>
          </w:tcPr>
          <w:p>
            <w:pPr>
              <w:pStyle w:val="11"/>
              <w:snapToGrid w:val="0"/>
              <w:jc w:val="center"/>
              <w:rPr>
                <w:rFonts w:ascii="Times New Roman" w:hAnsi="Times New Roman" w:cs="Times New Roman"/>
                <w:sz w:val="21"/>
                <w:szCs w:val="21"/>
                <w:highlight w:val="none"/>
              </w:rPr>
            </w:pPr>
            <w:r>
              <w:rPr>
                <w:rFonts w:hint="eastAsia" w:ascii="Times New Roman" w:hAnsi="Times New Roman" w:cs="Times New Roman"/>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2"/>
              <w:snapToGrid w:val="0"/>
              <w:spacing w:before="0" w:beforeAutospacing="0" w:after="0" w:afterAutospacing="0"/>
              <w:jc w:val="center"/>
              <w:rPr>
                <w:rFonts w:ascii="Times New Roman" w:hAnsi="Times New Roman" w:eastAsia="仿宋_GB2312" w:cs="Times New Roman"/>
                <w:kern w:val="2"/>
                <w:sz w:val="21"/>
                <w:szCs w:val="21"/>
                <w:highlight w:val="none"/>
              </w:rPr>
            </w:pPr>
            <w:r>
              <w:rPr>
                <w:rFonts w:hint="eastAsia" w:ascii="Times New Roman" w:hAnsi="Times New Roman" w:eastAsia="仿宋_GB2312" w:cs="Times New Roman"/>
                <w:kern w:val="2"/>
                <w:sz w:val="21"/>
                <w:szCs w:val="21"/>
                <w:highlight w:val="none"/>
              </w:rPr>
              <w:t>通过</w:t>
            </w:r>
            <w:r>
              <w:rPr>
                <w:rFonts w:ascii="Times New Roman" w:hAnsi="Times New Roman" w:eastAsia="仿宋_GB2312" w:cs="Times New Roman"/>
                <w:kern w:val="2"/>
                <w:sz w:val="21"/>
                <w:szCs w:val="21"/>
                <w:highlight w:val="none"/>
              </w:rPr>
              <w:t>焚烧等方式处理处置</w:t>
            </w:r>
          </w:p>
        </w:tc>
        <w:tc>
          <w:tcPr>
            <w:tcW w:w="2693" w:type="dxa"/>
            <w:vAlign w:val="center"/>
          </w:tcPr>
          <w:p>
            <w:pPr>
              <w:pStyle w:val="11"/>
              <w:snapToGrid w:val="0"/>
              <w:jc w:val="center"/>
              <w:rPr>
                <w:rFonts w:ascii="Times New Roman" w:hAnsi="Times New Roman" w:cs="Times New Roman"/>
                <w:sz w:val="21"/>
                <w:szCs w:val="21"/>
                <w:highlight w:val="none"/>
              </w:rPr>
            </w:pPr>
            <w:r>
              <w:rPr>
                <w:rFonts w:hint="eastAsia" w:ascii="Times New Roman" w:hAnsi="Times New Roman" w:cs="Times New Roman"/>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2"/>
              <w:snapToGrid w:val="0"/>
              <w:spacing w:before="0" w:beforeAutospacing="0" w:after="0" w:afterAutospacing="0"/>
              <w:jc w:val="center"/>
              <w:rPr>
                <w:rFonts w:ascii="Times New Roman" w:hAnsi="Times New Roman" w:eastAsia="仿宋_GB2312" w:cs="Times New Roman"/>
                <w:kern w:val="2"/>
                <w:sz w:val="21"/>
                <w:szCs w:val="21"/>
                <w:highlight w:val="none"/>
              </w:rPr>
            </w:pPr>
            <w:r>
              <w:rPr>
                <w:rFonts w:hint="eastAsia" w:ascii="Times New Roman" w:hAnsi="Times New Roman" w:eastAsia="仿宋_GB2312" w:cs="Times New Roman"/>
                <w:kern w:val="2"/>
                <w:sz w:val="21"/>
                <w:szCs w:val="21"/>
                <w:highlight w:val="none"/>
              </w:rPr>
              <w:t>非法倾倒</w:t>
            </w:r>
            <w:r>
              <w:rPr>
                <w:rFonts w:ascii="Times New Roman" w:hAnsi="Times New Roman" w:eastAsia="仿宋_GB2312" w:cs="Times New Roman"/>
                <w:kern w:val="2"/>
                <w:sz w:val="21"/>
                <w:szCs w:val="21"/>
                <w:highlight w:val="none"/>
              </w:rPr>
              <w:t>、</w:t>
            </w:r>
            <w:r>
              <w:rPr>
                <w:rFonts w:hint="eastAsia" w:ascii="Times New Roman" w:hAnsi="Times New Roman" w:eastAsia="仿宋_GB2312" w:cs="Times New Roman"/>
                <w:kern w:val="2"/>
                <w:sz w:val="21"/>
                <w:szCs w:val="21"/>
                <w:highlight w:val="none"/>
              </w:rPr>
              <w:t>填埋</w:t>
            </w:r>
          </w:p>
        </w:tc>
        <w:tc>
          <w:tcPr>
            <w:tcW w:w="2693" w:type="dxa"/>
            <w:vAlign w:val="center"/>
          </w:tcPr>
          <w:p>
            <w:pPr>
              <w:pStyle w:val="11"/>
              <w:snapToGrid w:val="0"/>
              <w:jc w:val="center"/>
              <w:rPr>
                <w:rFonts w:ascii="Times New Roman" w:hAnsi="Times New Roman" w:cs="Times New Roman"/>
                <w:sz w:val="21"/>
                <w:szCs w:val="21"/>
                <w:highlight w:val="none"/>
              </w:rPr>
            </w:pPr>
            <w:r>
              <w:rPr>
                <w:rFonts w:hint="eastAsia" w:ascii="Times New Roman" w:hAnsi="Times New Roman" w:cs="Times New Roman"/>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（四）固体废物污染防治类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widowControl/>
              <w:jc w:val="center"/>
              <w:rPr>
                <w:rFonts w:ascii="Times New Roman" w:hAnsi="Times New Roman" w:eastAsia="仿宋_GB2312" w:cs="Times New Roman"/>
                <w:highlight w:val="none"/>
              </w:rPr>
            </w:pPr>
            <w:r>
              <w:rPr>
                <w:rFonts w:hint="eastAsia" w:ascii="Times New Roman" w:hAnsi="Times New Roman" w:eastAsia="仿宋_GB2312" w:cs="仿宋_GB2312"/>
                <w:kern w:val="0"/>
                <w:highlight w:val="none"/>
              </w:rPr>
              <w:t>不按照国家规定填写、运行危险废物转移联单或者未经批准擅自转移危险废物的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widowControl/>
              <w:ind w:firstLine="422"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b/>
                <w:bCs/>
                <w:kern w:val="0"/>
                <w:highlight w:val="none"/>
              </w:rPr>
              <w:t>《中华人民共和国固体废物污染环境防治法》第八十二条第一款、第二款</w:t>
            </w:r>
            <w:r>
              <w:rPr>
                <w:rFonts w:hint="eastAsia" w:ascii="Times New Roman" w:hAnsi="Times New Roman" w:eastAsia="仿宋_GB2312" w:cs="仿宋_GB2312"/>
                <w:kern w:val="0"/>
                <w:highlight w:val="none"/>
              </w:rPr>
              <w:t xml:space="preserve">  转移危险废物的，应当按照国家有关规定填写、运行危险废物电子或者纸质转移联单。 </w:t>
            </w:r>
          </w:p>
          <w:p>
            <w:pPr>
              <w:widowControl/>
              <w:ind w:firstLine="420"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 xml:space="preserve">跨省、自治区、直辖市转移危险废物的，应当向危险废物移出地省、自治区、直辖市人民政府生态环境主管部门申请。移出地省、自治区、直辖市人民政府生态环境主管部门应当及时商经接受地省、自治区、直辖市人民政府生态环境主管部门同意后，在规定期限内批准转移该危险废物，并将批准信息通报相关省、自治区、直辖市人民政府生态环境主管部门和交通运输主管部门。未经批准的，不得转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widowControl/>
              <w:ind w:firstLine="422"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b/>
                <w:bCs/>
                <w:kern w:val="0"/>
                <w:highlight w:val="none"/>
              </w:rPr>
              <w:t>《中华人民共和国固体废物污染环境防治法》第一百一十二条第一款第（五）项、第二款</w:t>
            </w:r>
            <w:r>
              <w:rPr>
                <w:rFonts w:hint="eastAsia" w:ascii="Times New Roman" w:hAnsi="Times New Roman" w:eastAsia="仿宋_GB2312" w:cs="仿宋_GB2312"/>
                <w:kern w:val="0"/>
                <w:highlight w:val="none"/>
              </w:rPr>
              <w:t xml:space="preserve">  违反本法规定，有下列行为之一，由生态环境主管部门责令改正，处以罚款，没收违法所得；情节严重的，报经有批准权的人民政府批准，可以责令停业或者关闭： </w:t>
            </w:r>
          </w:p>
          <w:p>
            <w:pPr>
              <w:widowControl/>
              <w:ind w:firstLine="420"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 xml:space="preserve">（五）未按照国家有关规定填写、运行危险废物转移联单或者未经批准擅自转移危险废物的； </w:t>
            </w:r>
          </w:p>
          <w:p>
            <w:pPr>
              <w:widowControl/>
              <w:ind w:firstLine="420"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违法事实★</w:t>
            </w: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已填写危险废物转移联单，但是不规范的</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未填写危险废物转移联单的</w:t>
            </w:r>
          </w:p>
        </w:tc>
        <w:tc>
          <w:tcPr>
            <w:tcW w:w="2693" w:type="dxa"/>
            <w:vAlign w:val="center"/>
          </w:tcPr>
          <w:p>
            <w:pPr>
              <w:pStyle w:val="11"/>
              <w:snapToGrid w:val="0"/>
              <w:jc w:val="center"/>
              <w:rPr>
                <w:rFonts w:ascii="Times New Roman" w:hAnsi="Times New Roman" w:cs="Times New Roman"/>
                <w:highlight w:val="none"/>
              </w:rPr>
            </w:pPr>
            <w:r>
              <w:rPr>
                <w:rFonts w:ascii="Times New Roman" w:hAnsi="Times New Roman" w:cs="Times New Roman"/>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未经批准擅自转移危险废物，规范采取相应防范措施的</w:t>
            </w:r>
          </w:p>
        </w:tc>
        <w:tc>
          <w:tcPr>
            <w:tcW w:w="2693" w:type="dxa"/>
            <w:vAlign w:val="center"/>
          </w:tcPr>
          <w:p>
            <w:pPr>
              <w:pStyle w:val="11"/>
              <w:snapToGrid w:val="0"/>
              <w:jc w:val="center"/>
              <w:rPr>
                <w:rFonts w:ascii="Times New Roman" w:hAnsi="Times New Roman" w:cs="Times New Roman"/>
                <w:highlight w:val="none"/>
              </w:rPr>
            </w:pPr>
            <w:r>
              <w:rPr>
                <w:rFonts w:ascii="Times New Roman" w:hAnsi="Times New Roman" w:cs="Times New Roman"/>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未经批准擅自转移危险废物，未规范采取相应防范措施的</w:t>
            </w:r>
          </w:p>
        </w:tc>
        <w:tc>
          <w:tcPr>
            <w:tcW w:w="2693" w:type="dxa"/>
            <w:vAlign w:val="center"/>
          </w:tcPr>
          <w:p>
            <w:pPr>
              <w:pStyle w:val="11"/>
              <w:snapToGrid w:val="0"/>
              <w:jc w:val="center"/>
              <w:rPr>
                <w:rFonts w:ascii="Times New Roman" w:hAnsi="Times New Roman" w:cs="Times New Roman"/>
                <w:highlight w:val="none"/>
              </w:rPr>
            </w:pPr>
            <w:r>
              <w:rPr>
                <w:rFonts w:ascii="Times New Roman" w:hAnsi="Times New Roman" w:cs="Times New Roman"/>
                <w:sz w:val="21"/>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未经批准擅自转移危险废物，且未采取相应防范措施的</w:t>
            </w:r>
          </w:p>
        </w:tc>
        <w:tc>
          <w:tcPr>
            <w:tcW w:w="2693" w:type="dxa"/>
            <w:vAlign w:val="center"/>
          </w:tcPr>
          <w:p>
            <w:pPr>
              <w:pStyle w:val="11"/>
              <w:snapToGrid w:val="0"/>
              <w:jc w:val="center"/>
              <w:rPr>
                <w:rFonts w:ascii="Times New Roman" w:hAnsi="Times New Roman" w:cs="Times New Roman"/>
                <w:highlight w:val="none"/>
              </w:rPr>
            </w:pPr>
            <w:r>
              <w:rPr>
                <w:rFonts w:ascii="Times New Roman" w:hAnsi="Times New Roman" w:cs="Times New Roman"/>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危险废物</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数量</w:t>
            </w:r>
          </w:p>
        </w:tc>
        <w:tc>
          <w:tcPr>
            <w:tcW w:w="5245" w:type="dxa"/>
            <w:vAlign w:val="center"/>
          </w:tcPr>
          <w:p>
            <w:pPr>
              <w:pStyle w:val="12"/>
              <w:snapToGrid w:val="0"/>
              <w:spacing w:before="0" w:beforeAutospacing="0" w:after="0" w:afterAutospacing="0"/>
              <w:ind w:firstLine="480"/>
              <w:jc w:val="center"/>
              <w:rPr>
                <w:rFonts w:ascii="Times New Roman" w:hAnsi="Times New Roman" w:eastAsia="仿宋_GB2312" w:cs="仿宋_GB2312"/>
                <w:sz w:val="21"/>
                <w:szCs w:val="21"/>
                <w:highlight w:val="none"/>
              </w:rPr>
            </w:pPr>
            <w:r>
              <w:rPr>
                <w:rFonts w:hint="eastAsia" w:ascii="Times New Roman" w:hAnsi="Times New Roman" w:eastAsia="仿宋_GB2312" w:cs="仿宋_GB2312"/>
                <w:kern w:val="2"/>
                <w:sz w:val="21"/>
                <w:szCs w:val="21"/>
                <w:highlight w:val="none"/>
              </w:rPr>
              <w:t>1吨以下的</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2"/>
              <w:snapToGrid w:val="0"/>
              <w:spacing w:before="0" w:beforeAutospacing="0" w:after="0" w:afterAutospacing="0"/>
              <w:jc w:val="center"/>
              <w:rPr>
                <w:rFonts w:ascii="Times New Roman" w:hAnsi="Times New Roman" w:eastAsia="仿宋_GB2312" w:cs="仿宋_GB2312"/>
                <w:sz w:val="21"/>
                <w:szCs w:val="21"/>
                <w:highlight w:val="none"/>
              </w:rPr>
            </w:pPr>
            <w:r>
              <w:rPr>
                <w:rFonts w:hint="eastAsia" w:ascii="Times New Roman" w:hAnsi="Times New Roman" w:eastAsia="仿宋_GB2312" w:cs="仿宋_GB2312"/>
                <w:kern w:val="2"/>
                <w:sz w:val="21"/>
                <w:szCs w:val="21"/>
                <w:highlight w:val="none"/>
              </w:rPr>
              <w:t>1吨以上不足</w:t>
            </w:r>
            <w:r>
              <w:rPr>
                <w:rFonts w:ascii="Times New Roman" w:hAnsi="Times New Roman" w:eastAsia="仿宋_GB2312" w:cs="Times New Roman"/>
                <w:kern w:val="2"/>
                <w:sz w:val="21"/>
                <w:szCs w:val="21"/>
                <w:highlight w:val="none"/>
              </w:rPr>
              <w:t>3</w:t>
            </w:r>
            <w:r>
              <w:rPr>
                <w:rFonts w:hint="eastAsia" w:ascii="Times New Roman" w:hAnsi="Times New Roman" w:eastAsia="仿宋_GB2312" w:cs="仿宋_GB2312"/>
                <w:kern w:val="2"/>
                <w:sz w:val="21"/>
                <w:szCs w:val="21"/>
                <w:highlight w:val="none"/>
              </w:rPr>
              <w:t>吨的</w:t>
            </w:r>
          </w:p>
        </w:tc>
        <w:tc>
          <w:tcPr>
            <w:tcW w:w="2693" w:type="dxa"/>
            <w:vAlign w:val="center"/>
          </w:tcPr>
          <w:p>
            <w:pPr>
              <w:pStyle w:val="11"/>
              <w:snapToGrid w:val="0"/>
              <w:jc w:val="center"/>
              <w:rPr>
                <w:rFonts w:ascii="Times New Roman" w:hAnsi="Times New Roman" w:cs="Times New Roman"/>
                <w:highlight w:val="none"/>
              </w:rPr>
            </w:pPr>
            <w:r>
              <w:rPr>
                <w:rFonts w:ascii="Times New Roman" w:hAnsi="Times New Roman" w:cs="Times New Roman"/>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2"/>
              <w:snapToGrid w:val="0"/>
              <w:spacing w:before="0" w:beforeAutospacing="0" w:after="0" w:afterAutospacing="0"/>
              <w:jc w:val="center"/>
              <w:rPr>
                <w:rFonts w:ascii="Times New Roman" w:hAnsi="Times New Roman" w:eastAsia="仿宋_GB2312" w:cs="仿宋_GB2312"/>
                <w:sz w:val="21"/>
                <w:szCs w:val="21"/>
                <w:highlight w:val="none"/>
              </w:rPr>
            </w:pPr>
            <w:r>
              <w:rPr>
                <w:rFonts w:ascii="Times New Roman" w:hAnsi="Times New Roman" w:eastAsia="仿宋_GB2312" w:cs="Times New Roman"/>
                <w:kern w:val="2"/>
                <w:sz w:val="21"/>
                <w:szCs w:val="21"/>
                <w:highlight w:val="none"/>
              </w:rPr>
              <w:t>3</w:t>
            </w:r>
            <w:r>
              <w:rPr>
                <w:rFonts w:hint="eastAsia" w:ascii="Times New Roman" w:hAnsi="Times New Roman" w:eastAsia="仿宋_GB2312" w:cs="仿宋_GB2312"/>
                <w:kern w:val="2"/>
                <w:sz w:val="21"/>
                <w:szCs w:val="21"/>
                <w:highlight w:val="none"/>
              </w:rPr>
              <w:t>吨以上不足</w:t>
            </w:r>
            <w:r>
              <w:rPr>
                <w:rFonts w:ascii="Times New Roman" w:hAnsi="Times New Roman" w:eastAsia="仿宋_GB2312" w:cs="Times New Roman"/>
                <w:kern w:val="2"/>
                <w:sz w:val="21"/>
                <w:szCs w:val="21"/>
                <w:highlight w:val="none"/>
              </w:rPr>
              <w:t>5</w:t>
            </w:r>
            <w:r>
              <w:rPr>
                <w:rFonts w:hint="eastAsia" w:ascii="Times New Roman" w:hAnsi="Times New Roman" w:eastAsia="仿宋_GB2312" w:cs="仿宋_GB2312"/>
                <w:kern w:val="2"/>
                <w:sz w:val="21"/>
                <w:szCs w:val="21"/>
                <w:highlight w:val="none"/>
              </w:rPr>
              <w:t>吨的</w:t>
            </w:r>
          </w:p>
        </w:tc>
        <w:tc>
          <w:tcPr>
            <w:tcW w:w="2693" w:type="dxa"/>
            <w:vAlign w:val="center"/>
          </w:tcPr>
          <w:p>
            <w:pPr>
              <w:pStyle w:val="11"/>
              <w:snapToGrid w:val="0"/>
              <w:jc w:val="center"/>
              <w:rPr>
                <w:rFonts w:ascii="Times New Roman" w:hAnsi="Times New Roman" w:cs="Times New Roman"/>
                <w:highlight w:val="none"/>
              </w:rPr>
            </w:pPr>
            <w:r>
              <w:rPr>
                <w:rFonts w:ascii="Times New Roman" w:hAnsi="Times New Roman" w:cs="Times New Roman"/>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2"/>
              <w:snapToGrid w:val="0"/>
              <w:spacing w:before="0" w:beforeAutospacing="0" w:after="0" w:afterAutospacing="0"/>
              <w:jc w:val="center"/>
              <w:rPr>
                <w:rFonts w:ascii="Times New Roman" w:hAnsi="Times New Roman" w:eastAsia="仿宋_GB2312" w:cs="仿宋_GB2312"/>
                <w:sz w:val="21"/>
                <w:szCs w:val="21"/>
                <w:highlight w:val="none"/>
              </w:rPr>
            </w:pPr>
            <w:r>
              <w:rPr>
                <w:rFonts w:ascii="Times New Roman" w:hAnsi="Times New Roman" w:eastAsia="仿宋_GB2312" w:cs="Times New Roman"/>
                <w:kern w:val="2"/>
                <w:sz w:val="21"/>
                <w:szCs w:val="21"/>
                <w:highlight w:val="none"/>
              </w:rPr>
              <w:t>5</w:t>
            </w:r>
            <w:r>
              <w:rPr>
                <w:rFonts w:hint="eastAsia" w:ascii="Times New Roman" w:hAnsi="Times New Roman" w:eastAsia="仿宋_GB2312" w:cs="仿宋_GB2312"/>
                <w:kern w:val="2"/>
                <w:sz w:val="21"/>
                <w:szCs w:val="21"/>
                <w:highlight w:val="none"/>
              </w:rPr>
              <w:t>吨以上不足</w:t>
            </w:r>
            <w:r>
              <w:rPr>
                <w:rFonts w:ascii="Times New Roman" w:hAnsi="Times New Roman" w:eastAsia="仿宋_GB2312" w:cs="Times New Roman"/>
                <w:kern w:val="2"/>
                <w:sz w:val="21"/>
                <w:szCs w:val="21"/>
                <w:highlight w:val="none"/>
              </w:rPr>
              <w:t>10</w:t>
            </w:r>
            <w:r>
              <w:rPr>
                <w:rFonts w:hint="eastAsia" w:ascii="Times New Roman" w:hAnsi="Times New Roman" w:eastAsia="仿宋_GB2312" w:cs="仿宋_GB2312"/>
                <w:kern w:val="2"/>
                <w:sz w:val="21"/>
                <w:szCs w:val="21"/>
                <w:highlight w:val="none"/>
              </w:rPr>
              <w:t>吨的</w:t>
            </w:r>
          </w:p>
        </w:tc>
        <w:tc>
          <w:tcPr>
            <w:tcW w:w="2693" w:type="dxa"/>
            <w:vAlign w:val="center"/>
          </w:tcPr>
          <w:p>
            <w:pPr>
              <w:pStyle w:val="11"/>
              <w:snapToGrid w:val="0"/>
              <w:jc w:val="center"/>
              <w:rPr>
                <w:rFonts w:ascii="Times New Roman" w:hAnsi="Times New Roman" w:cs="Times New Roman"/>
                <w:highlight w:val="none"/>
              </w:rPr>
            </w:pPr>
            <w:r>
              <w:rPr>
                <w:rFonts w:ascii="Times New Roman" w:hAnsi="Times New Roman" w:cs="Times New Roman"/>
                <w:sz w:val="21"/>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2"/>
              <w:snapToGrid w:val="0"/>
              <w:spacing w:before="0" w:beforeAutospacing="0" w:after="0" w:afterAutospacing="0"/>
              <w:jc w:val="center"/>
              <w:rPr>
                <w:rFonts w:ascii="Times New Roman" w:hAnsi="Times New Roman" w:eastAsia="仿宋_GB2312" w:cs="仿宋_GB2312"/>
                <w:sz w:val="21"/>
                <w:szCs w:val="21"/>
                <w:highlight w:val="none"/>
              </w:rPr>
            </w:pPr>
            <w:r>
              <w:rPr>
                <w:rFonts w:ascii="Times New Roman" w:hAnsi="Times New Roman" w:eastAsia="仿宋_GB2312" w:cs="Times New Roman"/>
                <w:kern w:val="2"/>
                <w:sz w:val="21"/>
                <w:szCs w:val="21"/>
                <w:highlight w:val="none"/>
              </w:rPr>
              <w:t>10</w:t>
            </w:r>
            <w:r>
              <w:rPr>
                <w:rFonts w:hint="eastAsia" w:ascii="Times New Roman" w:hAnsi="Times New Roman" w:eastAsia="仿宋_GB2312" w:cs="仿宋_GB2312"/>
                <w:kern w:val="2"/>
                <w:sz w:val="21"/>
                <w:szCs w:val="21"/>
                <w:highlight w:val="none"/>
              </w:rPr>
              <w:t>吨以上的</w:t>
            </w:r>
          </w:p>
        </w:tc>
        <w:tc>
          <w:tcPr>
            <w:tcW w:w="2693" w:type="dxa"/>
            <w:vAlign w:val="center"/>
          </w:tcPr>
          <w:p>
            <w:pPr>
              <w:pStyle w:val="11"/>
              <w:snapToGrid w:val="0"/>
              <w:jc w:val="center"/>
              <w:rPr>
                <w:rFonts w:ascii="Times New Roman" w:hAnsi="Times New Roman" w:cs="Times New Roman"/>
                <w:highlight w:val="none"/>
              </w:rPr>
            </w:pPr>
            <w:r>
              <w:rPr>
                <w:rFonts w:ascii="Times New Roman" w:hAnsi="Times New Roman" w:cs="Times New Roman"/>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违法行为持续时间或</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发生频次</w:t>
            </w: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个月以内或</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次以下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3</w:t>
            </w:r>
            <w:r>
              <w:rPr>
                <w:rFonts w:hint="eastAsia" w:ascii="Times New Roman" w:hAnsi="Times New Roman" w:eastAsia="仿宋_GB2312" w:cs="仿宋_GB2312"/>
                <w:color w:val="000000"/>
                <w:sz w:val="21"/>
                <w:szCs w:val="21"/>
                <w:highlight w:val="none"/>
              </w:rPr>
              <w:t>个月以上</w:t>
            </w:r>
            <w:r>
              <w:rPr>
                <w:rFonts w:ascii="Times New Roman" w:hAnsi="Times New Roman" w:eastAsia="仿宋_GB2312" w:cs="Times New Roman"/>
                <w:color w:val="000000"/>
                <w:sz w:val="21"/>
                <w:szCs w:val="21"/>
                <w:highlight w:val="none"/>
              </w:rPr>
              <w:t>6</w:t>
            </w:r>
            <w:r>
              <w:rPr>
                <w:rFonts w:hint="eastAsia" w:ascii="Times New Roman" w:hAnsi="Times New Roman" w:eastAsia="仿宋_GB2312" w:cs="仿宋_GB2312"/>
                <w:color w:val="000000"/>
                <w:sz w:val="21"/>
                <w:szCs w:val="21"/>
                <w:highlight w:val="none"/>
              </w:rPr>
              <w:t>个月以内或</w:t>
            </w:r>
            <w:r>
              <w:rPr>
                <w:rFonts w:ascii="Times New Roman" w:hAnsi="Times New Roman" w:eastAsia="仿宋_GB2312" w:cs="Times New Roman"/>
                <w:color w:val="000000"/>
                <w:sz w:val="21"/>
                <w:szCs w:val="21"/>
                <w:highlight w:val="none"/>
              </w:rPr>
              <w:t>2</w:t>
            </w:r>
            <w:r>
              <w:rPr>
                <w:rFonts w:hint="eastAsia" w:ascii="Times New Roman" w:hAnsi="Times New Roman" w:eastAsia="仿宋_GB2312" w:cs="仿宋_GB2312"/>
                <w:color w:val="000000"/>
                <w:sz w:val="21"/>
                <w:szCs w:val="21"/>
                <w:highlight w:val="none"/>
              </w:rPr>
              <w:t>次</w:t>
            </w:r>
          </w:p>
        </w:tc>
        <w:tc>
          <w:tcPr>
            <w:tcW w:w="2693" w:type="dxa"/>
            <w:vAlign w:val="center"/>
          </w:tcPr>
          <w:p>
            <w:pPr>
              <w:pStyle w:val="11"/>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6</w:t>
            </w:r>
            <w:r>
              <w:rPr>
                <w:rFonts w:hint="eastAsia" w:ascii="Times New Roman" w:hAnsi="Times New Roman" w:eastAsia="仿宋_GB2312" w:cs="仿宋_GB2312"/>
                <w:color w:val="000000"/>
                <w:sz w:val="21"/>
                <w:szCs w:val="21"/>
                <w:highlight w:val="none"/>
              </w:rPr>
              <w:t>个月以上或</w:t>
            </w:r>
            <w:r>
              <w:rPr>
                <w:rFonts w:ascii="Times New Roman" w:hAnsi="Times New Roman" w:eastAsia="仿宋_GB2312" w:cs="Times New Roman"/>
                <w:color w:val="000000"/>
                <w:sz w:val="21"/>
                <w:szCs w:val="21"/>
                <w:highlight w:val="none"/>
              </w:rPr>
              <w:t>3</w:t>
            </w:r>
            <w:r>
              <w:rPr>
                <w:rFonts w:hint="eastAsia" w:ascii="Times New Roman" w:hAnsi="Times New Roman" w:eastAsia="仿宋_GB2312" w:cs="仿宋_GB2312"/>
                <w:color w:val="000000"/>
                <w:sz w:val="21"/>
                <w:szCs w:val="21"/>
                <w:highlight w:val="none"/>
              </w:rPr>
              <w:t>次以上</w:t>
            </w:r>
          </w:p>
        </w:tc>
        <w:tc>
          <w:tcPr>
            <w:tcW w:w="2693" w:type="dxa"/>
            <w:vAlign w:val="center"/>
          </w:tcPr>
          <w:p>
            <w:pPr>
              <w:pStyle w:val="11"/>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（四）固体废物污染防治类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ind w:firstLine="420" w:firstLineChars="200"/>
              <w:jc w:val="left"/>
              <w:rPr>
                <w:rFonts w:ascii="Times New Roman" w:hAnsi="Times New Roman" w:cs="Times New Roman"/>
                <w:highlight w:val="none"/>
              </w:rPr>
            </w:pPr>
            <w:r>
              <w:rPr>
                <w:rFonts w:hint="eastAsia" w:ascii="Times New Roman" w:hAnsi="Times New Roman" w:eastAsia="仿宋_GB2312" w:cs="仿宋_GB2312"/>
                <w:kern w:val="0"/>
                <w:highlight w:val="none"/>
              </w:rPr>
              <w:t>未按照国家环境保护标准贮存、利用、处置危险废物或者将危险废物混入非危险废物中贮存</w:t>
            </w:r>
            <w:r>
              <w:rPr>
                <w:rFonts w:ascii="Times New Roman" w:hAnsi="Times New Roman" w:eastAsia="仿宋_GB2312" w:cs="仿宋_GB2312"/>
                <w:kern w:val="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snapToGrid w:val="0"/>
              <w:ind w:firstLine="422" w:firstLineChars="200"/>
              <w:jc w:val="left"/>
              <w:rPr>
                <w:rFonts w:ascii="Times New Roman" w:hAnsi="Times New Roman" w:eastAsia="仿宋_GB2312" w:cs="仿宋_GB2312"/>
                <w:kern w:val="0"/>
                <w:highlight w:val="none"/>
              </w:rPr>
            </w:pPr>
            <w:r>
              <w:rPr>
                <w:rFonts w:hint="eastAsia" w:ascii="仿宋_GB2312" w:hAnsi="Times New Roman" w:eastAsia="仿宋_GB2312" w:cs="Times New Roman"/>
                <w:b/>
                <w:bCs/>
                <w:highlight w:val="none"/>
              </w:rPr>
              <w:t>《中华人民共和国固体废物污染环境防治法》第八十一条</w:t>
            </w:r>
            <w:r>
              <w:rPr>
                <w:rFonts w:hint="eastAsia" w:ascii="Times New Roman" w:hAnsi="Times New Roman" w:cs="Times New Roman"/>
                <w:highlight w:val="none"/>
              </w:rPr>
              <w:t xml:space="preserve">  </w:t>
            </w:r>
            <w:r>
              <w:rPr>
                <w:rFonts w:hint="eastAsia" w:ascii="Times New Roman" w:hAnsi="Times New Roman" w:eastAsia="仿宋_GB2312" w:cs="仿宋_GB2312"/>
                <w:kern w:val="0"/>
                <w:highlight w:val="none"/>
              </w:rPr>
              <w:t>收集、贮存危险废物，应当按照危险废物特性分类进行。禁止混合收集、贮存、运输、处置性质不相容而未经安全性处置的危险废物。</w:t>
            </w:r>
            <w:r>
              <w:rPr>
                <w:rFonts w:ascii="Times New Roman" w:hAnsi="Times New Roman" w:eastAsia="仿宋_GB2312" w:cs="仿宋_GB2312"/>
                <w:kern w:val="0"/>
                <w:highlight w:val="none"/>
              </w:rPr>
              <w:t xml:space="preserve"> </w:t>
            </w:r>
          </w:p>
          <w:p>
            <w:pPr>
              <w:snapToGrid w:val="0"/>
              <w:ind w:firstLine="420"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贮存危险废物应当采取符合国家环境保护标准的防护措施。禁止将危险废物混入非危险废物中贮存。</w:t>
            </w:r>
            <w:r>
              <w:rPr>
                <w:rFonts w:ascii="Times New Roman" w:hAnsi="Times New Roman" w:eastAsia="仿宋_GB2312" w:cs="仿宋_GB2312"/>
                <w:kern w:val="0"/>
                <w:highlight w:val="none"/>
              </w:rPr>
              <w:t xml:space="preserve"> </w:t>
            </w:r>
          </w:p>
          <w:p>
            <w:pPr>
              <w:snapToGrid w:val="0"/>
              <w:ind w:firstLine="420" w:firstLineChars="200"/>
              <w:jc w:val="left"/>
              <w:rPr>
                <w:rFonts w:ascii="Times New Roman" w:hAnsi="Times New Roman" w:cs="Times New Roman"/>
                <w:highlight w:val="none"/>
              </w:rPr>
            </w:pPr>
            <w:r>
              <w:rPr>
                <w:rFonts w:hint="eastAsia" w:ascii="Times New Roman" w:hAnsi="Times New Roman" w:eastAsia="仿宋_GB2312" w:cs="仿宋_GB2312"/>
                <w:kern w:val="0"/>
                <w:highlight w:val="none"/>
              </w:rPr>
              <w:t>从事收集、贮存、利用、处置危险废物经营活动的单位，贮存危险废物不得超过一年；确需延长期限的，应当报经颁发许可证的生态环境主管部门批准；法律、行政法规另有规定的除外。</w:t>
            </w:r>
            <w:r>
              <w:rPr>
                <w:rFonts w:ascii="Times New Roman" w:hAnsi="Times New Roman" w:eastAsia="仿宋_GB2312" w:cs="仿宋_GB2312"/>
                <w:kern w:val="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snapToGrid w:val="0"/>
              <w:ind w:firstLine="422" w:firstLineChars="200"/>
              <w:jc w:val="left"/>
              <w:rPr>
                <w:rFonts w:ascii="Times New Roman" w:hAnsi="Times New Roman" w:eastAsia="仿宋_GB2312" w:cs="仿宋_GB2312"/>
                <w:kern w:val="0"/>
                <w:highlight w:val="none"/>
              </w:rPr>
            </w:pPr>
            <w:r>
              <w:rPr>
                <w:rFonts w:hint="eastAsia" w:ascii="仿宋_GB2312" w:hAnsi="Times New Roman" w:eastAsia="仿宋_GB2312" w:cs="Times New Roman"/>
                <w:b/>
                <w:bCs/>
                <w:highlight w:val="none"/>
              </w:rPr>
              <w:t>《中华人民共和国固体废物污染环境防治法》第一百一十二条第一款第（六）项、第二款</w:t>
            </w:r>
            <w:r>
              <w:rPr>
                <w:rFonts w:hint="eastAsia" w:ascii="Times New Roman" w:hAnsi="Times New Roman" w:cs="Times New Roman"/>
                <w:highlight w:val="none"/>
              </w:rPr>
              <w:t xml:space="preserve">  </w:t>
            </w:r>
            <w:r>
              <w:rPr>
                <w:rFonts w:hint="eastAsia" w:ascii="Times New Roman" w:hAnsi="Times New Roman" w:eastAsia="仿宋_GB2312" w:cs="仿宋_GB2312"/>
                <w:kern w:val="0"/>
                <w:highlight w:val="none"/>
              </w:rPr>
              <w:t>违反本法规定，有下列行为之一，由生态环境主管部门责令改正，处以罚款，没收违法所得；情节严重的，报经有批准权的人民政府批准，可以责令停业或者关闭：</w:t>
            </w:r>
            <w:r>
              <w:rPr>
                <w:rFonts w:ascii="Times New Roman" w:hAnsi="Times New Roman" w:eastAsia="仿宋_GB2312" w:cs="仿宋_GB2312"/>
                <w:kern w:val="0"/>
                <w:highlight w:val="none"/>
              </w:rPr>
              <w:t xml:space="preserve"> </w:t>
            </w:r>
          </w:p>
          <w:p>
            <w:pPr>
              <w:snapToGrid w:val="0"/>
              <w:ind w:firstLine="420"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（六）未按照国家环境保护标准贮存、利用、处置危险废物或者将危险废物混入非危险废物中贮存的；</w:t>
            </w:r>
            <w:r>
              <w:rPr>
                <w:rFonts w:ascii="Times New Roman" w:hAnsi="Times New Roman" w:eastAsia="仿宋_GB2312" w:cs="仿宋_GB2312"/>
                <w:kern w:val="0"/>
                <w:highlight w:val="none"/>
              </w:rPr>
              <w:t xml:space="preserve"> </w:t>
            </w:r>
          </w:p>
          <w:p>
            <w:pPr>
              <w:snapToGrid w:val="0"/>
              <w:ind w:firstLine="420" w:firstLineChars="200"/>
              <w:jc w:val="left"/>
              <w:rPr>
                <w:rFonts w:ascii="Times New Roman" w:hAnsi="Times New Roman" w:cs="Times New Roman"/>
                <w:highlight w:val="none"/>
              </w:rPr>
            </w:pPr>
            <w:r>
              <w:rPr>
                <w:rFonts w:hint="eastAsia" w:ascii="Times New Roman" w:hAnsi="Times New Roman" w:eastAsia="仿宋_GB2312" w:cs="仿宋_GB2312"/>
                <w:kern w:val="0"/>
                <w:highlight w:val="none"/>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r>
              <w:rPr>
                <w:rFonts w:ascii="Times New Roman" w:hAnsi="Times New Roman" w:eastAsia="仿宋_GB2312" w:cs="仿宋_GB2312"/>
                <w:kern w:val="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违法事实★</w:t>
            </w:r>
          </w:p>
        </w:tc>
        <w:tc>
          <w:tcPr>
            <w:tcW w:w="5245" w:type="dxa"/>
            <w:vAlign w:val="center"/>
          </w:tcPr>
          <w:p>
            <w:pPr>
              <w:pStyle w:val="35"/>
              <w:spacing w:before="4" w:line="280" w:lineRule="atLeast"/>
              <w:ind w:right="55"/>
              <w:jc w:val="both"/>
              <w:rPr>
                <w:rFonts w:ascii="Times New Roman" w:hAnsi="Times New Roman" w:eastAsia="仿宋_GB2312" w:cs="仿宋_GB2312"/>
                <w:kern w:val="0"/>
                <w:highlight w:val="none"/>
                <w:lang w:val="en-US" w:bidi="ar-SA"/>
              </w:rPr>
            </w:pPr>
            <w:r>
              <w:rPr>
                <w:rFonts w:hint="eastAsia" w:ascii="Times New Roman" w:hAnsi="Times New Roman" w:eastAsia="仿宋_GB2312" w:cs="仿宋_GB2312"/>
                <w:kern w:val="0"/>
                <w:highlight w:val="none"/>
                <w:lang w:val="en-US" w:bidi="ar-SA"/>
              </w:rPr>
              <w:t>贮存、利用、处置场所已建设危险废物污染防治措施的</w:t>
            </w:r>
          </w:p>
        </w:tc>
        <w:tc>
          <w:tcPr>
            <w:tcW w:w="2693" w:type="dxa"/>
            <w:vAlign w:val="center"/>
          </w:tcPr>
          <w:p>
            <w:pPr>
              <w:pStyle w:val="35"/>
              <w:spacing w:before="4" w:line="280" w:lineRule="atLeast"/>
              <w:ind w:left="1034" w:right="55" w:hanging="927"/>
              <w:rPr>
                <w:rFonts w:ascii="Times New Roman" w:hAnsi="Times New Roman" w:eastAsia="仿宋_GB2312" w:cs="仿宋_GB2312"/>
                <w:kern w:val="0"/>
                <w:highlight w:val="none"/>
                <w:lang w:val="en-US" w:bidi="ar-SA"/>
              </w:rPr>
            </w:pPr>
            <w:r>
              <w:rPr>
                <w:rFonts w:hint="eastAsia" w:ascii="Times New Roman" w:hAnsi="Times New Roman" w:eastAsia="仿宋_GB2312" w:cs="仿宋_GB2312"/>
                <w:kern w:val="0"/>
                <w:highlight w:val="none"/>
                <w:lang w:val="en-US"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35"/>
              <w:spacing w:before="4" w:line="280" w:lineRule="atLeast"/>
              <w:ind w:right="55"/>
              <w:rPr>
                <w:rFonts w:ascii="Times New Roman" w:hAnsi="Times New Roman" w:eastAsia="仿宋_GB2312" w:cs="仿宋_GB2312"/>
                <w:kern w:val="0"/>
                <w:highlight w:val="none"/>
                <w:lang w:val="en-US" w:bidi="ar-SA"/>
              </w:rPr>
            </w:pPr>
            <w:r>
              <w:rPr>
                <w:rFonts w:hint="eastAsia" w:ascii="Times New Roman" w:hAnsi="Times New Roman" w:eastAsia="仿宋_GB2312" w:cs="仿宋_GB2312"/>
                <w:kern w:val="0"/>
                <w:highlight w:val="none"/>
                <w:lang w:val="en-US" w:bidi="ar-SA"/>
              </w:rPr>
              <w:t>贮存、利用、处置场所已建设危险废物污染防治措施， 但危险废物污染防治措施不规范的</w:t>
            </w:r>
          </w:p>
        </w:tc>
        <w:tc>
          <w:tcPr>
            <w:tcW w:w="2693" w:type="dxa"/>
            <w:vAlign w:val="center"/>
          </w:tcPr>
          <w:p>
            <w:pPr>
              <w:pStyle w:val="35"/>
              <w:spacing w:before="4" w:line="280" w:lineRule="atLeast"/>
              <w:ind w:left="1034" w:right="55" w:hanging="927"/>
              <w:rPr>
                <w:rFonts w:ascii="Times New Roman" w:hAnsi="Times New Roman" w:eastAsia="仿宋_GB2312" w:cs="仿宋_GB2312"/>
                <w:kern w:val="0"/>
                <w:highlight w:val="none"/>
                <w:lang w:val="en-US" w:bidi="ar-SA"/>
              </w:rPr>
            </w:pPr>
            <w:r>
              <w:rPr>
                <w:rFonts w:hint="eastAsia" w:ascii="Times New Roman" w:hAnsi="Times New Roman" w:eastAsia="仿宋_GB2312" w:cs="仿宋_GB2312"/>
                <w:kern w:val="0"/>
                <w:highlight w:val="none"/>
                <w:lang w:val="en-US"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35"/>
              <w:spacing w:before="4" w:line="280" w:lineRule="atLeast"/>
              <w:ind w:right="55"/>
              <w:jc w:val="both"/>
              <w:rPr>
                <w:rFonts w:ascii="Times New Roman" w:hAnsi="Times New Roman" w:eastAsia="仿宋_GB2312" w:cs="仿宋_GB2312"/>
                <w:kern w:val="0"/>
                <w:highlight w:val="none"/>
                <w:lang w:val="en-US" w:bidi="ar-SA"/>
              </w:rPr>
            </w:pPr>
            <w:r>
              <w:rPr>
                <w:rFonts w:hint="eastAsia" w:ascii="Times New Roman" w:hAnsi="Times New Roman" w:eastAsia="仿宋_GB2312" w:cs="仿宋_GB2312"/>
                <w:kern w:val="0"/>
                <w:highlight w:val="none"/>
                <w:lang w:val="en-US" w:bidi="ar-SA"/>
              </w:rPr>
              <w:t>贮存、利用、处置场所未建设危险废物污染防治措施的</w:t>
            </w:r>
          </w:p>
        </w:tc>
        <w:tc>
          <w:tcPr>
            <w:tcW w:w="2693" w:type="dxa"/>
            <w:vAlign w:val="center"/>
          </w:tcPr>
          <w:p>
            <w:pPr>
              <w:pStyle w:val="35"/>
              <w:spacing w:before="4" w:line="280" w:lineRule="atLeast"/>
              <w:ind w:left="1034" w:right="55" w:hanging="927"/>
              <w:rPr>
                <w:rFonts w:ascii="Times New Roman" w:hAnsi="Times New Roman" w:eastAsia="仿宋_GB2312" w:cs="仿宋_GB2312"/>
                <w:kern w:val="0"/>
                <w:highlight w:val="none"/>
                <w:lang w:val="en-US" w:bidi="ar-SA"/>
              </w:rPr>
            </w:pPr>
            <w:r>
              <w:rPr>
                <w:rFonts w:hint="eastAsia" w:ascii="Times New Roman" w:hAnsi="Times New Roman" w:eastAsia="仿宋_GB2312" w:cs="仿宋_GB2312"/>
                <w:kern w:val="0"/>
                <w:highlight w:val="none"/>
                <w:lang w:val="en-US"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71" w:type="dxa"/>
            <w:vMerge w:val="restart"/>
            <w:vAlign w:val="center"/>
          </w:tcPr>
          <w:p>
            <w:pPr>
              <w:snapToGrid w:val="0"/>
              <w:jc w:val="center"/>
              <w:rPr>
                <w:rFonts w:ascii="Times New Roman" w:hAnsi="Times New Roman" w:cs="宋体"/>
                <w:b/>
                <w:bCs/>
                <w:highlight w:val="none"/>
              </w:rPr>
            </w:pPr>
            <w:r>
              <w:rPr>
                <w:rFonts w:hint="eastAsia" w:ascii="Times New Roman" w:hAnsi="Times New Roman" w:cs="宋体"/>
                <w:b/>
                <w:bCs/>
                <w:highlight w:val="none"/>
              </w:rPr>
              <w:t>混合物</w:t>
            </w:r>
          </w:p>
          <w:p>
            <w:pPr>
              <w:snapToGrid w:val="0"/>
              <w:jc w:val="center"/>
              <w:rPr>
                <w:rFonts w:ascii="Times New Roman" w:hAnsi="Times New Roman" w:cs="宋体"/>
                <w:b/>
                <w:bCs/>
                <w:highlight w:val="none"/>
              </w:rPr>
            </w:pPr>
            <w:r>
              <w:rPr>
                <w:rFonts w:hint="eastAsia" w:ascii="Times New Roman" w:hAnsi="Times New Roman" w:cs="宋体"/>
                <w:b/>
                <w:bCs/>
                <w:highlight w:val="none"/>
              </w:rPr>
              <w:t>数量★</w:t>
            </w:r>
          </w:p>
        </w:tc>
        <w:tc>
          <w:tcPr>
            <w:tcW w:w="5245" w:type="dxa"/>
            <w:vAlign w:val="center"/>
          </w:tcPr>
          <w:p>
            <w:pPr>
              <w:pStyle w:val="35"/>
              <w:spacing w:before="4" w:line="280" w:lineRule="atLeast"/>
              <w:ind w:left="1034" w:right="55" w:hanging="927"/>
              <w:rPr>
                <w:rFonts w:ascii="Times New Roman" w:hAnsi="Times New Roman" w:eastAsia="仿宋_GB2312" w:cs="仿宋_GB2312"/>
                <w:kern w:val="0"/>
                <w:highlight w:val="none"/>
                <w:lang w:val="en-US" w:bidi="ar-SA"/>
              </w:rPr>
            </w:pPr>
            <w:r>
              <w:rPr>
                <w:rFonts w:hint="eastAsia" w:ascii="Times New Roman" w:hAnsi="Times New Roman" w:eastAsia="仿宋_GB2312" w:cs="仿宋_GB2312"/>
                <w:kern w:val="0"/>
                <w:highlight w:val="none"/>
                <w:lang w:val="en-US" w:bidi="ar-SA"/>
              </w:rPr>
              <w:t>混合物数量不足 1 吨</w:t>
            </w:r>
          </w:p>
        </w:tc>
        <w:tc>
          <w:tcPr>
            <w:tcW w:w="2693" w:type="dxa"/>
            <w:vAlign w:val="center"/>
          </w:tcPr>
          <w:p>
            <w:pPr>
              <w:pStyle w:val="35"/>
              <w:spacing w:before="4" w:line="280" w:lineRule="atLeast"/>
              <w:ind w:left="1034" w:right="55" w:hanging="927"/>
              <w:rPr>
                <w:rFonts w:ascii="Times New Roman" w:hAnsi="Times New Roman" w:eastAsia="仿宋_GB2312" w:cs="仿宋_GB2312"/>
                <w:kern w:val="0"/>
                <w:highlight w:val="none"/>
                <w:lang w:val="en-US" w:bidi="ar-SA"/>
              </w:rPr>
            </w:pPr>
            <w:r>
              <w:rPr>
                <w:rFonts w:hint="eastAsia" w:ascii="Times New Roman" w:hAnsi="Times New Roman" w:eastAsia="仿宋_GB2312" w:cs="仿宋_GB2312"/>
                <w:kern w:val="0"/>
                <w:highlight w:val="none"/>
                <w:lang w:val="en-US"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271" w:type="dxa"/>
            <w:vMerge w:val="continue"/>
            <w:vAlign w:val="center"/>
          </w:tcPr>
          <w:p>
            <w:pPr>
              <w:snapToGrid w:val="0"/>
              <w:jc w:val="center"/>
              <w:rPr>
                <w:rFonts w:ascii="Times New Roman" w:hAnsi="Times New Roman" w:cs="宋体"/>
                <w:b/>
                <w:bCs/>
                <w:highlight w:val="none"/>
              </w:rPr>
            </w:pPr>
          </w:p>
        </w:tc>
        <w:tc>
          <w:tcPr>
            <w:tcW w:w="5245" w:type="dxa"/>
            <w:vAlign w:val="center"/>
          </w:tcPr>
          <w:p>
            <w:pPr>
              <w:pStyle w:val="35"/>
              <w:spacing w:before="4" w:line="280" w:lineRule="atLeast"/>
              <w:ind w:left="1034" w:right="55" w:hanging="927"/>
              <w:rPr>
                <w:rFonts w:ascii="Times New Roman" w:hAnsi="Times New Roman" w:eastAsia="仿宋_GB2312" w:cs="仿宋_GB2312"/>
                <w:kern w:val="0"/>
                <w:highlight w:val="none"/>
                <w:lang w:val="en-US" w:bidi="ar-SA"/>
              </w:rPr>
            </w:pPr>
            <w:r>
              <w:rPr>
                <w:rFonts w:hint="eastAsia" w:ascii="Times New Roman" w:hAnsi="Times New Roman" w:eastAsia="仿宋_GB2312" w:cs="仿宋_GB2312"/>
                <w:kern w:val="0"/>
                <w:highlight w:val="none"/>
                <w:lang w:val="en-US" w:bidi="ar-SA"/>
              </w:rPr>
              <w:t>混合物数量 1 吨以上不足 5 吨</w:t>
            </w:r>
          </w:p>
        </w:tc>
        <w:tc>
          <w:tcPr>
            <w:tcW w:w="2693" w:type="dxa"/>
            <w:vAlign w:val="center"/>
          </w:tcPr>
          <w:p>
            <w:pPr>
              <w:pStyle w:val="35"/>
              <w:spacing w:before="4" w:line="280" w:lineRule="atLeast"/>
              <w:ind w:left="1034" w:right="55" w:hanging="927"/>
              <w:rPr>
                <w:rFonts w:ascii="Times New Roman" w:hAnsi="Times New Roman" w:eastAsia="仿宋_GB2312" w:cs="仿宋_GB2312"/>
                <w:kern w:val="0"/>
                <w:highlight w:val="none"/>
                <w:lang w:val="en-US" w:bidi="ar-SA"/>
              </w:rPr>
            </w:pPr>
            <w:r>
              <w:rPr>
                <w:rFonts w:hint="eastAsia" w:ascii="Times New Roman" w:hAnsi="Times New Roman" w:eastAsia="仿宋_GB2312" w:cs="仿宋_GB2312"/>
                <w:kern w:val="0"/>
                <w:highlight w:val="none"/>
                <w:lang w:val="en-US"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71" w:type="dxa"/>
            <w:vMerge w:val="continue"/>
            <w:vAlign w:val="center"/>
          </w:tcPr>
          <w:p>
            <w:pPr>
              <w:snapToGrid w:val="0"/>
              <w:jc w:val="center"/>
              <w:rPr>
                <w:rFonts w:ascii="Times New Roman" w:hAnsi="Times New Roman" w:cs="宋体"/>
                <w:b/>
                <w:bCs/>
                <w:highlight w:val="none"/>
              </w:rPr>
            </w:pPr>
          </w:p>
        </w:tc>
        <w:tc>
          <w:tcPr>
            <w:tcW w:w="5245" w:type="dxa"/>
            <w:vAlign w:val="center"/>
          </w:tcPr>
          <w:p>
            <w:pPr>
              <w:pStyle w:val="35"/>
              <w:spacing w:before="4" w:line="280" w:lineRule="atLeast"/>
              <w:ind w:left="1034" w:right="55" w:hanging="927"/>
              <w:rPr>
                <w:rFonts w:ascii="Times New Roman" w:hAnsi="Times New Roman" w:eastAsia="仿宋_GB2312" w:cs="仿宋_GB2312"/>
                <w:kern w:val="0"/>
                <w:highlight w:val="none"/>
                <w:lang w:val="en-US" w:bidi="ar-SA"/>
              </w:rPr>
            </w:pPr>
            <w:r>
              <w:rPr>
                <w:rFonts w:hint="eastAsia" w:ascii="Times New Roman" w:hAnsi="Times New Roman" w:eastAsia="仿宋_GB2312" w:cs="仿宋_GB2312"/>
                <w:kern w:val="0"/>
                <w:highlight w:val="none"/>
                <w:lang w:val="en-US" w:bidi="ar-SA"/>
              </w:rPr>
              <w:t>混合物数量 5 吨以上不足 10 吨</w:t>
            </w:r>
          </w:p>
        </w:tc>
        <w:tc>
          <w:tcPr>
            <w:tcW w:w="2693" w:type="dxa"/>
            <w:vAlign w:val="center"/>
          </w:tcPr>
          <w:p>
            <w:pPr>
              <w:pStyle w:val="35"/>
              <w:spacing w:before="4" w:line="280" w:lineRule="atLeast"/>
              <w:ind w:left="1034" w:right="55" w:hanging="927"/>
              <w:rPr>
                <w:rFonts w:ascii="Times New Roman" w:hAnsi="Times New Roman" w:eastAsia="仿宋_GB2312" w:cs="仿宋_GB2312"/>
                <w:kern w:val="0"/>
                <w:highlight w:val="none"/>
                <w:lang w:val="en-US" w:bidi="ar-SA"/>
              </w:rPr>
            </w:pPr>
            <w:r>
              <w:rPr>
                <w:rFonts w:hint="eastAsia" w:ascii="Times New Roman" w:hAnsi="Times New Roman" w:eastAsia="仿宋_GB2312" w:cs="仿宋_GB2312"/>
                <w:kern w:val="0"/>
                <w:highlight w:val="none"/>
                <w:lang w:val="en-US"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71" w:type="dxa"/>
            <w:vMerge w:val="continue"/>
            <w:vAlign w:val="center"/>
          </w:tcPr>
          <w:p>
            <w:pPr>
              <w:snapToGrid w:val="0"/>
              <w:jc w:val="center"/>
              <w:rPr>
                <w:rFonts w:ascii="Times New Roman" w:hAnsi="Times New Roman" w:cs="宋体"/>
                <w:b/>
                <w:bCs/>
                <w:highlight w:val="none"/>
              </w:rPr>
            </w:pPr>
          </w:p>
        </w:tc>
        <w:tc>
          <w:tcPr>
            <w:tcW w:w="5245" w:type="dxa"/>
            <w:vAlign w:val="center"/>
          </w:tcPr>
          <w:p>
            <w:pPr>
              <w:pStyle w:val="35"/>
              <w:spacing w:before="4" w:line="280" w:lineRule="atLeast"/>
              <w:ind w:left="1034" w:right="55" w:hanging="927"/>
              <w:rPr>
                <w:rFonts w:ascii="Times New Roman" w:hAnsi="Times New Roman" w:eastAsia="仿宋_GB2312" w:cs="仿宋_GB2312"/>
                <w:kern w:val="0"/>
                <w:highlight w:val="none"/>
                <w:lang w:val="en-US" w:bidi="ar-SA"/>
              </w:rPr>
            </w:pPr>
            <w:r>
              <w:rPr>
                <w:rFonts w:hint="eastAsia" w:ascii="Times New Roman" w:hAnsi="Times New Roman" w:eastAsia="仿宋_GB2312" w:cs="仿宋_GB2312"/>
                <w:kern w:val="0"/>
                <w:highlight w:val="none"/>
                <w:lang w:val="en-US" w:bidi="ar-SA"/>
              </w:rPr>
              <w:t>混合物数量 10 吨以上不足 20 吨</w:t>
            </w:r>
          </w:p>
        </w:tc>
        <w:tc>
          <w:tcPr>
            <w:tcW w:w="2693" w:type="dxa"/>
            <w:vAlign w:val="center"/>
          </w:tcPr>
          <w:p>
            <w:pPr>
              <w:pStyle w:val="35"/>
              <w:spacing w:before="4" w:line="280" w:lineRule="atLeast"/>
              <w:ind w:left="1034" w:right="55" w:hanging="927"/>
              <w:rPr>
                <w:rFonts w:ascii="Times New Roman" w:hAnsi="Times New Roman" w:eastAsia="仿宋_GB2312" w:cs="仿宋_GB2312"/>
                <w:kern w:val="0"/>
                <w:highlight w:val="none"/>
                <w:lang w:val="en-US" w:bidi="ar-SA"/>
              </w:rPr>
            </w:pPr>
            <w:r>
              <w:rPr>
                <w:rFonts w:hint="eastAsia" w:ascii="Times New Roman" w:hAnsi="Times New Roman" w:eastAsia="仿宋_GB2312" w:cs="仿宋_GB2312"/>
                <w:kern w:val="0"/>
                <w:highlight w:val="none"/>
                <w:lang w:val="en-US"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71" w:type="dxa"/>
            <w:vMerge w:val="continue"/>
            <w:vAlign w:val="center"/>
          </w:tcPr>
          <w:p>
            <w:pPr>
              <w:snapToGrid w:val="0"/>
              <w:jc w:val="center"/>
              <w:rPr>
                <w:rFonts w:ascii="Times New Roman" w:hAnsi="Times New Roman" w:cs="宋体"/>
                <w:b/>
                <w:bCs/>
                <w:highlight w:val="none"/>
              </w:rPr>
            </w:pPr>
          </w:p>
        </w:tc>
        <w:tc>
          <w:tcPr>
            <w:tcW w:w="5245" w:type="dxa"/>
            <w:vAlign w:val="center"/>
          </w:tcPr>
          <w:p>
            <w:pPr>
              <w:pStyle w:val="35"/>
              <w:spacing w:before="4" w:line="280" w:lineRule="atLeast"/>
              <w:ind w:left="1034" w:right="55" w:hanging="927"/>
              <w:rPr>
                <w:rFonts w:ascii="Times New Roman" w:hAnsi="Times New Roman" w:eastAsia="仿宋_GB2312" w:cs="仿宋_GB2312"/>
                <w:kern w:val="0"/>
                <w:highlight w:val="none"/>
                <w:lang w:val="en-US" w:bidi="ar-SA"/>
              </w:rPr>
            </w:pPr>
            <w:r>
              <w:rPr>
                <w:rFonts w:hint="eastAsia" w:ascii="Times New Roman" w:hAnsi="Times New Roman" w:eastAsia="仿宋_GB2312" w:cs="仿宋_GB2312"/>
                <w:kern w:val="0"/>
                <w:highlight w:val="none"/>
                <w:lang w:val="en-US" w:bidi="ar-SA"/>
              </w:rPr>
              <w:t>混合物数量 20 吨以上</w:t>
            </w:r>
          </w:p>
        </w:tc>
        <w:tc>
          <w:tcPr>
            <w:tcW w:w="2693" w:type="dxa"/>
            <w:vAlign w:val="center"/>
          </w:tcPr>
          <w:p>
            <w:pPr>
              <w:pStyle w:val="35"/>
              <w:spacing w:before="4" w:line="280" w:lineRule="atLeast"/>
              <w:ind w:left="1034" w:right="55" w:hanging="927"/>
              <w:rPr>
                <w:rFonts w:ascii="Times New Roman" w:hAnsi="Times New Roman" w:eastAsia="仿宋_GB2312" w:cs="仿宋_GB2312"/>
                <w:kern w:val="0"/>
                <w:highlight w:val="none"/>
                <w:lang w:val="en-US" w:bidi="ar-SA"/>
              </w:rPr>
            </w:pPr>
            <w:r>
              <w:rPr>
                <w:rFonts w:hint="eastAsia" w:ascii="Times New Roman" w:hAnsi="Times New Roman" w:eastAsia="仿宋_GB2312" w:cs="仿宋_GB2312"/>
                <w:kern w:val="0"/>
                <w:highlight w:val="none"/>
                <w:lang w:val="en-US"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违法行为持续时间或</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发生频次</w:t>
            </w:r>
          </w:p>
        </w:tc>
        <w:tc>
          <w:tcPr>
            <w:tcW w:w="5245" w:type="dxa"/>
            <w:vAlign w:val="center"/>
          </w:tcPr>
          <w:p>
            <w:pPr>
              <w:pStyle w:val="35"/>
              <w:spacing w:before="4" w:line="280" w:lineRule="atLeast"/>
              <w:ind w:left="1034" w:right="55" w:hanging="927"/>
              <w:rPr>
                <w:rFonts w:ascii="Times New Roman" w:hAnsi="Times New Roman" w:eastAsia="仿宋_GB2312" w:cs="仿宋_GB2312"/>
                <w:color w:val="000000"/>
                <w:kern w:val="0"/>
                <w:highlight w:val="none"/>
                <w:lang w:val="en-US" w:bidi="ar-SA"/>
              </w:rPr>
            </w:pPr>
            <w:r>
              <w:rPr>
                <w:rFonts w:hint="eastAsia" w:ascii="Times New Roman" w:hAnsi="Times New Roman" w:eastAsia="仿宋_GB2312" w:cs="仿宋_GB2312"/>
                <w:color w:val="000000"/>
                <w:kern w:val="0"/>
                <w:highlight w:val="none"/>
                <w:lang w:val="en-US" w:bidi="ar-SA"/>
              </w:rPr>
              <w:t>3个月以内或2次以下</w:t>
            </w:r>
          </w:p>
        </w:tc>
        <w:tc>
          <w:tcPr>
            <w:tcW w:w="2693" w:type="dxa"/>
            <w:vAlign w:val="center"/>
          </w:tcPr>
          <w:p>
            <w:pPr>
              <w:pStyle w:val="35"/>
              <w:spacing w:before="4" w:line="280" w:lineRule="atLeast"/>
              <w:ind w:left="1034" w:right="55" w:hanging="927"/>
              <w:rPr>
                <w:rFonts w:ascii="Times New Roman" w:hAnsi="Times New Roman" w:eastAsia="仿宋_GB2312" w:cs="仿宋_GB2312"/>
                <w:color w:val="000000"/>
                <w:kern w:val="0"/>
                <w:highlight w:val="none"/>
                <w:lang w:val="en-US" w:bidi="ar-SA"/>
              </w:rPr>
            </w:pPr>
            <w:r>
              <w:rPr>
                <w:rFonts w:hint="eastAsia" w:ascii="Times New Roman" w:hAnsi="Times New Roman" w:eastAsia="仿宋_GB2312" w:cs="仿宋_GB2312"/>
                <w:color w:val="000000"/>
                <w:kern w:val="0"/>
                <w:highlight w:val="none"/>
                <w:lang w:val="en-US"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35"/>
              <w:spacing w:before="4" w:line="280" w:lineRule="atLeast"/>
              <w:ind w:left="1034" w:right="55" w:hanging="927"/>
              <w:rPr>
                <w:rFonts w:ascii="Times New Roman" w:hAnsi="Times New Roman" w:eastAsia="仿宋_GB2312" w:cs="仿宋_GB2312"/>
                <w:color w:val="000000"/>
                <w:kern w:val="0"/>
                <w:highlight w:val="none"/>
                <w:lang w:val="en-US" w:bidi="ar-SA"/>
              </w:rPr>
            </w:pPr>
            <w:r>
              <w:rPr>
                <w:rFonts w:hint="eastAsia" w:ascii="Times New Roman" w:hAnsi="Times New Roman" w:eastAsia="仿宋_GB2312" w:cs="仿宋_GB2312"/>
                <w:color w:val="000000"/>
                <w:kern w:val="0"/>
                <w:highlight w:val="none"/>
                <w:lang w:val="en-US" w:bidi="ar-SA"/>
              </w:rPr>
              <w:t>3个月以上6个月以内或2次</w:t>
            </w:r>
          </w:p>
        </w:tc>
        <w:tc>
          <w:tcPr>
            <w:tcW w:w="2693" w:type="dxa"/>
            <w:vAlign w:val="center"/>
          </w:tcPr>
          <w:p>
            <w:pPr>
              <w:pStyle w:val="35"/>
              <w:spacing w:before="4" w:line="280" w:lineRule="atLeast"/>
              <w:ind w:left="1034" w:right="55" w:hanging="927"/>
              <w:rPr>
                <w:rFonts w:ascii="Times New Roman" w:hAnsi="Times New Roman" w:eastAsia="仿宋_GB2312" w:cs="仿宋_GB2312"/>
                <w:color w:val="000000"/>
                <w:kern w:val="0"/>
                <w:highlight w:val="none"/>
                <w:lang w:val="en-US" w:bidi="ar-SA"/>
              </w:rPr>
            </w:pPr>
            <w:r>
              <w:rPr>
                <w:rFonts w:hint="eastAsia" w:ascii="Times New Roman" w:hAnsi="Times New Roman" w:eastAsia="仿宋_GB2312" w:cs="仿宋_GB2312"/>
                <w:color w:val="000000"/>
                <w:kern w:val="0"/>
                <w:highlight w:val="none"/>
                <w:lang w:val="en-US"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35"/>
              <w:spacing w:before="4" w:line="280" w:lineRule="atLeast"/>
              <w:ind w:left="1034" w:right="55" w:hanging="927"/>
              <w:rPr>
                <w:rFonts w:ascii="Times New Roman" w:hAnsi="Times New Roman" w:eastAsia="仿宋_GB2312" w:cs="仿宋_GB2312"/>
                <w:color w:val="000000"/>
                <w:kern w:val="0"/>
                <w:highlight w:val="none"/>
                <w:lang w:val="en-US" w:bidi="ar-SA"/>
              </w:rPr>
            </w:pPr>
            <w:r>
              <w:rPr>
                <w:rFonts w:hint="eastAsia" w:ascii="Times New Roman" w:hAnsi="Times New Roman" w:eastAsia="仿宋_GB2312" w:cs="仿宋_GB2312"/>
                <w:color w:val="000000"/>
                <w:kern w:val="0"/>
                <w:highlight w:val="none"/>
                <w:lang w:val="en-US" w:bidi="ar-SA"/>
              </w:rPr>
              <w:t>6个月以上或3次以上</w:t>
            </w:r>
          </w:p>
        </w:tc>
        <w:tc>
          <w:tcPr>
            <w:tcW w:w="2693" w:type="dxa"/>
            <w:vAlign w:val="center"/>
          </w:tcPr>
          <w:p>
            <w:pPr>
              <w:pStyle w:val="35"/>
              <w:spacing w:before="4" w:line="280" w:lineRule="atLeast"/>
              <w:ind w:left="1034" w:right="55" w:hanging="927"/>
              <w:rPr>
                <w:rFonts w:ascii="Times New Roman" w:hAnsi="Times New Roman" w:eastAsia="仿宋_GB2312" w:cs="仿宋_GB2312"/>
                <w:color w:val="000000"/>
                <w:kern w:val="0"/>
                <w:highlight w:val="none"/>
                <w:lang w:val="en-US" w:bidi="ar-SA"/>
              </w:rPr>
            </w:pPr>
            <w:r>
              <w:rPr>
                <w:rFonts w:hint="eastAsia" w:ascii="Times New Roman" w:hAnsi="Times New Roman" w:eastAsia="仿宋_GB2312" w:cs="仿宋_GB2312"/>
                <w:color w:val="000000"/>
                <w:kern w:val="0"/>
                <w:highlight w:val="none"/>
                <w:lang w:val="en-US"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cs="Times New Roman"/>
          <w:highlight w:val="none"/>
        </w:rPr>
      </w:pPr>
      <w:r>
        <w:rPr>
          <w:rFonts w:ascii="Times New Roman" w:hAnsi="Times New Roman" w:cs="Times New Roman"/>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（四）固体废物污染防治类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hint="eastAsia" w:ascii="Times New Roman" w:hAnsi="Times New Roman" w:cs="Times New Roman"/>
                <w:highlight w:val="none"/>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kern w:val="0"/>
                <w:highlight w:val="none"/>
              </w:rPr>
              <w:t>未经安全性处置，混合收集、贮存、运输、处置具有不相容性质的危险废物的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2"/>
              <w:snapToGrid w:val="0"/>
              <w:spacing w:before="62" w:beforeLines="20" w:beforeAutospacing="0" w:after="0" w:afterAutospacing="0"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 xml:space="preserve">《中华人民共和国固体废物污染环境防治法》第八十一条第一款  </w:t>
            </w:r>
            <w:r>
              <w:rPr>
                <w:rFonts w:hint="eastAsia" w:ascii="Times New Roman" w:hAnsi="Times New Roman" w:eastAsia="仿宋_GB2312" w:cs="仿宋_GB2312"/>
                <w:sz w:val="21"/>
                <w:szCs w:val="21"/>
                <w:highlight w:val="none"/>
              </w:rPr>
              <w:t>收集、贮存危险废物，应当按照危险废物特性分类进行。禁止混合收集、贮存、运输、处置性质不相容而未经安全性处置的危险废物。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35"/>
              <w:snapToGrid w:val="0"/>
              <w:spacing w:before="94" w:line="288" w:lineRule="auto"/>
              <w:ind w:right="-15" w:firstLine="422" w:firstLineChars="200"/>
              <w:jc w:val="both"/>
              <w:rPr>
                <w:rFonts w:ascii="Times New Roman" w:hAnsi="Times New Roman" w:eastAsia="仿宋_GB2312" w:cs="仿宋_GB2312"/>
                <w:kern w:val="0"/>
                <w:highlight w:val="none"/>
                <w:lang w:val="en-US" w:bidi="ar-SA"/>
              </w:rPr>
            </w:pPr>
            <w:r>
              <w:rPr>
                <w:rFonts w:hint="eastAsia" w:ascii="Times New Roman" w:hAnsi="Times New Roman" w:eastAsia="仿宋_GB2312" w:cs="仿宋_GB2312"/>
                <w:b/>
                <w:bCs/>
                <w:kern w:val="0"/>
                <w:highlight w:val="none"/>
                <w:lang w:val="en-US" w:bidi="ar-SA"/>
              </w:rPr>
              <w:t>《中华人民共和国固体废物污染环境防治法》第一百一十二条第一款第（七）项、第二款</w:t>
            </w:r>
            <w:r>
              <w:rPr>
                <w:rFonts w:hint="eastAsia" w:ascii="Times New Roman" w:hAnsi="Times New Roman" w:eastAsia="仿宋_GB2312" w:cs="仿宋_GB2312"/>
                <w:kern w:val="0"/>
                <w:highlight w:val="none"/>
                <w:lang w:val="en-US" w:bidi="ar-SA"/>
              </w:rPr>
              <w:t xml:space="preserve">  违反本法规定，有下列行为之一，由生态环境主管部门责令改正，处以罚款， 没收违法所得；情节严重的，报经有批准权的人民政府批准，可以责令停业或者关闭：</w:t>
            </w:r>
          </w:p>
          <w:p>
            <w:pPr>
              <w:pStyle w:val="35"/>
              <w:snapToGrid w:val="0"/>
              <w:spacing w:line="288" w:lineRule="auto"/>
              <w:ind w:right="91" w:firstLine="420" w:firstLineChars="200"/>
              <w:jc w:val="left"/>
              <w:rPr>
                <w:rFonts w:ascii="Times New Roman" w:hAnsi="Times New Roman" w:eastAsia="仿宋_GB2312" w:cs="仿宋_GB2312"/>
                <w:kern w:val="0"/>
                <w:highlight w:val="none"/>
                <w:lang w:val="en-US" w:bidi="ar-SA"/>
              </w:rPr>
            </w:pPr>
            <w:r>
              <w:rPr>
                <w:rFonts w:hint="eastAsia" w:ascii="Times New Roman" w:hAnsi="Times New Roman" w:eastAsia="仿宋_GB2312" w:cs="仿宋_GB2312"/>
                <w:kern w:val="0"/>
                <w:highlight w:val="none"/>
                <w:lang w:val="en-US" w:bidi="ar-SA"/>
              </w:rPr>
              <w:t>（七）未经安全性处置，混合收集、贮存、运输、处置具有不相容性质的危险废物的；</w:t>
            </w:r>
          </w:p>
          <w:p>
            <w:pPr>
              <w:pStyle w:val="35"/>
              <w:snapToGrid w:val="0"/>
              <w:spacing w:line="288" w:lineRule="auto"/>
              <w:ind w:right="-15" w:firstLine="420" w:firstLineChars="200"/>
              <w:jc w:val="left"/>
              <w:rPr>
                <w:rFonts w:ascii="Times New Roman" w:hAnsi="Times New Roman" w:eastAsia="仿宋_GB2312" w:cs="Times New Roman"/>
                <w:highlight w:val="none"/>
              </w:rPr>
            </w:pPr>
            <w:r>
              <w:rPr>
                <w:rFonts w:hint="eastAsia" w:ascii="Times New Roman" w:hAnsi="Times New Roman" w:eastAsia="仿宋_GB2312" w:cs="仿宋_GB2312"/>
                <w:kern w:val="0"/>
                <w:highlight w:val="none"/>
                <w:lang w:val="en-US" w:bidi="ar-SA"/>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restart"/>
            <w:vAlign w:val="center"/>
          </w:tcPr>
          <w:p>
            <w:pPr>
              <w:snapToGrid w:val="0"/>
              <w:jc w:val="center"/>
              <w:rPr>
                <w:rFonts w:ascii="Times New Roman" w:hAnsi="Times New Roman" w:cs="宋体"/>
                <w:b/>
                <w:bCs/>
                <w:highlight w:val="none"/>
              </w:rPr>
            </w:pPr>
            <w:r>
              <w:rPr>
                <w:rFonts w:hint="eastAsia" w:ascii="Times New Roman" w:hAnsi="Times New Roman" w:cs="宋体"/>
                <w:b/>
                <w:bCs/>
                <w:highlight w:val="none"/>
              </w:rPr>
              <w:t>未安全处置</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数量★</w:t>
            </w:r>
          </w:p>
        </w:tc>
        <w:tc>
          <w:tcPr>
            <w:tcW w:w="5245" w:type="dxa"/>
            <w:vAlign w:val="center"/>
          </w:tcPr>
          <w:p>
            <w:pPr>
              <w:pStyle w:val="11"/>
              <w:snapToGrid w:val="0"/>
              <w:jc w:val="center"/>
              <w:rPr>
                <w:rFonts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处置数量不足1吨</w:t>
            </w:r>
          </w:p>
        </w:tc>
        <w:tc>
          <w:tcPr>
            <w:tcW w:w="2693" w:type="dxa"/>
            <w:vAlign w:val="center"/>
          </w:tcPr>
          <w:p>
            <w:pPr>
              <w:pStyle w:val="11"/>
              <w:snapToGrid w:val="0"/>
              <w:jc w:val="center"/>
              <w:rPr>
                <w:rFonts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处置数量1吨以上不足5吨</w:t>
            </w:r>
          </w:p>
        </w:tc>
        <w:tc>
          <w:tcPr>
            <w:tcW w:w="2693" w:type="dxa"/>
            <w:vAlign w:val="center"/>
          </w:tcPr>
          <w:p>
            <w:pPr>
              <w:pStyle w:val="11"/>
              <w:snapToGrid w:val="0"/>
              <w:jc w:val="center"/>
              <w:rPr>
                <w:rFonts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处置数量5吨以上不足10吨</w:t>
            </w:r>
          </w:p>
        </w:tc>
        <w:tc>
          <w:tcPr>
            <w:tcW w:w="2693" w:type="dxa"/>
            <w:vAlign w:val="center"/>
          </w:tcPr>
          <w:p>
            <w:pPr>
              <w:pStyle w:val="11"/>
              <w:snapToGrid w:val="0"/>
              <w:jc w:val="center"/>
              <w:rPr>
                <w:rFonts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处置数量10吨以上不足20吨</w:t>
            </w:r>
          </w:p>
        </w:tc>
        <w:tc>
          <w:tcPr>
            <w:tcW w:w="2693" w:type="dxa"/>
            <w:vAlign w:val="center"/>
          </w:tcPr>
          <w:p>
            <w:pPr>
              <w:pStyle w:val="11"/>
              <w:snapToGrid w:val="0"/>
              <w:jc w:val="center"/>
              <w:rPr>
                <w:rFonts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处置数量20吨以上</w:t>
            </w:r>
          </w:p>
        </w:tc>
        <w:tc>
          <w:tcPr>
            <w:tcW w:w="2693" w:type="dxa"/>
            <w:vAlign w:val="center"/>
          </w:tcPr>
          <w:p>
            <w:pPr>
              <w:pStyle w:val="11"/>
              <w:snapToGrid w:val="0"/>
              <w:jc w:val="center"/>
              <w:rPr>
                <w:rFonts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Times New Roman"/>
                <w:b/>
                <w:bCs/>
                <w:highlight w:val="none"/>
              </w:rPr>
              <w:t>危险</w:t>
            </w:r>
            <w:r>
              <w:rPr>
                <w:rFonts w:ascii="Times New Roman" w:hAnsi="Times New Roman" w:cs="Times New Roman"/>
                <w:b/>
                <w:bCs/>
                <w:highlight w:val="none"/>
              </w:rPr>
              <w:t>废物</w:t>
            </w:r>
          </w:p>
          <w:p>
            <w:pPr>
              <w:snapToGrid w:val="0"/>
              <w:jc w:val="center"/>
              <w:rPr>
                <w:rFonts w:ascii="Times New Roman" w:hAnsi="Times New Roman" w:cs="Times New Roman"/>
                <w:b/>
                <w:bCs/>
                <w:highlight w:val="none"/>
              </w:rPr>
            </w:pPr>
            <w:r>
              <w:rPr>
                <w:rFonts w:ascii="Times New Roman" w:hAnsi="Times New Roman" w:cs="Times New Roman"/>
                <w:b/>
                <w:bCs/>
                <w:highlight w:val="none"/>
              </w:rPr>
              <w:t>种类</w:t>
            </w:r>
          </w:p>
        </w:tc>
        <w:tc>
          <w:tcPr>
            <w:tcW w:w="5245" w:type="dxa"/>
            <w:tcBorders>
              <w:top w:val="single" w:color="auto" w:sz="4" w:space="0"/>
              <w:left w:val="single" w:color="auto" w:sz="4" w:space="0"/>
              <w:bottom w:val="single" w:color="auto" w:sz="4" w:space="0"/>
              <w:right w:val="single" w:color="auto" w:sz="4" w:space="0"/>
            </w:tcBorders>
            <w:vAlign w:val="center"/>
          </w:tcPr>
          <w:p>
            <w:pPr>
              <w:pStyle w:val="11"/>
              <w:snapToGrid w:val="0"/>
              <w:jc w:val="center"/>
              <w:rPr>
                <w:rFonts w:ascii="Times New Roman" w:hAnsi="Times New Roman" w:eastAsia="仿宋_GB2312" w:cs="仿宋_GB2312"/>
                <w:sz w:val="21"/>
                <w:szCs w:val="21"/>
                <w:highlight w:val="none"/>
              </w:rPr>
            </w:pPr>
            <w:r>
              <w:rPr>
                <w:rFonts w:ascii="Times New Roman" w:hAnsi="Times New Roman" w:eastAsia="仿宋_GB2312" w:cs="仿宋_GB2312"/>
                <w:sz w:val="21"/>
                <w:szCs w:val="21"/>
                <w:highlight w:val="none"/>
              </w:rPr>
              <w:t>3</w:t>
            </w:r>
            <w:r>
              <w:rPr>
                <w:rFonts w:hint="eastAsia" w:ascii="Times New Roman" w:hAnsi="Times New Roman" w:eastAsia="仿宋_GB2312" w:cs="仿宋_GB2312"/>
                <w:sz w:val="21"/>
                <w:szCs w:val="21"/>
                <w:highlight w:val="none"/>
              </w:rPr>
              <w:t>种以下的</w:t>
            </w:r>
          </w:p>
        </w:tc>
        <w:tc>
          <w:tcPr>
            <w:tcW w:w="2693" w:type="dxa"/>
            <w:tcBorders>
              <w:top w:val="single" w:color="auto" w:sz="4" w:space="0"/>
              <w:left w:val="single" w:color="auto" w:sz="4" w:space="0"/>
              <w:bottom w:val="single" w:color="auto" w:sz="4" w:space="0"/>
              <w:right w:val="single" w:color="auto" w:sz="4" w:space="0"/>
            </w:tcBorders>
            <w:vAlign w:val="center"/>
          </w:tcPr>
          <w:p>
            <w:pPr>
              <w:pStyle w:val="11"/>
              <w:snapToGrid w:val="0"/>
              <w:jc w:val="center"/>
              <w:rPr>
                <w:rFonts w:ascii="Times New Roman" w:hAnsi="Times New Roman" w:eastAsia="仿宋_GB2312" w:cs="仿宋_GB2312"/>
                <w:sz w:val="21"/>
                <w:szCs w:val="21"/>
                <w:highlight w:val="none"/>
              </w:rPr>
            </w:pPr>
            <w:r>
              <w:rPr>
                <w:rFonts w:ascii="Times New Roman" w:hAnsi="Times New Roman" w:eastAsia="仿宋_GB2312" w:cs="仿宋_GB2312"/>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tcBorders>
              <w:top w:val="single" w:color="auto" w:sz="4" w:space="0"/>
              <w:left w:val="single" w:color="auto" w:sz="4" w:space="0"/>
              <w:bottom w:val="single" w:color="auto" w:sz="4" w:space="0"/>
              <w:right w:val="single" w:color="auto" w:sz="4" w:space="0"/>
            </w:tcBorders>
            <w:vAlign w:val="center"/>
          </w:tcPr>
          <w:p>
            <w:pPr>
              <w:pStyle w:val="11"/>
              <w:snapToGrid w:val="0"/>
              <w:jc w:val="center"/>
              <w:rPr>
                <w:rFonts w:ascii="Times New Roman" w:hAnsi="Times New Roman" w:eastAsia="仿宋_GB2312" w:cs="仿宋_GB2312"/>
                <w:sz w:val="21"/>
                <w:szCs w:val="21"/>
                <w:highlight w:val="none"/>
              </w:rPr>
            </w:pPr>
            <w:r>
              <w:rPr>
                <w:rFonts w:ascii="Times New Roman" w:hAnsi="Times New Roman" w:eastAsia="仿宋_GB2312" w:cs="仿宋_GB2312"/>
                <w:sz w:val="21"/>
                <w:szCs w:val="21"/>
                <w:highlight w:val="none"/>
              </w:rPr>
              <w:t>3</w:t>
            </w:r>
            <w:r>
              <w:rPr>
                <w:rFonts w:hint="eastAsia" w:ascii="Times New Roman" w:hAnsi="Times New Roman" w:eastAsia="仿宋_GB2312" w:cs="仿宋_GB2312"/>
                <w:sz w:val="21"/>
                <w:szCs w:val="21"/>
                <w:highlight w:val="none"/>
              </w:rPr>
              <w:t>种以上</w:t>
            </w:r>
            <w:r>
              <w:rPr>
                <w:rFonts w:ascii="Times New Roman" w:hAnsi="Times New Roman" w:eastAsia="仿宋_GB2312" w:cs="仿宋_GB2312"/>
                <w:sz w:val="21"/>
                <w:szCs w:val="21"/>
                <w:highlight w:val="none"/>
              </w:rPr>
              <w:t>5</w:t>
            </w:r>
            <w:r>
              <w:rPr>
                <w:rFonts w:hint="eastAsia" w:ascii="Times New Roman" w:hAnsi="Times New Roman" w:eastAsia="仿宋_GB2312" w:cs="仿宋_GB2312"/>
                <w:sz w:val="21"/>
                <w:szCs w:val="21"/>
                <w:highlight w:val="none"/>
              </w:rPr>
              <w:t>种以下的</w:t>
            </w:r>
          </w:p>
        </w:tc>
        <w:tc>
          <w:tcPr>
            <w:tcW w:w="2693" w:type="dxa"/>
            <w:tcBorders>
              <w:top w:val="single" w:color="auto" w:sz="4" w:space="0"/>
              <w:left w:val="single" w:color="auto" w:sz="4" w:space="0"/>
              <w:bottom w:val="single" w:color="auto" w:sz="4" w:space="0"/>
              <w:right w:val="single" w:color="auto" w:sz="4" w:space="0"/>
            </w:tcBorders>
            <w:vAlign w:val="center"/>
          </w:tcPr>
          <w:p>
            <w:pPr>
              <w:pStyle w:val="11"/>
              <w:snapToGrid w:val="0"/>
              <w:jc w:val="center"/>
              <w:rPr>
                <w:rFonts w:ascii="Times New Roman" w:hAnsi="Times New Roman" w:eastAsia="仿宋_GB2312" w:cs="仿宋_GB2312"/>
                <w:sz w:val="21"/>
                <w:szCs w:val="21"/>
                <w:highlight w:val="none"/>
              </w:rPr>
            </w:pPr>
            <w:r>
              <w:rPr>
                <w:rFonts w:ascii="Times New Roman" w:hAnsi="Times New Roman" w:eastAsia="仿宋_GB2312" w:cs="仿宋_GB2312"/>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tcBorders>
              <w:top w:val="single" w:color="auto" w:sz="4" w:space="0"/>
              <w:left w:val="single" w:color="auto" w:sz="4" w:space="0"/>
              <w:bottom w:val="single" w:color="auto" w:sz="4" w:space="0"/>
              <w:right w:val="single" w:color="auto" w:sz="4" w:space="0"/>
            </w:tcBorders>
            <w:vAlign w:val="center"/>
          </w:tcPr>
          <w:p>
            <w:pPr>
              <w:pStyle w:val="11"/>
              <w:snapToGrid w:val="0"/>
              <w:jc w:val="center"/>
              <w:rPr>
                <w:rFonts w:ascii="Times New Roman" w:hAnsi="Times New Roman" w:eastAsia="仿宋_GB2312" w:cs="仿宋_GB2312"/>
                <w:sz w:val="21"/>
                <w:szCs w:val="21"/>
                <w:highlight w:val="none"/>
              </w:rPr>
            </w:pPr>
            <w:r>
              <w:rPr>
                <w:rFonts w:ascii="Times New Roman" w:hAnsi="Times New Roman" w:eastAsia="仿宋_GB2312" w:cs="仿宋_GB2312"/>
                <w:sz w:val="21"/>
                <w:szCs w:val="21"/>
                <w:highlight w:val="none"/>
              </w:rPr>
              <w:t>5</w:t>
            </w:r>
            <w:r>
              <w:rPr>
                <w:rFonts w:hint="eastAsia" w:ascii="Times New Roman" w:hAnsi="Times New Roman" w:eastAsia="仿宋_GB2312" w:cs="仿宋_GB2312"/>
                <w:sz w:val="21"/>
                <w:szCs w:val="21"/>
                <w:highlight w:val="none"/>
              </w:rPr>
              <w:t>种以上的</w:t>
            </w:r>
          </w:p>
        </w:tc>
        <w:tc>
          <w:tcPr>
            <w:tcW w:w="2693" w:type="dxa"/>
            <w:tcBorders>
              <w:top w:val="single" w:color="auto" w:sz="4" w:space="0"/>
              <w:left w:val="single" w:color="auto" w:sz="4" w:space="0"/>
              <w:bottom w:val="single" w:color="auto" w:sz="4" w:space="0"/>
              <w:right w:val="single" w:color="auto" w:sz="4" w:space="0"/>
            </w:tcBorders>
            <w:vAlign w:val="center"/>
          </w:tcPr>
          <w:p>
            <w:pPr>
              <w:pStyle w:val="11"/>
              <w:snapToGrid w:val="0"/>
              <w:jc w:val="center"/>
              <w:rPr>
                <w:rFonts w:ascii="Times New Roman" w:hAnsi="Times New Roman" w:eastAsia="仿宋_GB2312" w:cs="仿宋_GB2312"/>
                <w:sz w:val="21"/>
                <w:szCs w:val="21"/>
                <w:highlight w:val="none"/>
              </w:rPr>
            </w:pPr>
            <w:r>
              <w:rPr>
                <w:rFonts w:ascii="Times New Roman" w:hAnsi="Times New Roman" w:eastAsia="仿宋_GB2312" w:cs="仿宋_GB2312"/>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5245" w:type="dxa"/>
            <w:vAlign w:val="center"/>
          </w:tcPr>
          <w:p>
            <w:pPr>
              <w:pStyle w:val="11"/>
              <w:snapToGrid w:val="0"/>
              <w:jc w:val="center"/>
              <w:rPr>
                <w:rFonts w:ascii="Times New Roman" w:hAnsi="Times New Roman" w:eastAsia="仿宋_GB2312" w:cs="仿宋_GB2312"/>
                <w:sz w:val="21"/>
                <w:szCs w:val="21"/>
                <w:highlight w:val="none"/>
              </w:rPr>
            </w:pPr>
          </w:p>
        </w:tc>
        <w:tc>
          <w:tcPr>
            <w:tcW w:w="2693" w:type="dxa"/>
            <w:vAlign w:val="center"/>
          </w:tcPr>
          <w:p>
            <w:pPr>
              <w:pStyle w:val="11"/>
              <w:snapToGrid w:val="0"/>
              <w:jc w:val="center"/>
              <w:rPr>
                <w:rFonts w:ascii="Times New Roman" w:hAnsi="Times New Roman" w:eastAsia="仿宋_GB2312" w:cs="仿宋_GB2312"/>
                <w:sz w:val="21"/>
                <w:szCs w:val="21"/>
                <w:highlight w:val="none"/>
              </w:rPr>
            </w:pPr>
          </w:p>
        </w:tc>
      </w:tr>
    </w:tbl>
    <w:p>
      <w:pPr>
        <w:rPr>
          <w:highlight w:val="none"/>
        </w:rPr>
      </w:pPr>
    </w:p>
    <w:p>
      <w:pPr>
        <w:rPr>
          <w:highlight w:val="none"/>
        </w:rPr>
      </w:pPr>
    </w:p>
    <w:p>
      <w:pPr>
        <w:rPr>
          <w:highlight w:val="none"/>
        </w:rPr>
      </w:pPr>
      <w:r>
        <w:rPr>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（四）固体废物污染防治类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r>
              <w:rPr>
                <w:rFonts w:hint="eastAsia"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将危险废物与旅客在同一运输工具上载运的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35"/>
              <w:spacing w:before="12" w:line="320" w:lineRule="atLeast"/>
              <w:ind w:right="93" w:firstLine="422" w:firstLineChars="200"/>
              <w:jc w:val="left"/>
              <w:rPr>
                <w:rFonts w:ascii="Times New Roman" w:hAnsi="Times New Roman" w:eastAsia="仿宋_GB2312" w:cs="仿宋_GB2312"/>
                <w:highlight w:val="none"/>
                <w:lang w:val="en-US" w:bidi="ar-SA"/>
              </w:rPr>
            </w:pPr>
            <w:r>
              <w:rPr>
                <w:rFonts w:hint="eastAsia" w:ascii="Times New Roman" w:hAnsi="Times New Roman" w:eastAsia="仿宋_GB2312" w:cs="仿宋_GB2312"/>
                <w:b/>
                <w:bCs/>
                <w:highlight w:val="none"/>
                <w:lang w:val="en-US" w:bidi="ar-SA"/>
              </w:rPr>
              <w:t>《中华人民共和国固体废物污染环境防治法》第八十三条第二款</w:t>
            </w:r>
            <w:r>
              <w:rPr>
                <w:rFonts w:hint="eastAsia" w:ascii="Times New Roman" w:hAnsi="Times New Roman" w:eastAsia="仿宋_GB2312" w:cs="仿宋_GB2312"/>
                <w:highlight w:val="none"/>
                <w:lang w:val="en-US" w:bidi="ar-SA"/>
              </w:rPr>
              <w:t xml:space="preserve">  禁止将危险废物与旅客在同一运输工具上载运。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35"/>
              <w:snapToGrid w:val="0"/>
              <w:spacing w:before="94" w:line="290" w:lineRule="auto"/>
              <w:ind w:right="-15" w:firstLine="422" w:firstLineChars="200"/>
              <w:jc w:val="left"/>
              <w:rPr>
                <w:rFonts w:ascii="Times New Roman" w:hAnsi="Times New Roman" w:eastAsia="仿宋_GB2312" w:cs="仿宋_GB2312"/>
                <w:highlight w:val="none"/>
                <w:lang w:val="en-US" w:bidi="ar-SA"/>
              </w:rPr>
            </w:pPr>
            <w:r>
              <w:rPr>
                <w:rFonts w:hint="eastAsia" w:ascii="Times New Roman" w:hAnsi="Times New Roman" w:eastAsia="仿宋_GB2312" w:cs="仿宋_GB2312"/>
                <w:b/>
                <w:bCs/>
                <w:highlight w:val="none"/>
                <w:lang w:val="en-US" w:bidi="ar-SA"/>
              </w:rPr>
              <w:t>《中华人民共和国固体废物污染环境防治法》第一百一十二条第一款第（八） 项、第二款</w:t>
            </w:r>
            <w:r>
              <w:rPr>
                <w:rFonts w:hint="eastAsia" w:ascii="Times New Roman" w:hAnsi="Times New Roman" w:eastAsia="仿宋_GB2312" w:cs="仿宋_GB2312"/>
                <w:highlight w:val="none"/>
                <w:lang w:val="en-US" w:bidi="ar-SA"/>
              </w:rPr>
              <w:t xml:space="preserve">  违反本法规定，有下列行为之一，由生态环境主管部门责令改正，处以罚款，没收违法所得；情节严重的，报经有批准权的人民政府批准，可以责令停业或者关闭：</w:t>
            </w:r>
          </w:p>
          <w:p>
            <w:pPr>
              <w:pStyle w:val="35"/>
              <w:snapToGrid w:val="0"/>
              <w:spacing w:before="97"/>
              <w:ind w:firstLine="420" w:firstLineChars="200"/>
              <w:jc w:val="left"/>
              <w:rPr>
                <w:rFonts w:ascii="Times New Roman" w:hAnsi="Times New Roman" w:eastAsia="仿宋_GB2312" w:cs="仿宋_GB2312"/>
                <w:highlight w:val="none"/>
                <w:lang w:val="en-US" w:bidi="ar-SA"/>
              </w:rPr>
            </w:pPr>
            <w:r>
              <w:rPr>
                <w:rFonts w:hint="eastAsia" w:ascii="Times New Roman" w:hAnsi="Times New Roman" w:eastAsia="仿宋_GB2312" w:cs="仿宋_GB2312"/>
                <w:highlight w:val="none"/>
                <w:lang w:val="en-US" w:bidi="ar-SA"/>
              </w:rPr>
              <w:t>（八）将危险废物与旅客在同一运输工具上载运的；</w:t>
            </w:r>
          </w:p>
          <w:p>
            <w:pPr>
              <w:pStyle w:val="35"/>
              <w:snapToGrid w:val="0"/>
              <w:spacing w:before="58" w:line="290" w:lineRule="auto"/>
              <w:ind w:right="91" w:firstLine="420" w:firstLineChars="200"/>
              <w:jc w:val="both"/>
              <w:rPr>
                <w:rFonts w:ascii="Times New Roman" w:hAnsi="Times New Roman" w:eastAsia="仿宋_GB2312" w:cs="仿宋_GB2312"/>
                <w:highlight w:val="none"/>
                <w:lang w:val="en-US" w:bidi="ar-SA"/>
              </w:rPr>
            </w:pPr>
            <w:r>
              <w:rPr>
                <w:rFonts w:hint="eastAsia" w:ascii="Times New Roman" w:hAnsi="Times New Roman" w:eastAsia="仿宋_GB2312" w:cs="仿宋_GB2312"/>
                <w:highlight w:val="none"/>
                <w:lang w:val="en-US" w:bidi="ar-SA"/>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运载数量★</w:t>
            </w: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运载危险废物不足</w:t>
            </w:r>
            <w:r>
              <w:rPr>
                <w:rFonts w:ascii="Times New Roman" w:hAnsi="Times New Roman" w:eastAsia="仿宋_GB2312" w:cs="Times New Roman"/>
                <w:sz w:val="21"/>
                <w:szCs w:val="21"/>
                <w:highlight w:val="none"/>
              </w:rPr>
              <w:t>1</w:t>
            </w:r>
            <w:r>
              <w:rPr>
                <w:rFonts w:hint="eastAsia" w:ascii="Times New Roman" w:hAnsi="Times New Roman" w:eastAsia="仿宋_GB2312" w:cs="Times New Roman"/>
                <w:sz w:val="21"/>
                <w:szCs w:val="21"/>
                <w:highlight w:val="none"/>
              </w:rPr>
              <w:t>0</w:t>
            </w:r>
            <w:r>
              <w:rPr>
                <w:rFonts w:hint="eastAsia" w:ascii="Times New Roman" w:hAnsi="Times New Roman" w:eastAsia="仿宋_GB2312" w:cs="仿宋_GB2312"/>
                <w:sz w:val="21"/>
                <w:szCs w:val="21"/>
                <w:highlight w:val="none"/>
              </w:rPr>
              <w:t>千克</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运载危险废物</w:t>
            </w:r>
            <w:r>
              <w:rPr>
                <w:rFonts w:ascii="Times New Roman" w:hAnsi="Times New Roman" w:eastAsia="仿宋_GB2312" w:cs="Times New Roman"/>
                <w:sz w:val="21"/>
                <w:szCs w:val="21"/>
                <w:highlight w:val="none"/>
              </w:rPr>
              <w:t>1</w:t>
            </w:r>
            <w:r>
              <w:rPr>
                <w:rFonts w:hint="eastAsia" w:ascii="Times New Roman" w:hAnsi="Times New Roman" w:eastAsia="仿宋_GB2312" w:cs="Times New Roman"/>
                <w:sz w:val="21"/>
                <w:szCs w:val="21"/>
                <w:highlight w:val="none"/>
              </w:rPr>
              <w:t>0</w:t>
            </w:r>
            <w:r>
              <w:rPr>
                <w:rFonts w:hint="eastAsia" w:ascii="Times New Roman" w:hAnsi="Times New Roman" w:eastAsia="仿宋_GB2312" w:cs="仿宋_GB2312"/>
                <w:sz w:val="21"/>
                <w:szCs w:val="21"/>
                <w:highlight w:val="none"/>
              </w:rPr>
              <w:t>千克以上不足</w:t>
            </w:r>
            <w:r>
              <w:rPr>
                <w:rFonts w:ascii="Times New Roman" w:hAnsi="Times New Roman" w:eastAsia="仿宋_GB2312" w:cs="Times New Roman"/>
                <w:sz w:val="21"/>
                <w:szCs w:val="21"/>
                <w:highlight w:val="none"/>
              </w:rPr>
              <w:t>5</w:t>
            </w:r>
            <w:r>
              <w:rPr>
                <w:rFonts w:hint="eastAsia" w:ascii="Times New Roman" w:hAnsi="Times New Roman" w:eastAsia="仿宋_GB2312" w:cs="Times New Roman"/>
                <w:sz w:val="21"/>
                <w:szCs w:val="21"/>
                <w:highlight w:val="none"/>
              </w:rPr>
              <w:t>0</w:t>
            </w:r>
            <w:r>
              <w:rPr>
                <w:rFonts w:hint="eastAsia" w:ascii="Times New Roman" w:hAnsi="Times New Roman" w:eastAsia="仿宋_GB2312" w:cs="仿宋_GB2312"/>
                <w:sz w:val="21"/>
                <w:szCs w:val="21"/>
                <w:highlight w:val="none"/>
              </w:rPr>
              <w:t>千克</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运载危险废物</w:t>
            </w:r>
            <w:r>
              <w:rPr>
                <w:rFonts w:ascii="Times New Roman" w:hAnsi="Times New Roman" w:eastAsia="仿宋_GB2312" w:cs="Times New Roman"/>
                <w:sz w:val="21"/>
                <w:szCs w:val="21"/>
                <w:highlight w:val="none"/>
              </w:rPr>
              <w:t>5</w:t>
            </w:r>
            <w:r>
              <w:rPr>
                <w:rFonts w:hint="eastAsia" w:ascii="Times New Roman" w:hAnsi="Times New Roman" w:eastAsia="仿宋_GB2312" w:cs="Times New Roman"/>
                <w:sz w:val="21"/>
                <w:szCs w:val="21"/>
                <w:highlight w:val="none"/>
              </w:rPr>
              <w:t>0</w:t>
            </w:r>
            <w:r>
              <w:rPr>
                <w:rFonts w:hint="eastAsia" w:ascii="Times New Roman" w:hAnsi="Times New Roman" w:eastAsia="仿宋_GB2312" w:cs="仿宋_GB2312"/>
                <w:sz w:val="21"/>
                <w:szCs w:val="21"/>
                <w:highlight w:val="none"/>
              </w:rPr>
              <w:t>千克以上不足</w:t>
            </w:r>
            <w:r>
              <w:rPr>
                <w:rFonts w:ascii="Times New Roman" w:hAnsi="Times New Roman" w:eastAsia="仿宋_GB2312" w:cs="Times New Roman"/>
                <w:sz w:val="21"/>
                <w:szCs w:val="21"/>
                <w:highlight w:val="none"/>
              </w:rPr>
              <w:t>10</w:t>
            </w:r>
            <w:r>
              <w:rPr>
                <w:rFonts w:hint="eastAsia" w:ascii="Times New Roman" w:hAnsi="Times New Roman" w:eastAsia="仿宋_GB2312" w:cs="Times New Roman"/>
                <w:sz w:val="21"/>
                <w:szCs w:val="21"/>
                <w:highlight w:val="none"/>
              </w:rPr>
              <w:t>0</w:t>
            </w:r>
            <w:r>
              <w:rPr>
                <w:rFonts w:hint="eastAsia" w:ascii="Times New Roman" w:hAnsi="Times New Roman" w:eastAsia="仿宋_GB2312" w:cs="仿宋_GB2312"/>
                <w:sz w:val="21"/>
                <w:szCs w:val="21"/>
                <w:highlight w:val="none"/>
              </w:rPr>
              <w:t>千克</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运载危险废物</w:t>
            </w:r>
            <w:r>
              <w:rPr>
                <w:rFonts w:ascii="Times New Roman" w:hAnsi="Times New Roman" w:eastAsia="仿宋_GB2312" w:cs="Times New Roman"/>
                <w:sz w:val="21"/>
                <w:szCs w:val="21"/>
                <w:highlight w:val="none"/>
              </w:rPr>
              <w:t>10</w:t>
            </w:r>
            <w:r>
              <w:rPr>
                <w:rFonts w:hint="eastAsia" w:ascii="Times New Roman" w:hAnsi="Times New Roman" w:eastAsia="仿宋_GB2312" w:cs="Times New Roman"/>
                <w:sz w:val="21"/>
                <w:szCs w:val="21"/>
                <w:highlight w:val="none"/>
              </w:rPr>
              <w:t>0</w:t>
            </w:r>
            <w:r>
              <w:rPr>
                <w:rFonts w:hint="eastAsia" w:ascii="Times New Roman" w:hAnsi="Times New Roman" w:eastAsia="仿宋_GB2312" w:cs="仿宋_GB2312"/>
                <w:sz w:val="21"/>
                <w:szCs w:val="21"/>
                <w:highlight w:val="none"/>
              </w:rPr>
              <w:t>千克以上不足</w:t>
            </w:r>
            <w:r>
              <w:rPr>
                <w:rFonts w:ascii="Times New Roman" w:hAnsi="Times New Roman" w:eastAsia="仿宋_GB2312" w:cs="Times New Roman"/>
                <w:sz w:val="21"/>
                <w:szCs w:val="21"/>
                <w:highlight w:val="none"/>
              </w:rPr>
              <w:t>20</w:t>
            </w:r>
            <w:r>
              <w:rPr>
                <w:rFonts w:hint="eastAsia" w:ascii="Times New Roman" w:hAnsi="Times New Roman" w:eastAsia="仿宋_GB2312" w:cs="Times New Roman"/>
                <w:sz w:val="21"/>
                <w:szCs w:val="21"/>
                <w:highlight w:val="none"/>
              </w:rPr>
              <w:t>0</w:t>
            </w:r>
            <w:r>
              <w:rPr>
                <w:rFonts w:hint="eastAsia" w:ascii="Times New Roman" w:hAnsi="Times New Roman" w:eastAsia="仿宋_GB2312" w:cs="仿宋_GB2312"/>
                <w:sz w:val="21"/>
                <w:szCs w:val="21"/>
                <w:highlight w:val="none"/>
              </w:rPr>
              <w:t>千克</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运载危险废物</w:t>
            </w:r>
            <w:r>
              <w:rPr>
                <w:rFonts w:ascii="Times New Roman" w:hAnsi="Times New Roman" w:eastAsia="仿宋_GB2312" w:cs="Times New Roman"/>
                <w:sz w:val="21"/>
                <w:szCs w:val="21"/>
                <w:highlight w:val="none"/>
              </w:rPr>
              <w:t>20</w:t>
            </w:r>
            <w:r>
              <w:rPr>
                <w:rFonts w:hint="eastAsia" w:ascii="Times New Roman" w:hAnsi="Times New Roman" w:eastAsia="仿宋_GB2312" w:cs="Times New Roman"/>
                <w:sz w:val="21"/>
                <w:szCs w:val="21"/>
                <w:highlight w:val="none"/>
              </w:rPr>
              <w:t>0</w:t>
            </w:r>
            <w:r>
              <w:rPr>
                <w:rFonts w:hint="eastAsia" w:ascii="Times New Roman" w:hAnsi="Times New Roman" w:eastAsia="仿宋_GB2312" w:cs="仿宋_GB2312"/>
                <w:sz w:val="21"/>
                <w:szCs w:val="21"/>
                <w:highlight w:val="none"/>
              </w:rPr>
              <w:t>千克以上</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Times New Roman"/>
                <w:b/>
                <w:bCs/>
                <w:highlight w:val="none"/>
              </w:rPr>
              <w:t>涉及旅客</w:t>
            </w:r>
          </w:p>
          <w:p>
            <w:pPr>
              <w:snapToGrid w:val="0"/>
              <w:jc w:val="center"/>
              <w:rPr>
                <w:rFonts w:ascii="Times New Roman" w:hAnsi="Times New Roman" w:cs="Times New Roman"/>
                <w:b/>
                <w:bCs/>
                <w:highlight w:val="none"/>
              </w:rPr>
            </w:pPr>
            <w:r>
              <w:rPr>
                <w:rFonts w:hint="eastAsia" w:ascii="Times New Roman" w:hAnsi="Times New Roman" w:cs="Times New Roman"/>
                <w:b/>
                <w:bCs/>
                <w:highlight w:val="none"/>
              </w:rPr>
              <w:t>人数</w:t>
            </w:r>
          </w:p>
        </w:tc>
        <w:tc>
          <w:tcPr>
            <w:tcW w:w="5245" w:type="dxa"/>
            <w:vAlign w:val="center"/>
          </w:tcPr>
          <w:p>
            <w:pPr>
              <w:pStyle w:val="11"/>
              <w:snapToGrid w:val="0"/>
              <w:jc w:val="center"/>
              <w:rPr>
                <w:rFonts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10人</w:t>
            </w:r>
            <w:r>
              <w:rPr>
                <w:rFonts w:ascii="Times New Roman" w:hAnsi="Times New Roman" w:eastAsia="仿宋_GB2312" w:cs="仿宋_GB2312"/>
                <w:sz w:val="21"/>
                <w:szCs w:val="21"/>
                <w:highlight w:val="none"/>
              </w:rPr>
              <w:t>及以下</w:t>
            </w:r>
          </w:p>
        </w:tc>
        <w:tc>
          <w:tcPr>
            <w:tcW w:w="2693" w:type="dxa"/>
            <w:vAlign w:val="center"/>
          </w:tcPr>
          <w:p>
            <w:pPr>
              <w:snapToGrid w:val="0"/>
              <w:jc w:val="center"/>
              <w:rPr>
                <w:rFonts w:ascii="Times New Roman" w:hAnsi="Times New Roman" w:cs="Times New Roman"/>
                <w:highlight w:val="none"/>
              </w:rPr>
            </w:pPr>
            <w:r>
              <w:rPr>
                <w:rFonts w:hint="eastAsia"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10人</w:t>
            </w:r>
            <w:r>
              <w:rPr>
                <w:rFonts w:ascii="Times New Roman" w:hAnsi="Times New Roman" w:eastAsia="仿宋_GB2312" w:cs="仿宋_GB2312"/>
                <w:sz w:val="21"/>
                <w:szCs w:val="21"/>
                <w:highlight w:val="none"/>
              </w:rPr>
              <w:t>以上</w:t>
            </w:r>
            <w:r>
              <w:rPr>
                <w:rFonts w:hint="eastAsia" w:ascii="Times New Roman" w:hAnsi="Times New Roman" w:eastAsia="仿宋_GB2312" w:cs="仿宋_GB2312"/>
                <w:sz w:val="21"/>
                <w:szCs w:val="21"/>
                <w:highlight w:val="none"/>
              </w:rPr>
              <w:t>100人</w:t>
            </w:r>
            <w:r>
              <w:rPr>
                <w:rFonts w:ascii="Times New Roman" w:hAnsi="Times New Roman" w:eastAsia="仿宋_GB2312" w:cs="仿宋_GB2312"/>
                <w:sz w:val="21"/>
                <w:szCs w:val="21"/>
                <w:highlight w:val="none"/>
              </w:rPr>
              <w:t>及以下</w:t>
            </w:r>
          </w:p>
        </w:tc>
        <w:tc>
          <w:tcPr>
            <w:tcW w:w="2693" w:type="dxa"/>
            <w:vAlign w:val="center"/>
          </w:tcPr>
          <w:p>
            <w:pPr>
              <w:snapToGrid w:val="0"/>
              <w:jc w:val="center"/>
              <w:rPr>
                <w:rFonts w:ascii="Times New Roman" w:hAnsi="Times New Roman" w:cs="Times New Roman"/>
                <w:highlight w:val="none"/>
              </w:rPr>
            </w:pPr>
            <w:r>
              <w:rPr>
                <w:rFonts w:hint="eastAsia"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100人以上</w:t>
            </w:r>
          </w:p>
        </w:tc>
        <w:tc>
          <w:tcPr>
            <w:tcW w:w="2693" w:type="dxa"/>
            <w:vAlign w:val="center"/>
          </w:tcPr>
          <w:p>
            <w:pPr>
              <w:snapToGrid w:val="0"/>
              <w:jc w:val="center"/>
              <w:rPr>
                <w:rFonts w:ascii="Times New Roman" w:hAnsi="Times New Roman" w:cs="Times New Roman"/>
                <w:highlight w:val="none"/>
              </w:rPr>
            </w:pPr>
            <w:r>
              <w:rPr>
                <w:rFonts w:hint="eastAsia"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5499"/>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（四）固体废物污染防治类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796"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r>
              <w:rPr>
                <w:rFonts w:hint="eastAsia"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796" w:type="dxa"/>
            <w:gridSpan w:val="2"/>
          </w:tcPr>
          <w:p>
            <w:pPr>
              <w:snapToGrid w:val="0"/>
              <w:ind w:firstLine="420" w:firstLineChars="200"/>
              <w:rPr>
                <w:rFonts w:ascii="Times New Roman" w:hAnsi="Times New Roman" w:eastAsia="仿宋_GB2312" w:cs="仿宋_GB2312"/>
                <w:highlight w:val="none"/>
              </w:rPr>
            </w:pPr>
            <w:r>
              <w:rPr>
                <w:rFonts w:hint="eastAsia" w:ascii="Times New Roman" w:hAnsi="Times New Roman" w:eastAsia="仿宋_GB2312" w:cs="仿宋_GB2312"/>
                <w:highlight w:val="none"/>
              </w:rPr>
              <w:t>未经消除污染处理，将收集、贮存、运输、处置危险废物的场所、设施、设备和容器、包装物及其他物品转作他用的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796" w:type="dxa"/>
            <w:gridSpan w:val="2"/>
          </w:tcPr>
          <w:p>
            <w:pPr>
              <w:widowControl/>
              <w:ind w:firstLine="422" w:firstLineChars="200"/>
              <w:jc w:val="left"/>
              <w:rPr>
                <w:rFonts w:ascii="Times New Roman" w:hAnsi="Times New Roman" w:eastAsia="仿宋_GB2312" w:cs="仿宋_GB2312"/>
                <w:highlight w:val="none"/>
              </w:rPr>
            </w:pPr>
            <w:r>
              <w:rPr>
                <w:rFonts w:hint="eastAsia" w:ascii="Times New Roman" w:hAnsi="Times New Roman" w:eastAsia="仿宋_GB2312" w:cs="仿宋_GB2312"/>
                <w:b/>
                <w:bCs/>
                <w:highlight w:val="none"/>
              </w:rPr>
              <w:t>《中华人民共和国固体废物污染环境防治法》第八十四条</w:t>
            </w:r>
            <w:r>
              <w:rPr>
                <w:rFonts w:hint="eastAsia" w:ascii="Times New Roman" w:hAnsi="Times New Roman" w:eastAsia="仿宋_GB2312" w:cs="仿宋_GB2312"/>
                <w:highlight w:val="none"/>
              </w:rPr>
              <w:t xml:space="preserve">  收集、贮存、运输、利用、处置危险废物的场所、设施、设备和容器、包装物及其他物品转作他用时，应当按照国家有关规定经过消除污染处理，方可使用。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796" w:type="dxa"/>
            <w:gridSpan w:val="2"/>
          </w:tcPr>
          <w:p>
            <w:pPr>
              <w:widowControl/>
              <w:ind w:firstLine="422" w:firstLineChars="200"/>
              <w:jc w:val="left"/>
              <w:rPr>
                <w:rFonts w:ascii="Times New Roman" w:hAnsi="Times New Roman" w:eastAsia="仿宋_GB2312" w:cs="仿宋_GB2312"/>
                <w:highlight w:val="none"/>
              </w:rPr>
            </w:pPr>
            <w:r>
              <w:rPr>
                <w:rFonts w:hint="eastAsia" w:ascii="Times New Roman" w:hAnsi="Times New Roman" w:eastAsia="仿宋_GB2312" w:cs="仿宋_GB2312"/>
                <w:b/>
                <w:bCs/>
                <w:highlight w:val="none"/>
              </w:rPr>
              <w:t>《中华人民共和国固体废物污染环境防治法》第一百一十二条第一款第（九）项、第二款</w:t>
            </w:r>
            <w:r>
              <w:rPr>
                <w:rFonts w:hint="eastAsia" w:ascii="Times New Roman" w:hAnsi="Times New Roman" w:eastAsia="仿宋_GB2312" w:cs="仿宋_GB2312"/>
                <w:highlight w:val="none"/>
              </w:rPr>
              <w:t xml:space="preserve">  违反本法规定，有下列行为之一，由生态环境主管部门责令改正，处以罚款，没收违法所得；情节严重的，报经有批准权的人民政府批准，可以责令停业或者关闭： </w:t>
            </w:r>
          </w:p>
          <w:p>
            <w:pPr>
              <w:widowControl/>
              <w:ind w:firstLine="420" w:firstLineChars="200"/>
              <w:jc w:val="left"/>
              <w:rPr>
                <w:rFonts w:ascii="Times New Roman" w:hAnsi="Times New Roman" w:eastAsia="仿宋_GB2312" w:cs="仿宋_GB2312"/>
                <w:highlight w:val="none"/>
              </w:rPr>
            </w:pPr>
            <w:r>
              <w:rPr>
                <w:rFonts w:hint="eastAsia" w:ascii="Times New Roman" w:hAnsi="Times New Roman" w:eastAsia="仿宋_GB2312" w:cs="仿宋_GB2312"/>
                <w:highlight w:val="none"/>
              </w:rPr>
              <w:t xml:space="preserve">（九）未经消除污染处理，将收集、贮存、运输、处置危险废物的场所、设施、设备和容器、包装物及其他物品转作他用的； </w:t>
            </w:r>
          </w:p>
          <w:p>
            <w:pPr>
              <w:widowControl/>
              <w:ind w:firstLine="420" w:firstLineChars="200"/>
              <w:jc w:val="left"/>
              <w:rPr>
                <w:rFonts w:ascii="Times New Roman" w:hAnsi="Times New Roman" w:eastAsia="仿宋_GB2312" w:cs="仿宋_GB2312"/>
                <w:highlight w:val="none"/>
              </w:rPr>
            </w:pPr>
            <w:r>
              <w:rPr>
                <w:rFonts w:hint="eastAsia" w:ascii="Times New Roman" w:hAnsi="Times New Roman" w:eastAsia="仿宋_GB2312" w:cs="仿宋_GB2312"/>
                <w:highlight w:val="none"/>
              </w:rPr>
              <w:t xml:space="preserve">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4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49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29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413"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污染情况</w:t>
            </w:r>
          </w:p>
        </w:tc>
        <w:tc>
          <w:tcPr>
            <w:tcW w:w="5499" w:type="dxa"/>
            <w:vAlign w:val="center"/>
          </w:tcPr>
          <w:p>
            <w:pPr>
              <w:pStyle w:val="11"/>
              <w:snapToGrid w:val="0"/>
              <w:jc w:val="center"/>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未产生环境污染</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413" w:type="dxa"/>
            <w:vMerge w:val="continue"/>
            <w:vAlign w:val="center"/>
          </w:tcPr>
          <w:p>
            <w:pPr>
              <w:snapToGrid w:val="0"/>
              <w:jc w:val="center"/>
              <w:rPr>
                <w:rFonts w:ascii="Times New Roman" w:hAnsi="Times New Roman" w:cs="Times New Roman"/>
                <w:b/>
                <w:bCs/>
                <w:highlight w:val="none"/>
              </w:rPr>
            </w:pPr>
          </w:p>
        </w:tc>
        <w:tc>
          <w:tcPr>
            <w:tcW w:w="5499" w:type="dxa"/>
            <w:vAlign w:val="center"/>
          </w:tcPr>
          <w:p>
            <w:pPr>
              <w:pStyle w:val="11"/>
              <w:snapToGrid w:val="0"/>
              <w:jc w:val="center"/>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一般环境污染</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413" w:type="dxa"/>
            <w:vMerge w:val="continue"/>
            <w:vAlign w:val="center"/>
          </w:tcPr>
          <w:p>
            <w:pPr>
              <w:snapToGrid w:val="0"/>
              <w:jc w:val="center"/>
              <w:rPr>
                <w:rFonts w:ascii="Times New Roman" w:hAnsi="Times New Roman" w:cs="Times New Roman"/>
                <w:b/>
                <w:bCs/>
                <w:highlight w:val="none"/>
              </w:rPr>
            </w:pPr>
          </w:p>
        </w:tc>
        <w:tc>
          <w:tcPr>
            <w:tcW w:w="5499" w:type="dxa"/>
            <w:vAlign w:val="center"/>
          </w:tcPr>
          <w:p>
            <w:pPr>
              <w:pStyle w:val="11"/>
              <w:snapToGrid w:val="0"/>
              <w:jc w:val="center"/>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发生重大环境污染事故</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413"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违法事实★</w:t>
            </w:r>
          </w:p>
        </w:tc>
        <w:tc>
          <w:tcPr>
            <w:tcW w:w="5499" w:type="dxa"/>
            <w:vAlign w:val="center"/>
          </w:tcPr>
          <w:p>
            <w:pPr>
              <w:pStyle w:val="12"/>
              <w:snapToGrid w:val="0"/>
              <w:spacing w:before="0" w:beforeAutospacing="0" w:after="0" w:afterAutospacing="0"/>
              <w:jc w:val="center"/>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未经消除污染的处理将收集、贮存、运输、处置危险废物的场所、设施、设备和容器、包装物及其他物品转作他用</w:t>
            </w:r>
            <w:r>
              <w:rPr>
                <w:rFonts w:ascii="Times New Roman" w:hAnsi="Times New Roman" w:eastAsia="仿宋_GB2312" w:cs="Times New Roman"/>
                <w:kern w:val="2"/>
                <w:sz w:val="21"/>
                <w:szCs w:val="21"/>
                <w:highlight w:val="none"/>
              </w:rPr>
              <w:t>(</w:t>
            </w:r>
            <w:r>
              <w:rPr>
                <w:rFonts w:hint="eastAsia" w:ascii="Times New Roman" w:hAnsi="Times New Roman" w:eastAsia="仿宋_GB2312" w:cs="仿宋_GB2312"/>
                <w:kern w:val="2"/>
                <w:sz w:val="21"/>
                <w:szCs w:val="21"/>
                <w:highlight w:val="none"/>
              </w:rPr>
              <w:t>容量不足</w:t>
            </w:r>
            <w:r>
              <w:rPr>
                <w:rFonts w:ascii="Times New Roman" w:hAnsi="Times New Roman" w:eastAsia="仿宋_GB2312" w:cs="Times New Roman"/>
                <w:kern w:val="2"/>
                <w:sz w:val="21"/>
                <w:szCs w:val="21"/>
                <w:highlight w:val="none"/>
              </w:rPr>
              <w:t>30m</w:t>
            </w:r>
            <w:r>
              <w:rPr>
                <w:rFonts w:ascii="Times New Roman" w:hAnsi="Times New Roman" w:eastAsia="仿宋_GB2312" w:cs="Times New Roman"/>
                <w:kern w:val="2"/>
                <w:sz w:val="21"/>
                <w:szCs w:val="21"/>
                <w:highlight w:val="none"/>
                <w:vertAlign w:val="superscript"/>
              </w:rPr>
              <w:t>3</w:t>
            </w:r>
            <w:r>
              <w:rPr>
                <w:rFonts w:hint="eastAsia" w:ascii="Times New Roman" w:hAnsi="Times New Roman" w:eastAsia="仿宋_GB2312" w:cs="仿宋_GB2312"/>
                <w:kern w:val="2"/>
                <w:sz w:val="21"/>
                <w:szCs w:val="21"/>
                <w:highlight w:val="none"/>
              </w:rPr>
              <w:t>的</w:t>
            </w:r>
            <w:r>
              <w:rPr>
                <w:rFonts w:ascii="Times New Roman" w:hAnsi="Times New Roman" w:eastAsia="仿宋_GB2312" w:cs="Times New Roman"/>
                <w:kern w:val="2"/>
                <w:sz w:val="21"/>
                <w:szCs w:val="21"/>
                <w:highlight w:val="none"/>
              </w:rPr>
              <w:t>)</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413" w:type="dxa"/>
            <w:vMerge w:val="continue"/>
            <w:vAlign w:val="center"/>
          </w:tcPr>
          <w:p>
            <w:pPr>
              <w:snapToGrid w:val="0"/>
              <w:jc w:val="center"/>
              <w:rPr>
                <w:rFonts w:ascii="Times New Roman" w:hAnsi="Times New Roman" w:cs="Times New Roman"/>
                <w:b/>
                <w:bCs/>
                <w:highlight w:val="none"/>
              </w:rPr>
            </w:pPr>
          </w:p>
        </w:tc>
        <w:tc>
          <w:tcPr>
            <w:tcW w:w="5499" w:type="dxa"/>
            <w:vAlign w:val="center"/>
          </w:tcPr>
          <w:p>
            <w:pPr>
              <w:pStyle w:val="12"/>
              <w:snapToGrid w:val="0"/>
              <w:spacing w:before="0" w:beforeAutospacing="0" w:after="0" w:afterAutospacing="0"/>
              <w:jc w:val="center"/>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未经消除污染的处理将收集、贮存、运输、处置危险废物的场所、设施、设备和容器、包装物及其他物品转作他用</w:t>
            </w:r>
            <w:r>
              <w:rPr>
                <w:rFonts w:ascii="Times New Roman" w:hAnsi="Times New Roman" w:eastAsia="仿宋_GB2312" w:cs="Times New Roman"/>
                <w:kern w:val="2"/>
                <w:sz w:val="21"/>
                <w:szCs w:val="21"/>
                <w:highlight w:val="none"/>
              </w:rPr>
              <w:t>(</w:t>
            </w:r>
            <w:r>
              <w:rPr>
                <w:rFonts w:hint="eastAsia" w:ascii="Times New Roman" w:hAnsi="Times New Roman" w:eastAsia="仿宋_GB2312" w:cs="仿宋_GB2312"/>
                <w:kern w:val="2"/>
                <w:sz w:val="21"/>
                <w:szCs w:val="21"/>
                <w:highlight w:val="none"/>
              </w:rPr>
              <w:t>容量</w:t>
            </w:r>
            <w:r>
              <w:rPr>
                <w:rFonts w:ascii="Times New Roman" w:hAnsi="Times New Roman" w:eastAsia="仿宋_GB2312" w:cs="Times New Roman"/>
                <w:kern w:val="2"/>
                <w:sz w:val="21"/>
                <w:szCs w:val="21"/>
                <w:highlight w:val="none"/>
              </w:rPr>
              <w:t>30m</w:t>
            </w:r>
            <w:r>
              <w:rPr>
                <w:rFonts w:ascii="Times New Roman" w:hAnsi="Times New Roman" w:eastAsia="仿宋_GB2312" w:cs="Times New Roman"/>
                <w:kern w:val="2"/>
                <w:sz w:val="21"/>
                <w:szCs w:val="21"/>
                <w:highlight w:val="none"/>
                <w:vertAlign w:val="superscript"/>
              </w:rPr>
              <w:t>3</w:t>
            </w:r>
            <w:r>
              <w:rPr>
                <w:rFonts w:hint="eastAsia" w:ascii="Times New Roman" w:hAnsi="Times New Roman" w:eastAsia="仿宋_GB2312" w:cs="仿宋_GB2312"/>
                <w:kern w:val="2"/>
                <w:sz w:val="21"/>
                <w:szCs w:val="21"/>
                <w:highlight w:val="none"/>
              </w:rPr>
              <w:t>以上不足</w:t>
            </w:r>
            <w:r>
              <w:rPr>
                <w:rFonts w:ascii="Times New Roman" w:hAnsi="Times New Roman" w:eastAsia="仿宋_GB2312" w:cs="Times New Roman"/>
                <w:kern w:val="2"/>
                <w:sz w:val="21"/>
                <w:szCs w:val="21"/>
                <w:highlight w:val="none"/>
              </w:rPr>
              <w:t>100m</w:t>
            </w:r>
            <w:r>
              <w:rPr>
                <w:rFonts w:ascii="Times New Roman" w:hAnsi="Times New Roman" w:eastAsia="仿宋_GB2312" w:cs="Times New Roman"/>
                <w:kern w:val="2"/>
                <w:sz w:val="21"/>
                <w:szCs w:val="21"/>
                <w:highlight w:val="none"/>
                <w:vertAlign w:val="superscript"/>
              </w:rPr>
              <w:t>3</w:t>
            </w:r>
            <w:r>
              <w:rPr>
                <w:rFonts w:hint="eastAsia" w:ascii="Times New Roman" w:hAnsi="Times New Roman" w:eastAsia="仿宋_GB2312" w:cs="仿宋_GB2312"/>
                <w:kern w:val="2"/>
                <w:sz w:val="21"/>
                <w:szCs w:val="21"/>
                <w:highlight w:val="none"/>
              </w:rPr>
              <w:t>的</w:t>
            </w:r>
            <w:r>
              <w:rPr>
                <w:rFonts w:ascii="Times New Roman" w:hAnsi="Times New Roman" w:eastAsia="仿宋_GB2312" w:cs="Times New Roman"/>
                <w:kern w:val="2"/>
                <w:sz w:val="21"/>
                <w:szCs w:val="21"/>
                <w:highlight w:val="none"/>
              </w:rPr>
              <w:t>)</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413" w:type="dxa"/>
            <w:vMerge w:val="continue"/>
            <w:vAlign w:val="center"/>
          </w:tcPr>
          <w:p>
            <w:pPr>
              <w:snapToGrid w:val="0"/>
              <w:jc w:val="center"/>
              <w:rPr>
                <w:rFonts w:ascii="Times New Roman" w:hAnsi="Times New Roman" w:cs="Times New Roman"/>
                <w:b/>
                <w:bCs/>
                <w:highlight w:val="none"/>
              </w:rPr>
            </w:pPr>
          </w:p>
        </w:tc>
        <w:tc>
          <w:tcPr>
            <w:tcW w:w="5499" w:type="dxa"/>
            <w:vAlign w:val="center"/>
          </w:tcPr>
          <w:p>
            <w:pPr>
              <w:pStyle w:val="12"/>
              <w:snapToGrid w:val="0"/>
              <w:spacing w:before="0" w:beforeAutospacing="0" w:after="0" w:afterAutospacing="0"/>
              <w:jc w:val="center"/>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未经消除污染的处理将收集、贮存、运输、</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处置危险废物的场所、设施、设备和容器、</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包装物及其他物品转作他用</w:t>
            </w:r>
            <w:r>
              <w:rPr>
                <w:rFonts w:ascii="Times New Roman" w:hAnsi="Times New Roman" w:eastAsia="仿宋_GB2312" w:cs="Times New Roman"/>
                <w:kern w:val="2"/>
                <w:sz w:val="21"/>
                <w:szCs w:val="21"/>
                <w:highlight w:val="none"/>
              </w:rPr>
              <w:t>(</w:t>
            </w:r>
            <w:r>
              <w:rPr>
                <w:rFonts w:hint="eastAsia" w:ascii="Times New Roman" w:hAnsi="Times New Roman" w:eastAsia="仿宋_GB2312" w:cs="仿宋_GB2312"/>
                <w:kern w:val="2"/>
                <w:sz w:val="21"/>
                <w:szCs w:val="21"/>
                <w:highlight w:val="none"/>
              </w:rPr>
              <w:t>容量</w:t>
            </w:r>
            <w:r>
              <w:rPr>
                <w:rFonts w:ascii="Times New Roman" w:hAnsi="Times New Roman" w:eastAsia="仿宋_GB2312" w:cs="Times New Roman"/>
                <w:kern w:val="2"/>
                <w:sz w:val="21"/>
                <w:szCs w:val="21"/>
                <w:highlight w:val="none"/>
              </w:rPr>
              <w:t>100m</w:t>
            </w:r>
            <w:r>
              <w:rPr>
                <w:rFonts w:ascii="Times New Roman" w:hAnsi="Times New Roman" w:eastAsia="仿宋_GB2312" w:cs="Times New Roman"/>
                <w:kern w:val="2"/>
                <w:sz w:val="21"/>
                <w:szCs w:val="21"/>
                <w:highlight w:val="none"/>
                <w:vertAlign w:val="superscript"/>
              </w:rPr>
              <w:t>3</w:t>
            </w:r>
            <w:r>
              <w:rPr>
                <w:rFonts w:hint="eastAsia" w:ascii="Times New Roman" w:hAnsi="Times New Roman" w:eastAsia="仿宋_GB2312" w:cs="仿宋_GB2312"/>
                <w:kern w:val="2"/>
                <w:sz w:val="21"/>
                <w:szCs w:val="21"/>
                <w:highlight w:val="none"/>
              </w:rPr>
              <w:t>以上不足</w:t>
            </w:r>
            <w:r>
              <w:rPr>
                <w:rFonts w:ascii="Times New Roman" w:hAnsi="Times New Roman" w:eastAsia="仿宋_GB2312" w:cs="Times New Roman"/>
                <w:kern w:val="2"/>
                <w:sz w:val="21"/>
                <w:szCs w:val="21"/>
                <w:highlight w:val="none"/>
              </w:rPr>
              <w:t>500m</w:t>
            </w:r>
            <w:r>
              <w:rPr>
                <w:rFonts w:ascii="Times New Roman" w:hAnsi="Times New Roman" w:eastAsia="仿宋_GB2312" w:cs="Times New Roman"/>
                <w:kern w:val="2"/>
                <w:sz w:val="21"/>
                <w:szCs w:val="21"/>
                <w:highlight w:val="none"/>
                <w:vertAlign w:val="superscript"/>
              </w:rPr>
              <w:t>3</w:t>
            </w:r>
            <w:r>
              <w:rPr>
                <w:rFonts w:hint="eastAsia" w:ascii="Times New Roman" w:hAnsi="Times New Roman" w:eastAsia="仿宋_GB2312" w:cs="仿宋_GB2312"/>
                <w:kern w:val="2"/>
                <w:sz w:val="21"/>
                <w:szCs w:val="21"/>
                <w:highlight w:val="none"/>
              </w:rPr>
              <w:t>的</w:t>
            </w:r>
            <w:r>
              <w:rPr>
                <w:rFonts w:ascii="Times New Roman" w:hAnsi="Times New Roman" w:eastAsia="仿宋_GB2312" w:cs="Times New Roman"/>
                <w:kern w:val="2"/>
                <w:sz w:val="21"/>
                <w:szCs w:val="21"/>
                <w:highlight w:val="none"/>
              </w:rPr>
              <w:t>)</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413" w:type="dxa"/>
            <w:vMerge w:val="continue"/>
            <w:vAlign w:val="center"/>
          </w:tcPr>
          <w:p>
            <w:pPr>
              <w:snapToGrid w:val="0"/>
              <w:jc w:val="center"/>
              <w:rPr>
                <w:rFonts w:ascii="Times New Roman" w:hAnsi="Times New Roman" w:cs="Times New Roman"/>
                <w:b/>
                <w:bCs/>
                <w:highlight w:val="none"/>
              </w:rPr>
            </w:pPr>
          </w:p>
        </w:tc>
        <w:tc>
          <w:tcPr>
            <w:tcW w:w="5499" w:type="dxa"/>
            <w:vAlign w:val="center"/>
          </w:tcPr>
          <w:p>
            <w:pPr>
              <w:pStyle w:val="12"/>
              <w:snapToGrid w:val="0"/>
              <w:spacing w:before="0" w:beforeAutospacing="0" w:after="0" w:afterAutospacing="0"/>
              <w:jc w:val="center"/>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未经消除污染的处理将收集、贮存、运输、处置危险废物的场所、设施、设备和容器、包装物及其他物品转作他用</w:t>
            </w:r>
            <w:r>
              <w:rPr>
                <w:rFonts w:ascii="Times New Roman" w:hAnsi="Times New Roman" w:eastAsia="仿宋_GB2312" w:cs="Times New Roman"/>
                <w:kern w:val="2"/>
                <w:sz w:val="21"/>
                <w:szCs w:val="21"/>
                <w:highlight w:val="none"/>
              </w:rPr>
              <w:t>(</w:t>
            </w:r>
            <w:r>
              <w:rPr>
                <w:rFonts w:hint="eastAsia" w:ascii="Times New Roman" w:hAnsi="Times New Roman" w:eastAsia="仿宋_GB2312" w:cs="仿宋_GB2312"/>
                <w:kern w:val="2"/>
                <w:sz w:val="21"/>
                <w:szCs w:val="21"/>
                <w:highlight w:val="none"/>
              </w:rPr>
              <w:t>容量</w:t>
            </w:r>
            <w:r>
              <w:rPr>
                <w:rFonts w:ascii="Times New Roman" w:hAnsi="Times New Roman" w:eastAsia="仿宋_GB2312" w:cs="Times New Roman"/>
                <w:kern w:val="2"/>
                <w:sz w:val="21"/>
                <w:szCs w:val="21"/>
                <w:highlight w:val="none"/>
              </w:rPr>
              <w:t>500m</w:t>
            </w:r>
            <w:r>
              <w:rPr>
                <w:rFonts w:ascii="Times New Roman" w:hAnsi="Times New Roman" w:eastAsia="仿宋_GB2312" w:cs="Times New Roman"/>
                <w:kern w:val="2"/>
                <w:sz w:val="21"/>
                <w:szCs w:val="21"/>
                <w:highlight w:val="none"/>
                <w:vertAlign w:val="superscript"/>
              </w:rPr>
              <w:t>3</w:t>
            </w:r>
            <w:r>
              <w:rPr>
                <w:rFonts w:hint="eastAsia" w:ascii="Times New Roman" w:hAnsi="Times New Roman" w:eastAsia="仿宋_GB2312" w:cs="仿宋_GB2312"/>
                <w:kern w:val="2"/>
                <w:sz w:val="21"/>
                <w:szCs w:val="21"/>
                <w:highlight w:val="none"/>
              </w:rPr>
              <w:t>以上的</w:t>
            </w:r>
            <w:r>
              <w:rPr>
                <w:rFonts w:ascii="Times New Roman" w:hAnsi="Times New Roman" w:eastAsia="仿宋_GB2312" w:cs="Times New Roman"/>
                <w:kern w:val="2"/>
                <w:sz w:val="21"/>
                <w:szCs w:val="21"/>
                <w:highlight w:val="none"/>
              </w:rPr>
              <w:t>)</w:t>
            </w:r>
          </w:p>
        </w:tc>
        <w:tc>
          <w:tcPr>
            <w:tcW w:w="2297"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413" w:type="dxa"/>
            <w:vMerge w:val="restart"/>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违法行为</w:t>
            </w:r>
          </w:p>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持续时间或</w:t>
            </w:r>
          </w:p>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发生频次</w:t>
            </w:r>
          </w:p>
        </w:tc>
        <w:tc>
          <w:tcPr>
            <w:tcW w:w="5499" w:type="dxa"/>
            <w:vAlign w:val="center"/>
          </w:tcPr>
          <w:p>
            <w:pPr>
              <w:snapToGrid w:val="0"/>
              <w:spacing w:line="312" w:lineRule="auto"/>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r>
              <w:rPr>
                <w:rFonts w:hint="eastAsia" w:ascii="Times New Roman" w:hAnsi="Times New Roman" w:eastAsia="仿宋_GB2312" w:cs="仿宋_GB2312"/>
                <w:highlight w:val="none"/>
              </w:rPr>
              <w:t>个月以内或</w:t>
            </w:r>
            <w:r>
              <w:rPr>
                <w:rFonts w:ascii="Times New Roman" w:hAnsi="Times New Roman" w:eastAsia="仿宋_GB2312" w:cs="Times New Roman"/>
                <w:highlight w:val="none"/>
              </w:rPr>
              <w:t>2</w:t>
            </w:r>
            <w:r>
              <w:rPr>
                <w:rFonts w:hint="eastAsia" w:ascii="Times New Roman" w:hAnsi="Times New Roman" w:eastAsia="仿宋_GB2312" w:cs="仿宋_GB2312"/>
                <w:highlight w:val="none"/>
              </w:rPr>
              <w:t>次以下</w:t>
            </w:r>
          </w:p>
        </w:tc>
        <w:tc>
          <w:tcPr>
            <w:tcW w:w="2297" w:type="dxa"/>
            <w:vAlign w:val="center"/>
          </w:tcPr>
          <w:p>
            <w:pPr>
              <w:snapToGrid w:val="0"/>
              <w:spacing w:line="312" w:lineRule="auto"/>
              <w:jc w:val="center"/>
              <w:rPr>
                <w:rFonts w:ascii="Times New Roman" w:hAnsi="Times New Roman"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413" w:type="dxa"/>
            <w:vMerge w:val="continue"/>
            <w:vAlign w:val="center"/>
          </w:tcPr>
          <w:p>
            <w:pPr>
              <w:snapToGrid w:val="0"/>
              <w:jc w:val="center"/>
              <w:rPr>
                <w:rFonts w:ascii="Times New Roman" w:hAnsi="Times New Roman" w:cs="Times New Roman"/>
                <w:b/>
                <w:bCs/>
                <w:highlight w:val="none"/>
              </w:rPr>
            </w:pPr>
          </w:p>
        </w:tc>
        <w:tc>
          <w:tcPr>
            <w:tcW w:w="5499" w:type="dxa"/>
            <w:vAlign w:val="center"/>
          </w:tcPr>
          <w:p>
            <w:pPr>
              <w:pStyle w:val="11"/>
              <w:snapToGrid w:val="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3</w:t>
            </w:r>
            <w:r>
              <w:rPr>
                <w:rFonts w:hint="eastAsia" w:ascii="Times New Roman" w:hAnsi="Times New Roman" w:eastAsia="仿宋_GB2312" w:cs="仿宋_GB2312"/>
                <w:sz w:val="21"/>
                <w:szCs w:val="21"/>
                <w:highlight w:val="none"/>
              </w:rPr>
              <w:t>个月以上</w:t>
            </w:r>
            <w:r>
              <w:rPr>
                <w:rFonts w:ascii="Times New Roman" w:hAnsi="Times New Roman" w:eastAsia="仿宋_GB2312" w:cs="Times New Roman"/>
                <w:sz w:val="21"/>
                <w:szCs w:val="21"/>
                <w:highlight w:val="none"/>
              </w:rPr>
              <w:t>6</w:t>
            </w:r>
            <w:r>
              <w:rPr>
                <w:rFonts w:hint="eastAsia" w:ascii="Times New Roman" w:hAnsi="Times New Roman" w:eastAsia="仿宋_GB2312" w:cs="仿宋_GB2312"/>
                <w:sz w:val="21"/>
                <w:szCs w:val="21"/>
                <w:highlight w:val="none"/>
              </w:rPr>
              <w:t>个月以内或</w:t>
            </w:r>
            <w:r>
              <w:rPr>
                <w:rFonts w:ascii="Times New Roman" w:hAnsi="Times New Roman" w:eastAsia="仿宋_GB2312" w:cs="Times New Roman"/>
                <w:sz w:val="21"/>
                <w:szCs w:val="21"/>
                <w:highlight w:val="none"/>
              </w:rPr>
              <w:t>2</w:t>
            </w:r>
            <w:r>
              <w:rPr>
                <w:rFonts w:hint="eastAsia" w:ascii="Times New Roman" w:hAnsi="Times New Roman" w:eastAsia="仿宋_GB2312" w:cs="仿宋_GB2312"/>
                <w:sz w:val="21"/>
                <w:szCs w:val="21"/>
                <w:highlight w:val="none"/>
              </w:rPr>
              <w:t>次</w:t>
            </w:r>
          </w:p>
        </w:tc>
        <w:tc>
          <w:tcPr>
            <w:tcW w:w="2297"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413" w:type="dxa"/>
            <w:vMerge w:val="continue"/>
            <w:vAlign w:val="center"/>
          </w:tcPr>
          <w:p>
            <w:pPr>
              <w:snapToGrid w:val="0"/>
              <w:jc w:val="center"/>
              <w:rPr>
                <w:rFonts w:ascii="Times New Roman" w:hAnsi="Times New Roman" w:cs="Times New Roman"/>
                <w:b/>
                <w:bCs/>
                <w:highlight w:val="none"/>
              </w:rPr>
            </w:pPr>
          </w:p>
        </w:tc>
        <w:tc>
          <w:tcPr>
            <w:tcW w:w="5499" w:type="dxa"/>
            <w:vAlign w:val="center"/>
          </w:tcPr>
          <w:p>
            <w:pPr>
              <w:pStyle w:val="11"/>
              <w:snapToGrid w:val="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6</w:t>
            </w:r>
            <w:r>
              <w:rPr>
                <w:rFonts w:hint="eastAsia" w:ascii="Times New Roman" w:hAnsi="Times New Roman" w:eastAsia="仿宋_GB2312" w:cs="仿宋_GB2312"/>
                <w:sz w:val="21"/>
                <w:szCs w:val="21"/>
                <w:highlight w:val="none"/>
              </w:rPr>
              <w:t>个月以上或</w:t>
            </w:r>
            <w:r>
              <w:rPr>
                <w:rFonts w:ascii="Times New Roman" w:hAnsi="Times New Roman" w:eastAsia="仿宋_GB2312" w:cs="Times New Roman"/>
                <w:sz w:val="21"/>
                <w:szCs w:val="21"/>
                <w:highlight w:val="none"/>
              </w:rPr>
              <w:t>3</w:t>
            </w:r>
            <w:r>
              <w:rPr>
                <w:rFonts w:hint="eastAsia" w:ascii="Times New Roman" w:hAnsi="Times New Roman" w:eastAsia="仿宋_GB2312" w:cs="仿宋_GB2312"/>
                <w:sz w:val="21"/>
                <w:szCs w:val="21"/>
                <w:highlight w:val="none"/>
              </w:rPr>
              <w:t>次以上</w:t>
            </w:r>
          </w:p>
        </w:tc>
        <w:tc>
          <w:tcPr>
            <w:tcW w:w="2297"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4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796" w:type="dxa"/>
            <w:gridSpan w:val="2"/>
          </w:tcPr>
          <w:p>
            <w:pPr>
              <w:snapToGrid w:val="0"/>
              <w:ind w:firstLine="420"/>
              <w:jc w:val="center"/>
              <w:rPr>
                <w:rFonts w:ascii="Times New Roman" w:hAnsi="Times New Roman" w:cs="Times New Roman"/>
                <w:highlight w:val="none"/>
              </w:rPr>
            </w:pPr>
          </w:p>
        </w:tc>
      </w:tr>
    </w:tbl>
    <w:p>
      <w:pPr>
        <w:adjustRightInd w:val="0"/>
        <w:snapToGrid w:val="0"/>
        <w:spacing w:line="312" w:lineRule="auto"/>
        <w:outlineLvl w:val="0"/>
        <w:rPr>
          <w:rFonts w:ascii="仿宋_GB2312" w:eastAsia="仿宋_GB2312" w:cs="Times New Roman"/>
          <w:sz w:val="32"/>
          <w:szCs w:val="32"/>
          <w:highlight w:val="none"/>
        </w:rPr>
      </w:pPr>
    </w:p>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5103"/>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（四）固体废物污染防治类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14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796"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r>
              <w:rPr>
                <w:rFonts w:hint="eastAsia"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796" w:type="dxa"/>
            <w:gridSpan w:val="2"/>
            <w:vAlign w:val="center"/>
          </w:tcPr>
          <w:p>
            <w:pPr>
              <w:widowControl/>
              <w:jc w:val="center"/>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未采取相应防范措施，造成危险废物扬散、流失、渗漏或者造成其他环境污染的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13"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796" w:type="dxa"/>
            <w:gridSpan w:val="2"/>
          </w:tcPr>
          <w:p>
            <w:pPr>
              <w:widowControl/>
              <w:ind w:firstLine="422"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b/>
                <w:bCs/>
                <w:kern w:val="0"/>
                <w:highlight w:val="none"/>
              </w:rPr>
              <w:t>《中华人民共和国固体废物污染环境防治法》第二十条第一款</w:t>
            </w:r>
            <w:r>
              <w:rPr>
                <w:rFonts w:hint="eastAsia" w:ascii="Times New Roman" w:hAnsi="Times New Roman" w:eastAsia="仿宋_GB2312" w:cs="仿宋_GB2312"/>
                <w:kern w:val="0"/>
                <w:highlight w:val="none"/>
              </w:rPr>
              <w:t xml:space="preserve">  产生、收集、贮存、运输、利用、处置固体废物的单位和其他生产经营者，应当采取防扬散、防流失、防渗漏或者其他防止污染环境的措施，不得擅自倾倒、堆放、丢弃、遗撒固体废物。 </w:t>
            </w:r>
          </w:p>
          <w:p>
            <w:pPr>
              <w:widowControl/>
              <w:ind w:firstLine="422"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b/>
                <w:bCs/>
                <w:kern w:val="0"/>
                <w:highlight w:val="none"/>
              </w:rPr>
              <w:t xml:space="preserve">《中华人民共和国固体废物污染环境防治法》第七十九条 </w:t>
            </w:r>
            <w:r>
              <w:rPr>
                <w:rFonts w:hint="eastAsia" w:ascii="Times New Roman" w:hAnsi="Times New Roman" w:eastAsia="仿宋_GB2312" w:cs="仿宋_GB2312"/>
                <w:kern w:val="0"/>
                <w:highlight w:val="none"/>
              </w:rPr>
              <w:t xml:space="preserve"> 产生危险废物的单位，应当按照国家有关规定和环境保护标准要求贮存、利用、处置危险废物，不得擅自倾倒、堆放。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13"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796" w:type="dxa"/>
            <w:gridSpan w:val="2"/>
          </w:tcPr>
          <w:p>
            <w:pPr>
              <w:widowControl/>
              <w:ind w:firstLine="422"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b/>
                <w:bCs/>
                <w:kern w:val="0"/>
                <w:highlight w:val="none"/>
              </w:rPr>
              <w:t>《中华人民共和国固体废物污染环境防治法》第一百一十二条第一款第（十） 项、第二款</w:t>
            </w:r>
            <w:r>
              <w:rPr>
                <w:rFonts w:hint="eastAsia" w:ascii="Times New Roman" w:hAnsi="Times New Roman" w:eastAsia="仿宋_GB2312" w:cs="仿宋_GB2312"/>
                <w:kern w:val="0"/>
                <w:highlight w:val="none"/>
              </w:rPr>
              <w:t xml:space="preserve">  违反本法规定，有下列行为之一，由生态环境主管部门责令改正，处以罚款，没收违法所得；情节严重的，报经有批准权的人民政府批准，可以责令停业或者关闭： </w:t>
            </w:r>
          </w:p>
          <w:p>
            <w:pPr>
              <w:widowControl/>
              <w:ind w:firstLine="420"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 xml:space="preserve">（十）未采取相应防范措施，造成危险废物扬散、流失、渗漏或者其他环境污染的； </w:t>
            </w:r>
          </w:p>
          <w:p>
            <w:pPr>
              <w:widowControl/>
              <w:ind w:firstLine="420"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 xml:space="preserve">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4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10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413"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违法事实★</w:t>
            </w:r>
          </w:p>
        </w:tc>
        <w:tc>
          <w:tcPr>
            <w:tcW w:w="5103" w:type="dxa"/>
            <w:vAlign w:val="center"/>
          </w:tcPr>
          <w:p>
            <w:pPr>
              <w:pStyle w:val="12"/>
              <w:snapToGrid w:val="0"/>
              <w:spacing w:before="0" w:beforeAutospacing="0" w:after="0" w:afterAutospacing="0"/>
              <w:jc w:val="center"/>
              <w:rPr>
                <w:rFonts w:ascii="Times New Roman" w:hAnsi="Times New Roman" w:cs="Times New Roman"/>
                <w:b/>
                <w:bCs/>
                <w:highlight w:val="none"/>
              </w:rPr>
            </w:pPr>
            <w:r>
              <w:rPr>
                <w:rFonts w:hint="eastAsia" w:ascii="Times New Roman" w:hAnsi="Times New Roman" w:eastAsia="仿宋_GB2312" w:cs="仿宋_GB2312"/>
                <w:sz w:val="21"/>
                <w:szCs w:val="21"/>
                <w:highlight w:val="none"/>
              </w:rPr>
              <w:t>未规范采取相应防范措施，造成危险废物扬散、流失、渗漏或者其他环境污染的</w:t>
            </w:r>
          </w:p>
        </w:tc>
        <w:tc>
          <w:tcPr>
            <w:tcW w:w="2693" w:type="dxa"/>
            <w:vAlign w:val="center"/>
          </w:tcPr>
          <w:p>
            <w:pPr>
              <w:pStyle w:val="11"/>
              <w:snapToGrid w:val="0"/>
              <w:jc w:val="center"/>
              <w:rPr>
                <w:rFonts w:ascii="Times New Roman" w:hAnsi="Times New Roman" w:cs="Times New Roman"/>
                <w:b/>
                <w:bCs/>
                <w:highlight w:val="none"/>
              </w:rPr>
            </w:pPr>
            <w:r>
              <w:rPr>
                <w:rFonts w:ascii="Times New Roman" w:hAnsi="Times New Roman" w:cs="Times New Roman"/>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413" w:type="dxa"/>
            <w:vMerge w:val="continue"/>
            <w:vAlign w:val="center"/>
          </w:tcPr>
          <w:p>
            <w:pPr>
              <w:snapToGrid w:val="0"/>
              <w:jc w:val="center"/>
              <w:rPr>
                <w:rFonts w:ascii="Times New Roman" w:hAnsi="Times New Roman" w:cs="Times New Roman"/>
                <w:b/>
                <w:bCs/>
                <w:highlight w:val="none"/>
              </w:rPr>
            </w:pPr>
          </w:p>
        </w:tc>
        <w:tc>
          <w:tcPr>
            <w:tcW w:w="5103" w:type="dxa"/>
            <w:vAlign w:val="center"/>
          </w:tcPr>
          <w:p>
            <w:pPr>
              <w:pStyle w:val="12"/>
              <w:snapToGrid w:val="0"/>
              <w:spacing w:before="0" w:beforeAutospacing="0" w:after="0" w:afterAutospacing="0"/>
              <w:jc w:val="center"/>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sz w:val="21"/>
                <w:szCs w:val="21"/>
                <w:highlight w:val="none"/>
              </w:rPr>
              <w:t>未采取相应防范措施的，造成危险废物扬散、流失、渗漏或者其他环境污染的</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413"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涉及危险</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废物数量</w:t>
            </w:r>
          </w:p>
        </w:tc>
        <w:tc>
          <w:tcPr>
            <w:tcW w:w="5103" w:type="dxa"/>
            <w:vAlign w:val="center"/>
          </w:tcPr>
          <w:p>
            <w:pPr>
              <w:pStyle w:val="12"/>
              <w:snapToGrid w:val="0"/>
              <w:spacing w:before="0" w:beforeAutospacing="0" w:after="0" w:afterAutospacing="0"/>
              <w:jc w:val="center"/>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1吨以下</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trPr>
        <w:tc>
          <w:tcPr>
            <w:tcW w:w="1413" w:type="dxa"/>
            <w:vMerge w:val="continue"/>
            <w:vAlign w:val="center"/>
          </w:tcPr>
          <w:p>
            <w:pPr>
              <w:snapToGrid w:val="0"/>
              <w:jc w:val="center"/>
              <w:rPr>
                <w:rFonts w:ascii="Times New Roman" w:hAnsi="Times New Roman" w:cs="Times New Roman"/>
                <w:b/>
                <w:bCs/>
                <w:highlight w:val="none"/>
              </w:rPr>
            </w:pPr>
          </w:p>
        </w:tc>
        <w:tc>
          <w:tcPr>
            <w:tcW w:w="5103" w:type="dxa"/>
            <w:vAlign w:val="center"/>
          </w:tcPr>
          <w:p>
            <w:pPr>
              <w:pStyle w:val="12"/>
              <w:snapToGrid w:val="0"/>
              <w:spacing w:before="0" w:beforeAutospacing="0" w:after="0" w:afterAutospacing="0"/>
              <w:jc w:val="center"/>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1吨以上不足3吨</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413" w:type="dxa"/>
            <w:vMerge w:val="continue"/>
            <w:vAlign w:val="center"/>
          </w:tcPr>
          <w:p>
            <w:pPr>
              <w:snapToGrid w:val="0"/>
              <w:jc w:val="center"/>
              <w:rPr>
                <w:rFonts w:ascii="Times New Roman" w:hAnsi="Times New Roman" w:cs="Times New Roman"/>
                <w:b/>
                <w:bCs/>
                <w:highlight w:val="none"/>
              </w:rPr>
            </w:pPr>
          </w:p>
        </w:tc>
        <w:tc>
          <w:tcPr>
            <w:tcW w:w="5103" w:type="dxa"/>
            <w:vAlign w:val="center"/>
          </w:tcPr>
          <w:p>
            <w:pPr>
              <w:pStyle w:val="12"/>
              <w:snapToGrid w:val="0"/>
              <w:spacing w:before="0" w:beforeAutospacing="0" w:after="0" w:afterAutospacing="0"/>
              <w:jc w:val="center"/>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3吨以上不足5吨</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413" w:type="dxa"/>
            <w:vMerge w:val="continue"/>
            <w:vAlign w:val="center"/>
          </w:tcPr>
          <w:p>
            <w:pPr>
              <w:snapToGrid w:val="0"/>
              <w:jc w:val="center"/>
              <w:rPr>
                <w:rFonts w:ascii="Times New Roman" w:hAnsi="Times New Roman" w:cs="Times New Roman"/>
                <w:b/>
                <w:bCs/>
                <w:highlight w:val="none"/>
              </w:rPr>
            </w:pPr>
          </w:p>
        </w:tc>
        <w:tc>
          <w:tcPr>
            <w:tcW w:w="5103" w:type="dxa"/>
            <w:vAlign w:val="center"/>
          </w:tcPr>
          <w:p>
            <w:pPr>
              <w:pStyle w:val="12"/>
              <w:snapToGrid w:val="0"/>
              <w:spacing w:before="0" w:beforeAutospacing="0" w:after="0" w:afterAutospacing="0"/>
              <w:jc w:val="center"/>
              <w:rPr>
                <w:rFonts w:ascii="Times New Roman" w:hAnsi="Times New Roman" w:eastAsia="仿宋_GB2312" w:cs="Times New Roman"/>
                <w:kern w:val="2"/>
                <w:sz w:val="21"/>
                <w:szCs w:val="21"/>
                <w:highlight w:val="none"/>
              </w:rPr>
            </w:pPr>
            <w:r>
              <w:rPr>
                <w:rFonts w:hint="eastAsia" w:ascii="Times New Roman" w:hAnsi="Times New Roman" w:eastAsia="仿宋_GB2312" w:cs="Times New Roman"/>
                <w:kern w:val="2"/>
                <w:sz w:val="21"/>
                <w:szCs w:val="21"/>
                <w:highlight w:val="none"/>
              </w:rPr>
              <w:t>5</w:t>
            </w:r>
            <w:r>
              <w:rPr>
                <w:rFonts w:hint="eastAsia" w:ascii="Times New Roman" w:hAnsi="Times New Roman" w:eastAsia="仿宋_GB2312" w:cs="仿宋_GB2312"/>
                <w:kern w:val="2"/>
                <w:sz w:val="21"/>
                <w:szCs w:val="21"/>
                <w:highlight w:val="none"/>
              </w:rPr>
              <w:t>吨以上不足10吨</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413" w:type="dxa"/>
            <w:vMerge w:val="continue"/>
            <w:vAlign w:val="center"/>
          </w:tcPr>
          <w:p>
            <w:pPr>
              <w:snapToGrid w:val="0"/>
              <w:jc w:val="center"/>
              <w:rPr>
                <w:rFonts w:ascii="Times New Roman" w:hAnsi="Times New Roman" w:cs="Times New Roman"/>
                <w:b/>
                <w:bCs/>
                <w:highlight w:val="none"/>
              </w:rPr>
            </w:pPr>
          </w:p>
        </w:tc>
        <w:tc>
          <w:tcPr>
            <w:tcW w:w="5103" w:type="dxa"/>
            <w:vAlign w:val="center"/>
          </w:tcPr>
          <w:p>
            <w:pPr>
              <w:pStyle w:val="12"/>
              <w:snapToGrid w:val="0"/>
              <w:spacing w:before="0" w:beforeAutospacing="0" w:after="0" w:afterAutospacing="0"/>
              <w:jc w:val="center"/>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10吨以上</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413"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违法行为持续时间或</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发生频次</w:t>
            </w:r>
          </w:p>
        </w:tc>
        <w:tc>
          <w:tcPr>
            <w:tcW w:w="510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r>
              <w:rPr>
                <w:rFonts w:hint="eastAsia" w:ascii="Times New Roman" w:hAnsi="Times New Roman" w:eastAsia="仿宋_GB2312" w:cs="仿宋_GB2312"/>
                <w:highlight w:val="none"/>
              </w:rPr>
              <w:t>个月以内或</w:t>
            </w:r>
            <w:r>
              <w:rPr>
                <w:rFonts w:ascii="Times New Roman" w:hAnsi="Times New Roman" w:eastAsia="仿宋_GB2312" w:cs="Times New Roman"/>
                <w:highlight w:val="none"/>
              </w:rPr>
              <w:t>2</w:t>
            </w:r>
            <w:r>
              <w:rPr>
                <w:rFonts w:hint="eastAsia" w:ascii="Times New Roman" w:hAnsi="Times New Roman" w:eastAsia="仿宋_GB2312" w:cs="仿宋_GB2312"/>
                <w:highlight w:val="none"/>
              </w:rPr>
              <w:t>次以下</w:t>
            </w:r>
          </w:p>
        </w:tc>
        <w:tc>
          <w:tcPr>
            <w:tcW w:w="2693"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trPr>
        <w:tc>
          <w:tcPr>
            <w:tcW w:w="1413" w:type="dxa"/>
            <w:vMerge w:val="continue"/>
            <w:vAlign w:val="center"/>
          </w:tcPr>
          <w:p>
            <w:pPr>
              <w:snapToGrid w:val="0"/>
              <w:jc w:val="center"/>
              <w:rPr>
                <w:rFonts w:ascii="Times New Roman" w:hAnsi="Times New Roman" w:cs="Times New Roman"/>
                <w:b/>
                <w:bCs/>
                <w:highlight w:val="none"/>
              </w:rPr>
            </w:pPr>
          </w:p>
        </w:tc>
        <w:tc>
          <w:tcPr>
            <w:tcW w:w="5103" w:type="dxa"/>
            <w:vAlign w:val="center"/>
          </w:tcPr>
          <w:p>
            <w:pPr>
              <w:pStyle w:val="12"/>
              <w:snapToGrid w:val="0"/>
              <w:spacing w:before="0" w:beforeAutospacing="0" w:after="0" w:afterAutospacing="0"/>
              <w:ind w:firstLine="480"/>
              <w:jc w:val="center"/>
              <w:rPr>
                <w:rFonts w:ascii="Times New Roman" w:hAnsi="Times New Roman" w:eastAsia="仿宋_GB2312" w:cs="Times New Roman"/>
                <w:kern w:val="2"/>
                <w:sz w:val="21"/>
                <w:szCs w:val="21"/>
                <w:highlight w:val="none"/>
              </w:rPr>
            </w:pPr>
            <w:r>
              <w:rPr>
                <w:rFonts w:ascii="Times New Roman" w:hAnsi="Times New Roman" w:eastAsia="仿宋_GB2312" w:cs="Times New Roman"/>
                <w:sz w:val="21"/>
                <w:szCs w:val="21"/>
                <w:highlight w:val="none"/>
              </w:rPr>
              <w:t>3</w:t>
            </w:r>
            <w:r>
              <w:rPr>
                <w:rFonts w:hint="eastAsia" w:ascii="Times New Roman" w:hAnsi="Times New Roman" w:eastAsia="仿宋_GB2312" w:cs="仿宋_GB2312"/>
                <w:sz w:val="21"/>
                <w:szCs w:val="21"/>
                <w:highlight w:val="none"/>
              </w:rPr>
              <w:t>个月以上</w:t>
            </w:r>
            <w:r>
              <w:rPr>
                <w:rFonts w:ascii="Times New Roman" w:hAnsi="Times New Roman" w:eastAsia="仿宋_GB2312" w:cs="Times New Roman"/>
                <w:sz w:val="21"/>
                <w:szCs w:val="21"/>
                <w:highlight w:val="none"/>
              </w:rPr>
              <w:t>6</w:t>
            </w:r>
            <w:r>
              <w:rPr>
                <w:rFonts w:hint="eastAsia" w:ascii="Times New Roman" w:hAnsi="Times New Roman" w:eastAsia="仿宋_GB2312" w:cs="仿宋_GB2312"/>
                <w:sz w:val="21"/>
                <w:szCs w:val="21"/>
                <w:highlight w:val="none"/>
              </w:rPr>
              <w:t>个月以内或</w:t>
            </w:r>
            <w:r>
              <w:rPr>
                <w:rFonts w:ascii="Times New Roman" w:hAnsi="Times New Roman" w:eastAsia="仿宋_GB2312" w:cs="Times New Roman"/>
                <w:sz w:val="21"/>
                <w:szCs w:val="21"/>
                <w:highlight w:val="none"/>
              </w:rPr>
              <w:t>2</w:t>
            </w:r>
            <w:r>
              <w:rPr>
                <w:rFonts w:hint="eastAsia" w:ascii="Times New Roman" w:hAnsi="Times New Roman" w:eastAsia="仿宋_GB2312" w:cs="仿宋_GB2312"/>
                <w:sz w:val="21"/>
                <w:szCs w:val="21"/>
                <w:highlight w:val="none"/>
              </w:rPr>
              <w:t>次</w:t>
            </w:r>
          </w:p>
        </w:tc>
        <w:tc>
          <w:tcPr>
            <w:tcW w:w="2693"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413" w:type="dxa"/>
            <w:vMerge w:val="continue"/>
            <w:vAlign w:val="center"/>
          </w:tcPr>
          <w:p>
            <w:pPr>
              <w:snapToGrid w:val="0"/>
              <w:jc w:val="center"/>
              <w:rPr>
                <w:rFonts w:ascii="Times New Roman" w:hAnsi="Times New Roman" w:cs="Times New Roman"/>
                <w:b/>
                <w:bCs/>
                <w:highlight w:val="none"/>
              </w:rPr>
            </w:pPr>
          </w:p>
        </w:tc>
        <w:tc>
          <w:tcPr>
            <w:tcW w:w="5103" w:type="dxa"/>
            <w:vAlign w:val="center"/>
          </w:tcPr>
          <w:p>
            <w:pPr>
              <w:pStyle w:val="12"/>
              <w:snapToGrid w:val="0"/>
              <w:spacing w:before="0" w:beforeAutospacing="0" w:after="0" w:afterAutospacing="0"/>
              <w:ind w:firstLine="480"/>
              <w:jc w:val="center"/>
              <w:rPr>
                <w:rFonts w:ascii="Times New Roman" w:hAnsi="Times New Roman" w:eastAsia="仿宋_GB2312" w:cs="Times New Roman"/>
                <w:kern w:val="2"/>
                <w:sz w:val="21"/>
                <w:szCs w:val="21"/>
                <w:highlight w:val="none"/>
              </w:rPr>
            </w:pPr>
            <w:r>
              <w:rPr>
                <w:rFonts w:ascii="Times New Roman" w:hAnsi="Times New Roman" w:eastAsia="仿宋_GB2312" w:cs="Times New Roman"/>
                <w:sz w:val="21"/>
                <w:szCs w:val="21"/>
                <w:highlight w:val="none"/>
              </w:rPr>
              <w:t>6</w:t>
            </w:r>
            <w:r>
              <w:rPr>
                <w:rFonts w:hint="eastAsia" w:ascii="Times New Roman" w:hAnsi="Times New Roman" w:eastAsia="仿宋_GB2312" w:cs="仿宋_GB2312"/>
                <w:sz w:val="21"/>
                <w:szCs w:val="21"/>
                <w:highlight w:val="none"/>
              </w:rPr>
              <w:t>个月以上或</w:t>
            </w:r>
            <w:r>
              <w:rPr>
                <w:rFonts w:ascii="Times New Roman" w:hAnsi="Times New Roman" w:eastAsia="仿宋_GB2312" w:cs="Times New Roman"/>
                <w:sz w:val="21"/>
                <w:szCs w:val="21"/>
                <w:highlight w:val="none"/>
              </w:rPr>
              <w:t>3</w:t>
            </w:r>
            <w:r>
              <w:rPr>
                <w:rFonts w:hint="eastAsia" w:ascii="Times New Roman" w:hAnsi="Times New Roman" w:eastAsia="仿宋_GB2312" w:cs="仿宋_GB2312"/>
                <w:sz w:val="21"/>
                <w:szCs w:val="21"/>
                <w:highlight w:val="none"/>
              </w:rPr>
              <w:t>次以上</w:t>
            </w:r>
          </w:p>
        </w:tc>
        <w:tc>
          <w:tcPr>
            <w:tcW w:w="2693"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4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796" w:type="dxa"/>
            <w:gridSpan w:val="2"/>
            <w:vAlign w:val="center"/>
          </w:tcPr>
          <w:p>
            <w:pPr>
              <w:snapToGrid w:val="0"/>
              <w:ind w:firstLine="420"/>
              <w:jc w:val="center"/>
              <w:rPr>
                <w:rFonts w:ascii="Times New Roman" w:hAnsi="Times New Roman" w:cs="Times New Roman"/>
                <w:highlight w:val="none"/>
              </w:rPr>
            </w:pPr>
          </w:p>
        </w:tc>
      </w:tr>
    </w:tbl>
    <w:p>
      <w:pPr>
        <w:adjustRightInd w:val="0"/>
        <w:snapToGrid w:val="0"/>
        <w:spacing w:line="312" w:lineRule="auto"/>
        <w:outlineLvl w:val="0"/>
        <w:rPr>
          <w:rFonts w:ascii="仿宋_GB2312" w:eastAsia="仿宋_GB2312" w:cs="Times New Roman"/>
          <w:highlight w:val="none"/>
        </w:rPr>
      </w:pPr>
      <w:r>
        <w:rPr>
          <w:rFonts w:ascii="仿宋_GB2312" w:eastAsia="仿宋_GB2312" w:cs="Times New Roman"/>
          <w:sz w:val="32"/>
          <w:szCs w:val="32"/>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5103"/>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（四）固体废物污染防治类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796"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r>
              <w:rPr>
                <w:rFonts w:hint="eastAsia"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796" w:type="dxa"/>
            <w:gridSpan w:val="2"/>
            <w:vAlign w:val="center"/>
          </w:tcPr>
          <w:p>
            <w:pPr>
              <w:snapToGrid w:val="0"/>
              <w:jc w:val="center"/>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在运输过程中沿途丢弃、遗撒危险废物的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796" w:type="dxa"/>
            <w:gridSpan w:val="2"/>
          </w:tcPr>
          <w:p>
            <w:pPr>
              <w:widowControl/>
              <w:ind w:firstLine="422"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b/>
                <w:bCs/>
                <w:kern w:val="0"/>
                <w:highlight w:val="none"/>
              </w:rPr>
              <w:t xml:space="preserve">《中华人民共和国固体废物污染环境防治法》第八十三条第一款 </w:t>
            </w:r>
            <w:r>
              <w:rPr>
                <w:rFonts w:hint="eastAsia" w:ascii="Times New Roman" w:hAnsi="Times New Roman" w:eastAsia="仿宋_GB2312" w:cs="仿宋_GB2312"/>
                <w:kern w:val="0"/>
                <w:highlight w:val="none"/>
              </w:rPr>
              <w:t xml:space="preserve"> 运输危险废物，应当采取防止污染环境的措施，并遵守国家有关危险货物运输管理的规定。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796" w:type="dxa"/>
            <w:gridSpan w:val="2"/>
          </w:tcPr>
          <w:p>
            <w:pPr>
              <w:widowControl/>
              <w:ind w:firstLine="422"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b/>
                <w:bCs/>
                <w:kern w:val="0"/>
                <w:highlight w:val="none"/>
              </w:rPr>
              <w:t xml:space="preserve">《中华人民共和国固体废物污染环境防治法》第一百一十二条第一款第（十一）项、第二款 </w:t>
            </w:r>
            <w:r>
              <w:rPr>
                <w:rFonts w:hint="eastAsia" w:ascii="Times New Roman" w:hAnsi="Times New Roman" w:eastAsia="仿宋_GB2312" w:cs="仿宋_GB2312"/>
                <w:kern w:val="0"/>
                <w:highlight w:val="none"/>
              </w:rPr>
              <w:t xml:space="preserve"> 违反本法规定，有下列行为之一，由生态环境主管部门责令改正，处以罚款，没收违法所得；情节严重的，报经有批准权的人民政府批准，可以责令停业或者关闭： </w:t>
            </w:r>
          </w:p>
          <w:p>
            <w:pPr>
              <w:widowControl/>
              <w:ind w:firstLine="420"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 xml:space="preserve">（十一）在运输过程中沿途丢弃、遗撒危险废物的； </w:t>
            </w:r>
          </w:p>
          <w:p>
            <w:pPr>
              <w:widowControl/>
              <w:ind w:firstLine="420"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10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违法事实★</w:t>
            </w:r>
          </w:p>
        </w:tc>
        <w:tc>
          <w:tcPr>
            <w:tcW w:w="5103"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丢弃、遗撒不足</w:t>
            </w:r>
            <w:r>
              <w:rPr>
                <w:rFonts w:ascii="Times New Roman" w:hAnsi="Times New Roman" w:eastAsia="仿宋_GB2312" w:cs="Times New Roman"/>
                <w:sz w:val="21"/>
                <w:szCs w:val="21"/>
                <w:highlight w:val="none"/>
              </w:rPr>
              <w:t>1</w:t>
            </w:r>
            <w:r>
              <w:rPr>
                <w:rFonts w:hint="eastAsia" w:ascii="Times New Roman" w:hAnsi="Times New Roman" w:eastAsia="仿宋_GB2312" w:cs="仿宋_GB2312"/>
                <w:sz w:val="21"/>
                <w:szCs w:val="21"/>
                <w:highlight w:val="none"/>
              </w:rPr>
              <w:t>吨</w:t>
            </w:r>
          </w:p>
        </w:tc>
        <w:tc>
          <w:tcPr>
            <w:tcW w:w="2693" w:type="dxa"/>
            <w:vAlign w:val="center"/>
          </w:tcPr>
          <w:p>
            <w:pPr>
              <w:pStyle w:val="11"/>
              <w:snapToGrid w:val="0"/>
              <w:jc w:val="center"/>
              <w:rPr>
                <w:rFonts w:ascii="Times New Roman" w:hAnsi="Times New Roman" w:cs="Times New Roman"/>
                <w:sz w:val="21"/>
                <w:szCs w:val="21"/>
                <w:highlight w:val="none"/>
              </w:rPr>
            </w:pPr>
            <w:r>
              <w:rPr>
                <w:rFonts w:ascii="Times New Roman" w:hAnsi="Times New Roman" w:cs="Times New Roman"/>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b/>
                <w:bCs/>
                <w:highlight w:val="none"/>
              </w:rPr>
            </w:pPr>
          </w:p>
        </w:tc>
        <w:tc>
          <w:tcPr>
            <w:tcW w:w="5103"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丢弃、遗撒</w:t>
            </w:r>
            <w:r>
              <w:rPr>
                <w:rFonts w:ascii="Times New Roman" w:hAnsi="Times New Roman" w:eastAsia="仿宋_GB2312" w:cs="Times New Roman"/>
                <w:sz w:val="21"/>
                <w:szCs w:val="21"/>
                <w:highlight w:val="none"/>
              </w:rPr>
              <w:t>1</w:t>
            </w:r>
            <w:r>
              <w:rPr>
                <w:rFonts w:hint="eastAsia" w:ascii="Times New Roman" w:hAnsi="Times New Roman" w:eastAsia="仿宋_GB2312" w:cs="仿宋_GB2312"/>
                <w:sz w:val="21"/>
                <w:szCs w:val="21"/>
                <w:highlight w:val="none"/>
              </w:rPr>
              <w:t>吨以上不足</w:t>
            </w:r>
            <w:r>
              <w:rPr>
                <w:rFonts w:ascii="Times New Roman" w:hAnsi="Times New Roman" w:eastAsia="仿宋_GB2312" w:cs="Times New Roman"/>
                <w:sz w:val="21"/>
                <w:szCs w:val="21"/>
                <w:highlight w:val="none"/>
              </w:rPr>
              <w:t>2</w:t>
            </w:r>
            <w:r>
              <w:rPr>
                <w:rFonts w:hint="eastAsia" w:ascii="Times New Roman" w:hAnsi="Times New Roman" w:eastAsia="仿宋_GB2312" w:cs="仿宋_GB2312"/>
                <w:sz w:val="21"/>
                <w:szCs w:val="21"/>
                <w:highlight w:val="none"/>
              </w:rPr>
              <w:t>吨</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b/>
                <w:bCs/>
                <w:highlight w:val="none"/>
              </w:rPr>
            </w:pPr>
          </w:p>
        </w:tc>
        <w:tc>
          <w:tcPr>
            <w:tcW w:w="5103" w:type="dxa"/>
            <w:vAlign w:val="center"/>
          </w:tcPr>
          <w:p>
            <w:pPr>
              <w:pStyle w:val="11"/>
              <w:snapToGrid w:val="0"/>
              <w:jc w:val="center"/>
              <w:rPr>
                <w:rFonts w:ascii="Times New Roman" w:hAnsi="Times New Roman" w:eastAsia="仿宋_GB2312" w:cs="Times New Roman"/>
                <w:b/>
                <w:bCs/>
                <w:sz w:val="21"/>
                <w:szCs w:val="21"/>
                <w:highlight w:val="none"/>
              </w:rPr>
            </w:pPr>
            <w:r>
              <w:rPr>
                <w:rFonts w:hint="eastAsia" w:ascii="Times New Roman" w:hAnsi="Times New Roman" w:eastAsia="仿宋_GB2312" w:cs="仿宋_GB2312"/>
                <w:sz w:val="21"/>
                <w:szCs w:val="21"/>
                <w:highlight w:val="none"/>
              </w:rPr>
              <w:t>丢弃、遗撒</w:t>
            </w:r>
            <w:r>
              <w:rPr>
                <w:rFonts w:ascii="Times New Roman" w:hAnsi="Times New Roman" w:eastAsia="仿宋_GB2312" w:cs="Times New Roman"/>
                <w:sz w:val="21"/>
                <w:szCs w:val="21"/>
                <w:highlight w:val="none"/>
              </w:rPr>
              <w:t>2</w:t>
            </w:r>
            <w:r>
              <w:rPr>
                <w:rFonts w:hint="eastAsia" w:ascii="Times New Roman" w:hAnsi="Times New Roman" w:eastAsia="仿宋_GB2312" w:cs="仿宋_GB2312"/>
                <w:sz w:val="21"/>
                <w:szCs w:val="21"/>
                <w:highlight w:val="none"/>
              </w:rPr>
              <w:t>吨以上不足</w:t>
            </w:r>
            <w:r>
              <w:rPr>
                <w:rFonts w:ascii="Times New Roman" w:hAnsi="Times New Roman" w:eastAsia="仿宋_GB2312" w:cs="Times New Roman"/>
                <w:sz w:val="21"/>
                <w:szCs w:val="21"/>
                <w:highlight w:val="none"/>
              </w:rPr>
              <w:t>3</w:t>
            </w:r>
            <w:r>
              <w:rPr>
                <w:rFonts w:hint="eastAsia" w:ascii="Times New Roman" w:hAnsi="Times New Roman" w:eastAsia="仿宋_GB2312" w:cs="仿宋_GB2312"/>
                <w:sz w:val="21"/>
                <w:szCs w:val="21"/>
                <w:highlight w:val="none"/>
              </w:rPr>
              <w:t>吨</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b/>
                <w:bCs/>
                <w:highlight w:val="none"/>
              </w:rPr>
            </w:pPr>
          </w:p>
        </w:tc>
        <w:tc>
          <w:tcPr>
            <w:tcW w:w="5103" w:type="dxa"/>
            <w:vAlign w:val="center"/>
          </w:tcPr>
          <w:p>
            <w:pPr>
              <w:pStyle w:val="11"/>
              <w:snapToGrid w:val="0"/>
              <w:jc w:val="center"/>
              <w:rPr>
                <w:rFonts w:ascii="Times New Roman" w:hAnsi="Times New Roman" w:eastAsia="仿宋_GB2312" w:cs="Times New Roman"/>
                <w:b/>
                <w:bCs/>
                <w:sz w:val="21"/>
                <w:szCs w:val="21"/>
                <w:highlight w:val="none"/>
              </w:rPr>
            </w:pPr>
            <w:r>
              <w:rPr>
                <w:rFonts w:hint="eastAsia" w:ascii="Times New Roman" w:hAnsi="Times New Roman" w:eastAsia="仿宋_GB2312" w:cs="仿宋_GB2312"/>
                <w:sz w:val="21"/>
                <w:szCs w:val="21"/>
                <w:highlight w:val="none"/>
              </w:rPr>
              <w:t>丢弃、遗撒</w:t>
            </w:r>
            <w:r>
              <w:rPr>
                <w:rFonts w:ascii="Times New Roman" w:hAnsi="Times New Roman" w:eastAsia="仿宋_GB2312" w:cs="Times New Roman"/>
                <w:sz w:val="21"/>
                <w:szCs w:val="21"/>
                <w:highlight w:val="none"/>
              </w:rPr>
              <w:t>3</w:t>
            </w:r>
            <w:r>
              <w:rPr>
                <w:rFonts w:hint="eastAsia" w:ascii="Times New Roman" w:hAnsi="Times New Roman" w:eastAsia="仿宋_GB2312" w:cs="仿宋_GB2312"/>
                <w:sz w:val="21"/>
                <w:szCs w:val="21"/>
                <w:highlight w:val="none"/>
              </w:rPr>
              <w:t>吨以上不足</w:t>
            </w:r>
            <w:r>
              <w:rPr>
                <w:rFonts w:ascii="Times New Roman" w:hAnsi="Times New Roman" w:eastAsia="仿宋_GB2312" w:cs="Times New Roman"/>
                <w:sz w:val="21"/>
                <w:szCs w:val="21"/>
                <w:highlight w:val="none"/>
              </w:rPr>
              <w:t>5</w:t>
            </w:r>
            <w:r>
              <w:rPr>
                <w:rFonts w:hint="eastAsia" w:ascii="Times New Roman" w:hAnsi="Times New Roman" w:eastAsia="仿宋_GB2312" w:cs="仿宋_GB2312"/>
                <w:sz w:val="21"/>
                <w:szCs w:val="21"/>
                <w:highlight w:val="none"/>
              </w:rPr>
              <w:t>吨</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b/>
                <w:bCs/>
                <w:highlight w:val="none"/>
              </w:rPr>
            </w:pPr>
          </w:p>
        </w:tc>
        <w:tc>
          <w:tcPr>
            <w:tcW w:w="5103" w:type="dxa"/>
            <w:vAlign w:val="center"/>
          </w:tcPr>
          <w:p>
            <w:pPr>
              <w:pStyle w:val="11"/>
              <w:snapToGrid w:val="0"/>
              <w:jc w:val="center"/>
              <w:rPr>
                <w:rFonts w:ascii="Times New Roman" w:hAnsi="Times New Roman" w:eastAsia="仿宋_GB2312" w:cs="Times New Roman"/>
                <w:b/>
                <w:bCs/>
                <w:sz w:val="21"/>
                <w:szCs w:val="21"/>
                <w:highlight w:val="none"/>
              </w:rPr>
            </w:pPr>
            <w:r>
              <w:rPr>
                <w:rFonts w:hint="eastAsia" w:ascii="Times New Roman" w:hAnsi="Times New Roman" w:eastAsia="仿宋_GB2312" w:cs="仿宋_GB2312"/>
                <w:sz w:val="21"/>
                <w:szCs w:val="21"/>
                <w:highlight w:val="none"/>
              </w:rPr>
              <w:t>丢弃、遗撒</w:t>
            </w:r>
            <w:r>
              <w:rPr>
                <w:rFonts w:ascii="Times New Roman" w:hAnsi="Times New Roman" w:eastAsia="仿宋_GB2312" w:cs="Times New Roman"/>
                <w:sz w:val="21"/>
                <w:szCs w:val="21"/>
                <w:highlight w:val="none"/>
              </w:rPr>
              <w:t>5</w:t>
            </w:r>
            <w:r>
              <w:rPr>
                <w:rFonts w:hint="eastAsia" w:ascii="Times New Roman" w:hAnsi="Times New Roman" w:eastAsia="仿宋_GB2312" w:cs="仿宋_GB2312"/>
                <w:sz w:val="21"/>
                <w:szCs w:val="21"/>
                <w:highlight w:val="none"/>
              </w:rPr>
              <w:t>吨以上</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发生地环境</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敏感程度★</w:t>
            </w:r>
          </w:p>
        </w:tc>
        <w:tc>
          <w:tcPr>
            <w:tcW w:w="5103"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第二类建设用地</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b/>
                <w:bCs/>
                <w:highlight w:val="none"/>
              </w:rPr>
            </w:pPr>
          </w:p>
        </w:tc>
        <w:tc>
          <w:tcPr>
            <w:tcW w:w="5103"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第一类建设用地</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b/>
                <w:bCs/>
                <w:highlight w:val="none"/>
              </w:rPr>
            </w:pPr>
          </w:p>
        </w:tc>
        <w:tc>
          <w:tcPr>
            <w:tcW w:w="5103"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严格管控类农用地</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b/>
                <w:bCs/>
                <w:highlight w:val="none"/>
              </w:rPr>
            </w:pPr>
          </w:p>
        </w:tc>
        <w:tc>
          <w:tcPr>
            <w:tcW w:w="5103"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安全利用类农用地</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b/>
                <w:bCs/>
                <w:highlight w:val="none"/>
              </w:rPr>
            </w:pPr>
          </w:p>
        </w:tc>
        <w:tc>
          <w:tcPr>
            <w:tcW w:w="5103"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有限保护类农用地</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796" w:type="dxa"/>
            <w:gridSpan w:val="2"/>
            <w:vAlign w:val="center"/>
          </w:tcPr>
          <w:p>
            <w:pPr>
              <w:snapToGrid w:val="0"/>
              <w:ind w:firstLine="420"/>
              <w:jc w:val="center"/>
              <w:rPr>
                <w:rFonts w:ascii="Times New Roman" w:hAnsi="Times New Roman" w:cs="Times New Roman"/>
                <w:highlight w:val="none"/>
              </w:rPr>
            </w:pPr>
          </w:p>
        </w:tc>
      </w:tr>
    </w:tbl>
    <w:p>
      <w:pPr>
        <w:adjustRightInd w:val="0"/>
        <w:snapToGrid w:val="0"/>
        <w:spacing w:line="312" w:lineRule="auto"/>
        <w:outlineLvl w:val="0"/>
        <w:rPr>
          <w:rFonts w:ascii="仿宋_GB2312" w:eastAsia="仿宋_GB2312" w:cs="Times New Roman"/>
          <w:highlight w:val="none"/>
        </w:rPr>
      </w:pPr>
      <w:r>
        <w:rPr>
          <w:rFonts w:ascii="仿宋_GB2312" w:eastAsia="仿宋_GB2312" w:cs="Times New Roman"/>
          <w:sz w:val="32"/>
          <w:szCs w:val="32"/>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5103"/>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（四）固体废物污染防治类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796"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r>
              <w:rPr>
                <w:rFonts w:hint="eastAsia" w:ascii="Times New Roman" w:hAnsi="Times New Roman" w:cs="Times New Roman"/>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796" w:type="dxa"/>
            <w:gridSpan w:val="2"/>
            <w:vAlign w:val="center"/>
          </w:tcPr>
          <w:p>
            <w:pPr>
              <w:snapToGrid w:val="0"/>
              <w:jc w:val="center"/>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未制定危险废物意外事故防范措施和应急预案的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796" w:type="dxa"/>
            <w:gridSpan w:val="2"/>
          </w:tcPr>
          <w:p>
            <w:pPr>
              <w:widowControl/>
              <w:ind w:firstLine="422"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b/>
                <w:bCs/>
                <w:kern w:val="0"/>
                <w:highlight w:val="none"/>
              </w:rPr>
              <w:t>《中华人民共和国固体废物污染环境防治法》第八十五条</w:t>
            </w:r>
            <w:r>
              <w:rPr>
                <w:rFonts w:hint="eastAsia" w:ascii="Times New Roman" w:hAnsi="Times New Roman" w:eastAsia="仿宋_GB2312" w:cs="仿宋_GB2312"/>
                <w:kern w:val="0"/>
                <w:highlight w:val="none"/>
              </w:rPr>
              <w:t xml:space="preserve">  产生、收集、贮存、运输、利用、处置危险废物的单位，应当依法制定意外事故的防范措施和应急预案，并向所在地生态环境主管部门和其他负有固体废物污染环境防治监督管理职责的部门备案；生态环境主管部门和其他负有固体废物污染环境防治监督管理职责的部门应当进行检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796" w:type="dxa"/>
            <w:gridSpan w:val="2"/>
          </w:tcPr>
          <w:p>
            <w:pPr>
              <w:widowControl/>
              <w:ind w:firstLine="422"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b/>
                <w:bCs/>
                <w:kern w:val="0"/>
                <w:highlight w:val="none"/>
              </w:rPr>
              <w:t>《中华人民共和国固体废物污染环境防治法》第一百一十二条第一款第（十二）项、第二款</w:t>
            </w:r>
            <w:r>
              <w:rPr>
                <w:rFonts w:hint="eastAsia" w:ascii="Times New Roman" w:hAnsi="Times New Roman" w:eastAsia="仿宋_GB2312" w:cs="仿宋_GB2312"/>
                <w:kern w:val="0"/>
                <w:highlight w:val="none"/>
              </w:rPr>
              <w:t xml:space="preserve">  违反本法规定，有下列行为之一，由生态环境主管部门责令改正，处以罚款，没收违法所得；情节严重的，报经有批准权的人民政府批准，可以责令停业或者关闭： </w:t>
            </w:r>
          </w:p>
          <w:p>
            <w:pPr>
              <w:widowControl/>
              <w:ind w:firstLine="420"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 xml:space="preserve">（十二）未制定危险废物意外事故防范措施和应急预案的； </w:t>
            </w:r>
          </w:p>
          <w:p>
            <w:pPr>
              <w:widowControl/>
              <w:ind w:firstLine="420"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10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违法事实★</w:t>
            </w:r>
          </w:p>
        </w:tc>
        <w:tc>
          <w:tcPr>
            <w:tcW w:w="5103"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未制定危险废物意外事故防范措施和应急预案，但未突发环境事件</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b/>
                <w:bCs/>
                <w:highlight w:val="none"/>
              </w:rPr>
            </w:pPr>
          </w:p>
        </w:tc>
        <w:tc>
          <w:tcPr>
            <w:tcW w:w="5103"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未制定危险废物意外事故防范措施和应急预案，且发生一般突发环境事件</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b/>
                <w:bCs/>
                <w:highlight w:val="none"/>
              </w:rPr>
            </w:pPr>
          </w:p>
        </w:tc>
        <w:tc>
          <w:tcPr>
            <w:tcW w:w="5103"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未制定危险废物意外事故防范措施和应急预案，且发生较大突发环境事件</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持续时间</w:t>
            </w:r>
          </w:p>
        </w:tc>
        <w:tc>
          <w:tcPr>
            <w:tcW w:w="510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r>
              <w:rPr>
                <w:rFonts w:hint="eastAsia" w:ascii="Times New Roman" w:hAnsi="Times New Roman" w:eastAsia="仿宋_GB2312" w:cs="仿宋_GB2312"/>
                <w:highlight w:val="none"/>
              </w:rPr>
              <w:t>个月以内</w:t>
            </w:r>
          </w:p>
        </w:tc>
        <w:tc>
          <w:tcPr>
            <w:tcW w:w="2693"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b/>
                <w:bCs/>
                <w:highlight w:val="none"/>
              </w:rPr>
            </w:pPr>
          </w:p>
        </w:tc>
        <w:tc>
          <w:tcPr>
            <w:tcW w:w="5103" w:type="dxa"/>
            <w:vAlign w:val="center"/>
          </w:tcPr>
          <w:p>
            <w:pPr>
              <w:pStyle w:val="11"/>
              <w:tabs>
                <w:tab w:val="left" w:pos="1035"/>
                <w:tab w:val="clear" w:pos="916"/>
                <w:tab w:val="clear" w:pos="1832"/>
              </w:tabs>
              <w:snapToGrid w:val="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3</w:t>
            </w:r>
            <w:r>
              <w:rPr>
                <w:rFonts w:hint="eastAsia" w:ascii="Times New Roman" w:hAnsi="Times New Roman" w:eastAsia="仿宋_GB2312" w:cs="仿宋_GB2312"/>
                <w:sz w:val="21"/>
                <w:szCs w:val="21"/>
                <w:highlight w:val="none"/>
              </w:rPr>
              <w:t>个月以上</w:t>
            </w:r>
            <w:r>
              <w:rPr>
                <w:rFonts w:ascii="Times New Roman" w:hAnsi="Times New Roman" w:eastAsia="仿宋_GB2312" w:cs="Times New Roman"/>
                <w:sz w:val="21"/>
                <w:szCs w:val="21"/>
                <w:highlight w:val="none"/>
              </w:rPr>
              <w:t>6</w:t>
            </w:r>
            <w:r>
              <w:rPr>
                <w:rFonts w:hint="eastAsia" w:ascii="Times New Roman" w:hAnsi="Times New Roman" w:eastAsia="仿宋_GB2312" w:cs="仿宋_GB2312"/>
                <w:sz w:val="21"/>
                <w:szCs w:val="21"/>
                <w:highlight w:val="none"/>
              </w:rPr>
              <w:t>个月以内</w:t>
            </w:r>
          </w:p>
        </w:tc>
        <w:tc>
          <w:tcPr>
            <w:tcW w:w="2693"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b/>
                <w:bCs/>
                <w:highlight w:val="none"/>
              </w:rPr>
            </w:pPr>
          </w:p>
        </w:tc>
        <w:tc>
          <w:tcPr>
            <w:tcW w:w="5103" w:type="dxa"/>
            <w:vAlign w:val="center"/>
          </w:tcPr>
          <w:p>
            <w:pPr>
              <w:pStyle w:val="11"/>
              <w:tabs>
                <w:tab w:val="left" w:pos="1035"/>
                <w:tab w:val="clear" w:pos="916"/>
                <w:tab w:val="clear" w:pos="1832"/>
              </w:tabs>
              <w:snapToGrid w:val="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6</w:t>
            </w:r>
            <w:r>
              <w:rPr>
                <w:rFonts w:hint="eastAsia" w:ascii="Times New Roman" w:hAnsi="Times New Roman" w:eastAsia="仿宋_GB2312" w:cs="仿宋_GB2312"/>
                <w:sz w:val="21"/>
                <w:szCs w:val="21"/>
                <w:highlight w:val="none"/>
              </w:rPr>
              <w:t>个月以上</w:t>
            </w:r>
          </w:p>
        </w:tc>
        <w:tc>
          <w:tcPr>
            <w:tcW w:w="2693"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796" w:type="dxa"/>
            <w:gridSpan w:val="2"/>
            <w:vAlign w:val="center"/>
          </w:tcPr>
          <w:p>
            <w:pPr>
              <w:snapToGrid w:val="0"/>
              <w:ind w:firstLine="420"/>
              <w:jc w:val="center"/>
              <w:rPr>
                <w:rFonts w:ascii="Times New Roman" w:hAnsi="Times New Roman" w:cs="Times New Roman"/>
                <w:highlight w:val="none"/>
              </w:rPr>
            </w:pPr>
          </w:p>
        </w:tc>
      </w:tr>
    </w:tbl>
    <w:p>
      <w:pPr>
        <w:adjustRightInd w:val="0"/>
        <w:snapToGrid w:val="0"/>
        <w:spacing w:line="312" w:lineRule="auto"/>
        <w:outlineLvl w:val="0"/>
        <w:rPr>
          <w:rFonts w:ascii="仿宋_GB2312" w:eastAsia="仿宋_GB2312" w:cs="Times New Roman"/>
          <w:highlight w:val="none"/>
        </w:rPr>
      </w:pPr>
      <w:r>
        <w:rPr>
          <w:rFonts w:ascii="仿宋_GB2312" w:eastAsia="仿宋_GB2312" w:cs="Times New Roman"/>
          <w:sz w:val="32"/>
          <w:szCs w:val="32"/>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5103"/>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（四）固体废物污染防治类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796"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r>
              <w:rPr>
                <w:rFonts w:hint="eastAsia" w:ascii="Times New Roman" w:hAnsi="Times New Roman" w:cs="Times New Roman"/>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796" w:type="dxa"/>
            <w:gridSpan w:val="2"/>
            <w:vAlign w:val="center"/>
          </w:tcPr>
          <w:p>
            <w:pPr>
              <w:widowControl/>
              <w:jc w:val="center"/>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未按照国家有关规定建立危险废物管理台账并如实记录的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796" w:type="dxa"/>
            <w:gridSpan w:val="2"/>
          </w:tcPr>
          <w:p>
            <w:pPr>
              <w:widowControl/>
              <w:ind w:firstLine="422"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b/>
                <w:bCs/>
                <w:kern w:val="0"/>
                <w:highlight w:val="none"/>
              </w:rPr>
              <w:t>《中华人民共和国固体废物污染环境防治法》第七十八条第一款</w:t>
            </w:r>
            <w:r>
              <w:rPr>
                <w:rFonts w:hint="eastAsia" w:ascii="Times New Roman" w:hAnsi="Times New Roman" w:eastAsia="仿宋_GB2312" w:cs="仿宋_GB2312"/>
                <w:kern w:val="0"/>
                <w:highlight w:val="none"/>
              </w:rPr>
              <w:t xml:space="preserve">  产生危险废物的单位，应当按照国家有关规定制定危险废物管理计划；建立危险废物管理台账，如实记录有关信息，并通过国家危险废物信息管理系统向所在地生态环境主管部门申报危险废物的种类、产生量、流向、贮存、处置等有关资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796" w:type="dxa"/>
            <w:gridSpan w:val="2"/>
          </w:tcPr>
          <w:p>
            <w:pPr>
              <w:widowControl/>
              <w:ind w:firstLine="422"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b/>
                <w:bCs/>
                <w:kern w:val="0"/>
                <w:highlight w:val="none"/>
              </w:rPr>
              <w:t>《中华人民共和国固体废物污染环境防治法》第一百一十二条第一款第（十三）项、第二款</w:t>
            </w:r>
            <w:r>
              <w:rPr>
                <w:rFonts w:hint="eastAsia" w:ascii="Times New Roman" w:hAnsi="Times New Roman" w:eastAsia="仿宋_GB2312" w:cs="仿宋_GB2312"/>
                <w:kern w:val="0"/>
                <w:highlight w:val="none"/>
              </w:rPr>
              <w:t xml:space="preserve">  违反本法规定，有下列行为之一，由生态环境主管部门责令改正，处以罚款，没收违法所得；情节严重的，报经有批准权的人民政府批准，可以责令停业或者关闭： </w:t>
            </w:r>
          </w:p>
          <w:p>
            <w:pPr>
              <w:widowControl/>
              <w:ind w:firstLine="420"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 xml:space="preserve">（十三）未按照国家有关规定建立危险废物管理台账并如实记录的 </w:t>
            </w:r>
          </w:p>
          <w:p>
            <w:pPr>
              <w:widowControl/>
              <w:ind w:firstLine="420"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 xml:space="preserve">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10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5103"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未规范建立危险废物管理台账</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b/>
                <w:bCs/>
                <w:highlight w:val="none"/>
              </w:rPr>
            </w:pPr>
          </w:p>
        </w:tc>
        <w:tc>
          <w:tcPr>
            <w:tcW w:w="5103"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未建立危险废物管理台账</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b/>
                <w:bCs/>
                <w:highlight w:val="none"/>
              </w:rPr>
            </w:pPr>
          </w:p>
        </w:tc>
        <w:tc>
          <w:tcPr>
            <w:tcW w:w="5103"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危险废物管理</w:t>
            </w:r>
            <w:r>
              <w:rPr>
                <w:rFonts w:ascii="Times New Roman" w:hAnsi="Times New Roman" w:eastAsia="仿宋_GB2312" w:cs="仿宋_GB2312"/>
                <w:sz w:val="21"/>
                <w:szCs w:val="21"/>
                <w:highlight w:val="none"/>
              </w:rPr>
              <w:t>台账未如实记录</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持续时间</w:t>
            </w:r>
          </w:p>
        </w:tc>
        <w:tc>
          <w:tcPr>
            <w:tcW w:w="510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r>
              <w:rPr>
                <w:rFonts w:hint="eastAsia" w:ascii="Times New Roman" w:hAnsi="Times New Roman" w:eastAsia="仿宋_GB2312" w:cs="仿宋_GB2312"/>
                <w:highlight w:val="none"/>
              </w:rPr>
              <w:t>个月以内</w:t>
            </w:r>
          </w:p>
        </w:tc>
        <w:tc>
          <w:tcPr>
            <w:tcW w:w="2693"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b/>
                <w:bCs/>
                <w:highlight w:val="none"/>
              </w:rPr>
            </w:pPr>
          </w:p>
        </w:tc>
        <w:tc>
          <w:tcPr>
            <w:tcW w:w="5103" w:type="dxa"/>
            <w:vAlign w:val="center"/>
          </w:tcPr>
          <w:p>
            <w:pPr>
              <w:pStyle w:val="11"/>
              <w:tabs>
                <w:tab w:val="left" w:pos="1035"/>
                <w:tab w:val="clear" w:pos="916"/>
                <w:tab w:val="clear" w:pos="1832"/>
              </w:tabs>
              <w:snapToGrid w:val="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3</w:t>
            </w:r>
            <w:r>
              <w:rPr>
                <w:rFonts w:hint="eastAsia" w:ascii="Times New Roman" w:hAnsi="Times New Roman" w:eastAsia="仿宋_GB2312" w:cs="仿宋_GB2312"/>
                <w:sz w:val="21"/>
                <w:szCs w:val="21"/>
                <w:highlight w:val="none"/>
              </w:rPr>
              <w:t>个月以上</w:t>
            </w:r>
            <w:r>
              <w:rPr>
                <w:rFonts w:ascii="Times New Roman" w:hAnsi="Times New Roman" w:eastAsia="仿宋_GB2312" w:cs="Times New Roman"/>
                <w:sz w:val="21"/>
                <w:szCs w:val="21"/>
                <w:highlight w:val="none"/>
              </w:rPr>
              <w:t>6</w:t>
            </w:r>
            <w:r>
              <w:rPr>
                <w:rFonts w:hint="eastAsia" w:ascii="Times New Roman" w:hAnsi="Times New Roman" w:eastAsia="仿宋_GB2312" w:cs="仿宋_GB2312"/>
                <w:sz w:val="21"/>
                <w:szCs w:val="21"/>
                <w:highlight w:val="none"/>
              </w:rPr>
              <w:t>个月以内</w:t>
            </w:r>
          </w:p>
        </w:tc>
        <w:tc>
          <w:tcPr>
            <w:tcW w:w="2693"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b/>
                <w:bCs/>
                <w:highlight w:val="none"/>
              </w:rPr>
            </w:pPr>
          </w:p>
        </w:tc>
        <w:tc>
          <w:tcPr>
            <w:tcW w:w="5103" w:type="dxa"/>
            <w:vAlign w:val="center"/>
          </w:tcPr>
          <w:p>
            <w:pPr>
              <w:pStyle w:val="11"/>
              <w:tabs>
                <w:tab w:val="left" w:pos="1035"/>
                <w:tab w:val="clear" w:pos="916"/>
                <w:tab w:val="clear" w:pos="1832"/>
              </w:tabs>
              <w:snapToGrid w:val="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6</w:t>
            </w:r>
            <w:r>
              <w:rPr>
                <w:rFonts w:hint="eastAsia" w:ascii="Times New Roman" w:hAnsi="Times New Roman" w:eastAsia="仿宋_GB2312" w:cs="仿宋_GB2312"/>
                <w:sz w:val="21"/>
                <w:szCs w:val="21"/>
                <w:highlight w:val="none"/>
              </w:rPr>
              <w:t>个月以上</w:t>
            </w:r>
          </w:p>
        </w:tc>
        <w:tc>
          <w:tcPr>
            <w:tcW w:w="2693"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796" w:type="dxa"/>
            <w:gridSpan w:val="2"/>
            <w:vAlign w:val="center"/>
          </w:tcPr>
          <w:p>
            <w:pPr>
              <w:snapToGrid w:val="0"/>
              <w:ind w:firstLine="420"/>
              <w:jc w:val="center"/>
              <w:rPr>
                <w:rFonts w:ascii="Times New Roman" w:hAnsi="Times New Roman" w:cs="Times New Roman"/>
                <w:highlight w:val="none"/>
              </w:rPr>
            </w:pPr>
          </w:p>
        </w:tc>
      </w:tr>
    </w:tbl>
    <w:p>
      <w:pPr>
        <w:adjustRightInd w:val="0"/>
        <w:snapToGrid w:val="0"/>
        <w:spacing w:line="312" w:lineRule="auto"/>
        <w:outlineLvl w:val="0"/>
        <w:rPr>
          <w:rFonts w:ascii="仿宋_GB2312" w:eastAsia="仿宋_GB2312" w:cs="Times New Roman"/>
          <w:sz w:val="32"/>
          <w:szCs w:val="32"/>
          <w:highlight w:val="none"/>
        </w:rPr>
      </w:pPr>
    </w:p>
    <w:p>
      <w:pPr>
        <w:adjustRightInd w:val="0"/>
        <w:snapToGrid w:val="0"/>
        <w:spacing w:line="312" w:lineRule="auto"/>
        <w:outlineLvl w:val="0"/>
        <w:rPr>
          <w:rFonts w:ascii="仿宋_GB2312" w:eastAsia="仿宋_GB2312" w:cs="Times New Roman"/>
          <w:sz w:val="32"/>
          <w:szCs w:val="32"/>
          <w:highlight w:val="none"/>
        </w:rPr>
      </w:pPr>
    </w:p>
    <w:p>
      <w:pPr>
        <w:adjustRightInd w:val="0"/>
        <w:snapToGrid w:val="0"/>
        <w:spacing w:line="312" w:lineRule="auto"/>
        <w:outlineLvl w:val="0"/>
        <w:rPr>
          <w:rFonts w:ascii="仿宋_GB2312" w:eastAsia="仿宋_GB2312" w:cs="Times New Roman"/>
          <w:sz w:val="32"/>
          <w:szCs w:val="32"/>
          <w:highlight w:val="none"/>
        </w:rPr>
      </w:pPr>
    </w:p>
    <w:p>
      <w:pPr>
        <w:adjustRightInd w:val="0"/>
        <w:snapToGrid w:val="0"/>
        <w:spacing w:line="312" w:lineRule="auto"/>
        <w:outlineLvl w:val="0"/>
        <w:rPr>
          <w:rFonts w:ascii="仿宋_GB2312" w:eastAsia="仿宋_GB2312" w:cs="Times New Roman"/>
          <w:sz w:val="32"/>
          <w:szCs w:val="32"/>
          <w:highlight w:val="none"/>
        </w:rPr>
      </w:pPr>
    </w:p>
    <w:p>
      <w:pPr>
        <w:adjustRightInd w:val="0"/>
        <w:snapToGrid w:val="0"/>
        <w:spacing w:line="312" w:lineRule="auto"/>
        <w:outlineLvl w:val="0"/>
        <w:rPr>
          <w:rFonts w:ascii="仿宋_GB2312" w:eastAsia="仿宋_GB2312" w:cs="Times New Roman"/>
          <w:sz w:val="32"/>
          <w:szCs w:val="32"/>
          <w:highlight w:val="none"/>
        </w:rPr>
      </w:pPr>
    </w:p>
    <w:p>
      <w:pPr>
        <w:adjustRightInd w:val="0"/>
        <w:snapToGrid w:val="0"/>
        <w:spacing w:line="312" w:lineRule="auto"/>
        <w:outlineLvl w:val="0"/>
        <w:rPr>
          <w:rFonts w:ascii="仿宋_GB2312" w:eastAsia="仿宋_GB2312" w:cs="Times New Roman"/>
          <w:sz w:val="32"/>
          <w:szCs w:val="32"/>
          <w:highlight w:val="none"/>
        </w:rPr>
      </w:pPr>
    </w:p>
    <w:p>
      <w:pPr>
        <w:adjustRightInd w:val="0"/>
        <w:snapToGrid w:val="0"/>
        <w:spacing w:line="312" w:lineRule="auto"/>
        <w:outlineLvl w:val="0"/>
        <w:rPr>
          <w:rFonts w:ascii="仿宋_GB2312" w:eastAsia="仿宋_GB2312" w:cs="Times New Roman"/>
          <w:highlight w:val="none"/>
        </w:rPr>
      </w:pPr>
      <w:r>
        <w:rPr>
          <w:rFonts w:ascii="仿宋_GB2312" w:eastAsia="仿宋_GB2312" w:cs="Times New Roman"/>
          <w:sz w:val="32"/>
          <w:szCs w:val="32"/>
          <w:highlight w:val="none"/>
        </w:rPr>
        <w:br w:type="page"/>
      </w:r>
    </w:p>
    <w:tbl>
      <w:tblPr>
        <w:tblStyle w:val="1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5103"/>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（四）固体废物污染防治类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796"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r>
              <w:rPr>
                <w:rFonts w:hint="eastAsia" w:ascii="Times New Roman" w:hAnsi="Times New Roman" w:cs="Times New Roman"/>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796" w:type="dxa"/>
            <w:gridSpan w:val="2"/>
            <w:vAlign w:val="center"/>
          </w:tcPr>
          <w:p>
            <w:pPr>
              <w:widowControl/>
              <w:ind w:firstLine="420" w:firstLineChars="200"/>
              <w:jc w:val="left"/>
              <w:rPr>
                <w:rFonts w:ascii="Times New Roman" w:hAnsi="Times New Roman" w:eastAsia="仿宋_GB2312" w:cs="仿宋_GB2312"/>
                <w:color w:val="000000"/>
                <w:kern w:val="0"/>
                <w:highlight w:val="none"/>
              </w:rPr>
            </w:pPr>
            <w:r>
              <w:rPr>
                <w:rFonts w:hint="eastAsia" w:ascii="Times New Roman" w:hAnsi="Times New Roman" w:eastAsia="仿宋_GB2312" w:cs="仿宋_GB2312"/>
                <w:color w:val="000000"/>
                <w:kern w:val="0"/>
                <w:highlight w:val="none"/>
              </w:rPr>
              <w:t>危险废物产生者不处置其产生的危险废物被责令改正后拒不改正的；拒不承担代为处置费用的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796" w:type="dxa"/>
            <w:gridSpan w:val="2"/>
            <w:vAlign w:val="center"/>
          </w:tcPr>
          <w:p>
            <w:pPr>
              <w:widowControl/>
              <w:ind w:firstLine="422"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b/>
                <w:bCs/>
                <w:kern w:val="0"/>
                <w:highlight w:val="none"/>
              </w:rPr>
              <w:t>《中华人民共和国固体废物污染环境防治法》第七十九条</w:t>
            </w:r>
            <w:r>
              <w:rPr>
                <w:rFonts w:hint="eastAsia" w:ascii="Times New Roman" w:hAnsi="Times New Roman" w:eastAsia="仿宋_GB2312" w:cs="仿宋_GB2312"/>
                <w:kern w:val="0"/>
                <w:highlight w:val="none"/>
              </w:rPr>
              <w:t xml:space="preserve">  产生危险废物的单位，应当按照国家有关规定和环境保护标准要求贮存、利用、处置危险废物，不得擅自倾倒、堆放。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796" w:type="dxa"/>
            <w:gridSpan w:val="2"/>
            <w:vAlign w:val="center"/>
          </w:tcPr>
          <w:p>
            <w:pPr>
              <w:widowControl/>
              <w:ind w:firstLine="422"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b/>
                <w:bCs/>
                <w:kern w:val="0"/>
                <w:highlight w:val="none"/>
              </w:rPr>
              <w:t>《中华人民共和国固体废物污染环境防治法》第一百一十三条</w:t>
            </w:r>
            <w:r>
              <w:rPr>
                <w:rFonts w:hint="eastAsia" w:ascii="Times New Roman" w:hAnsi="Times New Roman" w:eastAsia="仿宋_GB2312" w:cs="仿宋_GB2312"/>
                <w:kern w:val="0"/>
                <w:highlight w:val="none"/>
              </w:rPr>
              <w:t xml:space="preserve">  违反本法规定，危险废物产生者未按照规定处置其产生的危险废物被责令改正后拒不改正的，由生态环境主管部门组织代为处置，处置费用由危险废物产生者承担；拒不承担代为处置费用的，处代为处置费用一倍以上三倍以下的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10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未规范处置危险废物且不承担相应处置费用的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Merge w:val="continue"/>
            <w:vAlign w:val="center"/>
          </w:tcPr>
          <w:p>
            <w:pPr>
              <w:snapToGrid w:val="0"/>
              <w:jc w:val="center"/>
              <w:rPr>
                <w:rFonts w:ascii="Times New Roman" w:hAnsi="Times New Roman" w:cs="Times New Roman"/>
                <w:b/>
                <w:bCs/>
                <w:color w:val="000000"/>
                <w:highlight w:val="none"/>
              </w:rPr>
            </w:pP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未处置危险废物且不承担相应处置费用的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代为处置</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费用</w:t>
            </w:r>
          </w:p>
        </w:tc>
        <w:tc>
          <w:tcPr>
            <w:tcW w:w="510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代处置费用不足</w:t>
            </w:r>
            <w:r>
              <w:rPr>
                <w:rFonts w:ascii="Times New Roman" w:hAnsi="Times New Roman" w:eastAsia="仿宋_GB2312" w:cs="Times New Roman"/>
                <w:sz w:val="21"/>
                <w:szCs w:val="21"/>
                <w:highlight w:val="none"/>
              </w:rPr>
              <w:t>20</w:t>
            </w:r>
            <w:r>
              <w:rPr>
                <w:rFonts w:hint="eastAsia" w:ascii="Times New Roman" w:hAnsi="Times New Roman" w:eastAsia="仿宋_GB2312" w:cs="仿宋_GB2312"/>
                <w:sz w:val="21"/>
                <w:szCs w:val="21"/>
                <w:highlight w:val="none"/>
              </w:rPr>
              <w:t>万元的</w:t>
            </w:r>
          </w:p>
        </w:tc>
        <w:tc>
          <w:tcPr>
            <w:tcW w:w="2693" w:type="dxa"/>
            <w:vAlign w:val="center"/>
          </w:tcPr>
          <w:p>
            <w:pPr>
              <w:pStyle w:val="12"/>
              <w:snapToGrid w:val="0"/>
              <w:spacing w:before="0" w:beforeAutospacing="0" w:after="0" w:afterAutospacing="0"/>
              <w:ind w:left="6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Merge w:val="continue"/>
            <w:vAlign w:val="center"/>
          </w:tcPr>
          <w:p>
            <w:pPr>
              <w:snapToGrid w:val="0"/>
              <w:jc w:val="center"/>
              <w:rPr>
                <w:rFonts w:ascii="Times New Roman" w:hAnsi="Times New Roman" w:cs="Times New Roman"/>
                <w:b/>
                <w:bCs/>
                <w:highlight w:val="none"/>
              </w:rPr>
            </w:pPr>
          </w:p>
        </w:tc>
        <w:tc>
          <w:tcPr>
            <w:tcW w:w="5103" w:type="dxa"/>
            <w:vAlign w:val="center"/>
          </w:tcPr>
          <w:p>
            <w:pPr>
              <w:pStyle w:val="12"/>
              <w:snapToGrid w:val="0"/>
              <w:spacing w:before="0" w:beforeAutospacing="0" w:after="0" w:afterAutospacing="0"/>
              <w:ind w:firstLine="480"/>
              <w:jc w:val="center"/>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sz w:val="21"/>
                <w:szCs w:val="21"/>
                <w:highlight w:val="none"/>
              </w:rPr>
              <w:t>代处置费用</w:t>
            </w:r>
            <w:r>
              <w:rPr>
                <w:rFonts w:ascii="Times New Roman" w:hAnsi="Times New Roman" w:eastAsia="仿宋_GB2312" w:cs="Times New Roman"/>
                <w:sz w:val="21"/>
                <w:szCs w:val="21"/>
                <w:highlight w:val="none"/>
              </w:rPr>
              <w:t>20</w:t>
            </w:r>
            <w:r>
              <w:rPr>
                <w:rFonts w:hint="eastAsia" w:ascii="Times New Roman" w:hAnsi="Times New Roman" w:eastAsia="仿宋_GB2312" w:cs="仿宋_GB2312"/>
                <w:sz w:val="21"/>
                <w:szCs w:val="21"/>
                <w:highlight w:val="none"/>
              </w:rPr>
              <w:t>万元以上</w:t>
            </w:r>
            <w:r>
              <w:rPr>
                <w:rFonts w:ascii="Times New Roman" w:hAnsi="Times New Roman" w:eastAsia="仿宋_GB2312" w:cs="Times New Roman"/>
                <w:sz w:val="21"/>
                <w:szCs w:val="21"/>
                <w:highlight w:val="none"/>
              </w:rPr>
              <w:t>100</w:t>
            </w:r>
            <w:r>
              <w:rPr>
                <w:rFonts w:hint="eastAsia" w:ascii="Times New Roman" w:hAnsi="Times New Roman" w:eastAsia="仿宋_GB2312" w:cs="仿宋_GB2312"/>
                <w:sz w:val="21"/>
                <w:szCs w:val="21"/>
                <w:highlight w:val="none"/>
              </w:rPr>
              <w:t>万元以下的</w:t>
            </w:r>
          </w:p>
        </w:tc>
        <w:tc>
          <w:tcPr>
            <w:tcW w:w="2693"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Merge w:val="continue"/>
            <w:vAlign w:val="center"/>
          </w:tcPr>
          <w:p>
            <w:pPr>
              <w:snapToGrid w:val="0"/>
              <w:jc w:val="center"/>
              <w:rPr>
                <w:rFonts w:ascii="Times New Roman" w:hAnsi="Times New Roman" w:cs="Times New Roman"/>
                <w:b/>
                <w:bCs/>
                <w:highlight w:val="none"/>
              </w:rPr>
            </w:pPr>
          </w:p>
        </w:tc>
        <w:tc>
          <w:tcPr>
            <w:tcW w:w="5103" w:type="dxa"/>
            <w:vAlign w:val="center"/>
          </w:tcPr>
          <w:p>
            <w:pPr>
              <w:pStyle w:val="12"/>
              <w:snapToGrid w:val="0"/>
              <w:spacing w:before="0" w:beforeAutospacing="0" w:after="0" w:afterAutospacing="0"/>
              <w:ind w:firstLine="480"/>
              <w:jc w:val="center"/>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sz w:val="21"/>
                <w:szCs w:val="21"/>
                <w:highlight w:val="none"/>
              </w:rPr>
              <w:t>代处置费用为</w:t>
            </w:r>
            <w:r>
              <w:rPr>
                <w:rFonts w:ascii="Times New Roman" w:hAnsi="Times New Roman" w:eastAsia="仿宋_GB2312" w:cs="Times New Roman"/>
                <w:sz w:val="21"/>
                <w:szCs w:val="21"/>
                <w:highlight w:val="none"/>
              </w:rPr>
              <w:t>100</w:t>
            </w:r>
            <w:r>
              <w:rPr>
                <w:rFonts w:hint="eastAsia" w:ascii="Times New Roman" w:hAnsi="Times New Roman" w:eastAsia="仿宋_GB2312" w:cs="仿宋_GB2312"/>
                <w:sz w:val="21"/>
                <w:szCs w:val="21"/>
                <w:highlight w:val="none"/>
              </w:rPr>
              <w:t>万元以上的</w:t>
            </w:r>
          </w:p>
        </w:tc>
        <w:tc>
          <w:tcPr>
            <w:tcW w:w="2693"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危险废物</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数量</w:t>
            </w:r>
          </w:p>
        </w:tc>
        <w:tc>
          <w:tcPr>
            <w:tcW w:w="5103" w:type="dxa"/>
            <w:vAlign w:val="center"/>
          </w:tcPr>
          <w:p>
            <w:pPr>
              <w:pStyle w:val="12"/>
              <w:snapToGrid w:val="0"/>
              <w:spacing w:before="0" w:beforeAutospacing="0" w:after="0" w:afterAutospacing="0"/>
              <w:ind w:firstLine="480"/>
              <w:jc w:val="center"/>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1吨以下的</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413" w:type="dxa"/>
            <w:vMerge w:val="continue"/>
            <w:vAlign w:val="center"/>
          </w:tcPr>
          <w:p>
            <w:pPr>
              <w:snapToGrid w:val="0"/>
              <w:jc w:val="center"/>
              <w:rPr>
                <w:rFonts w:ascii="Times New Roman" w:hAnsi="Times New Roman" w:cs="Times New Roman"/>
                <w:b/>
                <w:bCs/>
                <w:highlight w:val="none"/>
              </w:rPr>
            </w:pPr>
          </w:p>
        </w:tc>
        <w:tc>
          <w:tcPr>
            <w:tcW w:w="5103" w:type="dxa"/>
            <w:vAlign w:val="center"/>
          </w:tcPr>
          <w:p>
            <w:pPr>
              <w:pStyle w:val="12"/>
              <w:snapToGrid w:val="0"/>
              <w:spacing w:before="0" w:beforeAutospacing="0" w:after="0" w:afterAutospacing="0"/>
              <w:ind w:firstLine="480"/>
              <w:jc w:val="center"/>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1吨以上不足</w:t>
            </w:r>
            <w:r>
              <w:rPr>
                <w:rFonts w:ascii="Times New Roman" w:hAnsi="Times New Roman" w:eastAsia="仿宋_GB2312" w:cs="Times New Roman"/>
                <w:kern w:val="2"/>
                <w:sz w:val="21"/>
                <w:szCs w:val="21"/>
                <w:highlight w:val="none"/>
              </w:rPr>
              <w:t>3</w:t>
            </w:r>
            <w:r>
              <w:rPr>
                <w:rFonts w:hint="eastAsia" w:ascii="Times New Roman" w:hAnsi="Times New Roman" w:eastAsia="仿宋_GB2312" w:cs="仿宋_GB2312"/>
                <w:kern w:val="2"/>
                <w:sz w:val="21"/>
                <w:szCs w:val="21"/>
                <w:highlight w:val="none"/>
              </w:rPr>
              <w:t>吨的</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Merge w:val="continue"/>
            <w:vAlign w:val="center"/>
          </w:tcPr>
          <w:p>
            <w:pPr>
              <w:snapToGrid w:val="0"/>
              <w:jc w:val="center"/>
              <w:rPr>
                <w:rFonts w:ascii="Times New Roman" w:hAnsi="Times New Roman" w:cs="Times New Roman"/>
                <w:b/>
                <w:bCs/>
                <w:highlight w:val="none"/>
              </w:rPr>
            </w:pPr>
          </w:p>
        </w:tc>
        <w:tc>
          <w:tcPr>
            <w:tcW w:w="5103" w:type="dxa"/>
            <w:vAlign w:val="center"/>
          </w:tcPr>
          <w:p>
            <w:pPr>
              <w:pStyle w:val="12"/>
              <w:snapToGrid w:val="0"/>
              <w:spacing w:before="0" w:beforeAutospacing="0" w:after="0" w:afterAutospacing="0"/>
              <w:ind w:firstLine="480"/>
              <w:jc w:val="center"/>
              <w:rPr>
                <w:rFonts w:ascii="Times New Roman" w:hAnsi="Times New Roman" w:eastAsia="仿宋_GB2312" w:cs="Times New Roman"/>
                <w:kern w:val="2"/>
                <w:sz w:val="21"/>
                <w:szCs w:val="21"/>
                <w:highlight w:val="none"/>
              </w:rPr>
            </w:pPr>
            <w:r>
              <w:rPr>
                <w:rFonts w:ascii="Times New Roman" w:hAnsi="Times New Roman" w:eastAsia="仿宋_GB2312" w:cs="Times New Roman"/>
                <w:kern w:val="2"/>
                <w:sz w:val="21"/>
                <w:szCs w:val="21"/>
                <w:highlight w:val="none"/>
              </w:rPr>
              <w:t>3</w:t>
            </w:r>
            <w:r>
              <w:rPr>
                <w:rFonts w:hint="eastAsia" w:ascii="Times New Roman" w:hAnsi="Times New Roman" w:eastAsia="仿宋_GB2312" w:cs="仿宋_GB2312"/>
                <w:kern w:val="2"/>
                <w:sz w:val="21"/>
                <w:szCs w:val="21"/>
                <w:highlight w:val="none"/>
              </w:rPr>
              <w:t>吨以上不足</w:t>
            </w:r>
            <w:r>
              <w:rPr>
                <w:rFonts w:ascii="Times New Roman" w:hAnsi="Times New Roman" w:eastAsia="仿宋_GB2312" w:cs="Times New Roman"/>
                <w:kern w:val="2"/>
                <w:sz w:val="21"/>
                <w:szCs w:val="21"/>
                <w:highlight w:val="none"/>
              </w:rPr>
              <w:t>5</w:t>
            </w:r>
            <w:r>
              <w:rPr>
                <w:rFonts w:hint="eastAsia" w:ascii="Times New Roman" w:hAnsi="Times New Roman" w:eastAsia="仿宋_GB2312" w:cs="仿宋_GB2312"/>
                <w:kern w:val="2"/>
                <w:sz w:val="21"/>
                <w:szCs w:val="21"/>
                <w:highlight w:val="none"/>
              </w:rPr>
              <w:t>吨的</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Merge w:val="continue"/>
            <w:vAlign w:val="center"/>
          </w:tcPr>
          <w:p>
            <w:pPr>
              <w:snapToGrid w:val="0"/>
              <w:jc w:val="center"/>
              <w:rPr>
                <w:rFonts w:ascii="Times New Roman" w:hAnsi="Times New Roman" w:cs="Times New Roman"/>
                <w:b/>
                <w:bCs/>
                <w:highlight w:val="none"/>
              </w:rPr>
            </w:pPr>
          </w:p>
        </w:tc>
        <w:tc>
          <w:tcPr>
            <w:tcW w:w="5103" w:type="dxa"/>
            <w:vAlign w:val="center"/>
          </w:tcPr>
          <w:p>
            <w:pPr>
              <w:pStyle w:val="12"/>
              <w:snapToGrid w:val="0"/>
              <w:spacing w:before="0" w:beforeAutospacing="0" w:after="0" w:afterAutospacing="0"/>
              <w:ind w:firstLine="480"/>
              <w:jc w:val="center"/>
              <w:rPr>
                <w:rFonts w:ascii="Times New Roman" w:hAnsi="Times New Roman" w:eastAsia="仿宋_GB2312" w:cs="Times New Roman"/>
                <w:kern w:val="2"/>
                <w:sz w:val="21"/>
                <w:szCs w:val="21"/>
                <w:highlight w:val="none"/>
              </w:rPr>
            </w:pPr>
            <w:r>
              <w:rPr>
                <w:rFonts w:ascii="Times New Roman" w:hAnsi="Times New Roman" w:eastAsia="仿宋_GB2312" w:cs="Times New Roman"/>
                <w:kern w:val="2"/>
                <w:sz w:val="21"/>
                <w:szCs w:val="21"/>
                <w:highlight w:val="none"/>
              </w:rPr>
              <w:t>5</w:t>
            </w:r>
            <w:r>
              <w:rPr>
                <w:rFonts w:hint="eastAsia" w:ascii="Times New Roman" w:hAnsi="Times New Roman" w:eastAsia="仿宋_GB2312" w:cs="仿宋_GB2312"/>
                <w:kern w:val="2"/>
                <w:sz w:val="21"/>
                <w:szCs w:val="21"/>
                <w:highlight w:val="none"/>
              </w:rPr>
              <w:t>吨以上不足</w:t>
            </w:r>
            <w:r>
              <w:rPr>
                <w:rFonts w:ascii="Times New Roman" w:hAnsi="Times New Roman" w:eastAsia="仿宋_GB2312" w:cs="Times New Roman"/>
                <w:kern w:val="2"/>
                <w:sz w:val="21"/>
                <w:szCs w:val="21"/>
                <w:highlight w:val="none"/>
              </w:rPr>
              <w:t>10</w:t>
            </w:r>
            <w:r>
              <w:rPr>
                <w:rFonts w:hint="eastAsia" w:ascii="Times New Roman" w:hAnsi="Times New Roman" w:eastAsia="仿宋_GB2312" w:cs="仿宋_GB2312"/>
                <w:kern w:val="2"/>
                <w:sz w:val="21"/>
                <w:szCs w:val="21"/>
                <w:highlight w:val="none"/>
              </w:rPr>
              <w:t>吨的</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Merge w:val="continue"/>
            <w:vAlign w:val="center"/>
          </w:tcPr>
          <w:p>
            <w:pPr>
              <w:snapToGrid w:val="0"/>
              <w:jc w:val="center"/>
              <w:rPr>
                <w:rFonts w:ascii="Times New Roman" w:hAnsi="Times New Roman" w:cs="Times New Roman"/>
                <w:b/>
                <w:bCs/>
                <w:highlight w:val="none"/>
              </w:rPr>
            </w:pPr>
          </w:p>
        </w:tc>
        <w:tc>
          <w:tcPr>
            <w:tcW w:w="5103" w:type="dxa"/>
            <w:vAlign w:val="center"/>
          </w:tcPr>
          <w:p>
            <w:pPr>
              <w:pStyle w:val="12"/>
              <w:snapToGrid w:val="0"/>
              <w:spacing w:before="0" w:beforeAutospacing="0" w:after="0" w:afterAutospacing="0"/>
              <w:ind w:firstLine="480"/>
              <w:jc w:val="center"/>
              <w:rPr>
                <w:rFonts w:ascii="Times New Roman" w:hAnsi="Times New Roman" w:eastAsia="仿宋_GB2312" w:cs="Times New Roman"/>
                <w:kern w:val="2"/>
                <w:sz w:val="21"/>
                <w:szCs w:val="21"/>
                <w:highlight w:val="none"/>
              </w:rPr>
            </w:pPr>
            <w:r>
              <w:rPr>
                <w:rFonts w:ascii="Times New Roman" w:hAnsi="Times New Roman" w:eastAsia="仿宋_GB2312" w:cs="Times New Roman"/>
                <w:kern w:val="2"/>
                <w:sz w:val="21"/>
                <w:szCs w:val="21"/>
                <w:highlight w:val="none"/>
              </w:rPr>
              <w:t>10</w:t>
            </w:r>
            <w:r>
              <w:rPr>
                <w:rFonts w:hint="eastAsia" w:ascii="Times New Roman" w:hAnsi="Times New Roman" w:eastAsia="仿宋_GB2312" w:cs="仿宋_GB2312"/>
                <w:kern w:val="2"/>
                <w:sz w:val="21"/>
                <w:szCs w:val="21"/>
                <w:highlight w:val="none"/>
              </w:rPr>
              <w:t>吨以上的</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796" w:type="dxa"/>
            <w:gridSpan w:val="2"/>
            <w:vAlign w:val="center"/>
          </w:tcPr>
          <w:p>
            <w:pPr>
              <w:snapToGrid w:val="0"/>
              <w:ind w:firstLine="420"/>
              <w:jc w:val="center"/>
              <w:rPr>
                <w:rFonts w:ascii="Times New Roman" w:hAnsi="Times New Roman" w:cs="Times New Roman"/>
                <w:highlight w:val="none"/>
              </w:rPr>
            </w:pPr>
          </w:p>
        </w:tc>
      </w:tr>
    </w:tbl>
    <w:p>
      <w:pPr>
        <w:adjustRightInd w:val="0"/>
        <w:snapToGrid w:val="0"/>
        <w:spacing w:line="312" w:lineRule="auto"/>
        <w:outlineLvl w:val="0"/>
        <w:rPr>
          <w:rFonts w:ascii="仿宋_GB2312" w:eastAsia="仿宋_GB2312" w:cs="Times New Roman"/>
          <w:highlight w:val="none"/>
        </w:rPr>
      </w:pPr>
      <w:r>
        <w:rPr>
          <w:rFonts w:ascii="仿宋_GB2312" w:eastAsia="仿宋_GB2312" w:cs="Times New Roman"/>
          <w:sz w:val="32"/>
          <w:szCs w:val="32"/>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5103"/>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（四）固体废物污染防治类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796"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r>
              <w:rPr>
                <w:rFonts w:hint="eastAsia" w:ascii="Times New Roman" w:hAnsi="Times New Roman" w:cs="Times New Roman"/>
                <w:highlight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4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796" w:type="dxa"/>
            <w:gridSpan w:val="2"/>
          </w:tcPr>
          <w:p>
            <w:pPr>
              <w:widowControl/>
              <w:jc w:val="center"/>
              <w:rPr>
                <w:rFonts w:ascii="Times New Roman" w:hAnsi="Times New Roman" w:eastAsia="仿宋_GB2312" w:cs="仿宋_GB2312"/>
                <w:color w:val="000000"/>
                <w:kern w:val="0"/>
                <w:highlight w:val="none"/>
              </w:rPr>
            </w:pPr>
            <w:r>
              <w:rPr>
                <w:rFonts w:hint="eastAsia" w:ascii="Times New Roman" w:hAnsi="Times New Roman" w:eastAsia="仿宋_GB2312" w:cs="仿宋_GB2312"/>
                <w:color w:val="000000"/>
                <w:kern w:val="0"/>
                <w:highlight w:val="none"/>
              </w:rPr>
              <w:t>无许可证从事收集、贮存、利用、处置危险废物经营活动的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796" w:type="dxa"/>
            <w:gridSpan w:val="2"/>
          </w:tcPr>
          <w:p>
            <w:pPr>
              <w:widowControl/>
              <w:ind w:firstLine="422"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b/>
                <w:bCs/>
                <w:kern w:val="0"/>
                <w:highlight w:val="none"/>
              </w:rPr>
              <w:t>《中华人民共和国固体废物污染环境防治法》第八十条第二款</w:t>
            </w:r>
            <w:r>
              <w:rPr>
                <w:rFonts w:hint="eastAsia" w:ascii="Times New Roman" w:hAnsi="Times New Roman" w:eastAsia="仿宋_GB2312" w:cs="仿宋_GB2312"/>
                <w:kern w:val="0"/>
                <w:highlight w:val="none"/>
              </w:rPr>
              <w:t xml:space="preserve">  禁止无许可证或者未按照许可证规定从事危险废物收集、贮存、利用、处置的经营活动。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796" w:type="dxa"/>
            <w:gridSpan w:val="2"/>
          </w:tcPr>
          <w:p>
            <w:pPr>
              <w:widowControl/>
              <w:ind w:firstLine="422"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b/>
                <w:bCs/>
                <w:kern w:val="0"/>
                <w:highlight w:val="none"/>
              </w:rPr>
              <w:t>《中华人民共和国固体废物污染环境防治法》第一百一十四条第一款</w:t>
            </w:r>
            <w:r>
              <w:rPr>
                <w:rFonts w:hint="eastAsia" w:ascii="Times New Roman" w:hAnsi="Times New Roman" w:eastAsia="仿宋_GB2312" w:cs="仿宋_GB2312"/>
                <w:kern w:val="0"/>
                <w:highlight w:val="none"/>
              </w:rPr>
              <w:t xml:space="preserve">  无许可证从事收集、贮存、利用、处置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10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许可证种类★</w:t>
            </w:r>
          </w:p>
        </w:tc>
        <w:tc>
          <w:tcPr>
            <w:tcW w:w="5103" w:type="dxa"/>
          </w:tcPr>
          <w:p>
            <w:pPr>
              <w:pStyle w:val="35"/>
              <w:spacing w:before="63"/>
              <w:ind w:left="66" w:right="54"/>
              <w:rPr>
                <w:rFonts w:ascii="Times New Roman" w:hAnsi="Times New Roman" w:eastAsia="仿宋_GB2312" w:cs="Times New Roman"/>
                <w:color w:val="000000"/>
                <w:kern w:val="0"/>
                <w:highlight w:val="none"/>
                <w:lang w:val="en-US" w:bidi="ar-SA"/>
              </w:rPr>
            </w:pPr>
            <w:r>
              <w:rPr>
                <w:rFonts w:ascii="Times New Roman" w:hAnsi="Times New Roman" w:eastAsia="仿宋_GB2312" w:cs="Times New Roman"/>
                <w:color w:val="000000"/>
                <w:kern w:val="0"/>
                <w:highlight w:val="none"/>
                <w:lang w:val="en-US" w:bidi="ar-SA"/>
              </w:rPr>
              <w:t>危险废物收集许可证</w:t>
            </w:r>
          </w:p>
        </w:tc>
        <w:tc>
          <w:tcPr>
            <w:tcW w:w="2693" w:type="dxa"/>
          </w:tcPr>
          <w:p>
            <w:pPr>
              <w:pStyle w:val="35"/>
              <w:spacing w:before="77"/>
              <w:ind w:left="11"/>
              <w:rPr>
                <w:rFonts w:ascii="Times New Roman" w:hAnsi="Times New Roman" w:eastAsia="仿宋_GB2312" w:cs="Times New Roman"/>
                <w:color w:val="000000"/>
                <w:kern w:val="0"/>
                <w:highlight w:val="none"/>
                <w:lang w:val="en-US" w:bidi="ar-SA"/>
              </w:rPr>
            </w:pPr>
            <w:r>
              <w:rPr>
                <w:rFonts w:ascii="Times New Roman" w:hAnsi="Times New Roman" w:eastAsia="仿宋_GB2312" w:cs="Times New Roman"/>
                <w:color w:val="000000"/>
                <w:kern w:val="0"/>
                <w:highlight w:val="none"/>
                <w:lang w:val="en-US"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b/>
                <w:bCs/>
                <w:color w:val="000000"/>
                <w:highlight w:val="none"/>
              </w:rPr>
            </w:pPr>
          </w:p>
        </w:tc>
        <w:tc>
          <w:tcPr>
            <w:tcW w:w="5103" w:type="dxa"/>
          </w:tcPr>
          <w:p>
            <w:pPr>
              <w:pStyle w:val="35"/>
              <w:spacing w:before="63"/>
              <w:ind w:left="66" w:right="54"/>
              <w:rPr>
                <w:rFonts w:ascii="Times New Roman" w:hAnsi="Times New Roman" w:eastAsia="仿宋_GB2312" w:cs="Times New Roman"/>
                <w:color w:val="000000"/>
                <w:kern w:val="0"/>
                <w:highlight w:val="none"/>
                <w:lang w:val="en-US" w:bidi="ar-SA"/>
              </w:rPr>
            </w:pPr>
            <w:r>
              <w:rPr>
                <w:rFonts w:ascii="Times New Roman" w:hAnsi="Times New Roman" w:eastAsia="仿宋_GB2312" w:cs="Times New Roman"/>
                <w:color w:val="000000"/>
                <w:kern w:val="0"/>
                <w:highlight w:val="none"/>
                <w:lang w:val="en-US" w:bidi="ar-SA"/>
              </w:rPr>
              <w:t>危险废物综合许可证</w:t>
            </w:r>
          </w:p>
        </w:tc>
        <w:tc>
          <w:tcPr>
            <w:tcW w:w="2693" w:type="dxa"/>
          </w:tcPr>
          <w:p>
            <w:pPr>
              <w:pStyle w:val="35"/>
              <w:spacing w:before="77"/>
              <w:ind w:left="11"/>
              <w:rPr>
                <w:rFonts w:ascii="Times New Roman" w:hAnsi="Times New Roman" w:eastAsia="仿宋_GB2312" w:cs="Times New Roman"/>
                <w:color w:val="000000"/>
                <w:kern w:val="0"/>
                <w:highlight w:val="none"/>
                <w:lang w:val="en-US" w:bidi="ar-SA"/>
              </w:rPr>
            </w:pPr>
            <w:r>
              <w:rPr>
                <w:rFonts w:ascii="Times New Roman" w:hAnsi="Times New Roman" w:eastAsia="仿宋_GB2312" w:cs="Times New Roman"/>
                <w:color w:val="000000"/>
                <w:kern w:val="0"/>
                <w:highlight w:val="none"/>
                <w:lang w:val="en-US"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涉及危险</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废物数量</w:t>
            </w:r>
          </w:p>
        </w:tc>
        <w:tc>
          <w:tcPr>
            <w:tcW w:w="5103" w:type="dxa"/>
            <w:vAlign w:val="center"/>
          </w:tcPr>
          <w:p>
            <w:pPr>
              <w:pStyle w:val="11"/>
              <w:snapToGrid w:val="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3</w:t>
            </w:r>
            <w:r>
              <w:rPr>
                <w:rFonts w:hint="eastAsia" w:ascii="Times New Roman" w:hAnsi="Times New Roman" w:eastAsia="仿宋_GB2312" w:cs="仿宋_GB2312"/>
                <w:sz w:val="21"/>
                <w:szCs w:val="21"/>
                <w:highlight w:val="none"/>
              </w:rPr>
              <w:t>吨以下</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highlight w:val="none"/>
              </w:rPr>
            </w:pPr>
          </w:p>
        </w:tc>
        <w:tc>
          <w:tcPr>
            <w:tcW w:w="5103" w:type="dxa"/>
            <w:vAlign w:val="center"/>
          </w:tcPr>
          <w:p>
            <w:pPr>
              <w:pStyle w:val="11"/>
              <w:snapToGrid w:val="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3</w:t>
            </w:r>
            <w:r>
              <w:rPr>
                <w:rFonts w:hint="eastAsia" w:ascii="Times New Roman" w:hAnsi="Times New Roman" w:eastAsia="仿宋_GB2312" w:cs="仿宋_GB2312"/>
                <w:sz w:val="21"/>
                <w:szCs w:val="21"/>
                <w:highlight w:val="none"/>
              </w:rPr>
              <w:t>吨以上</w:t>
            </w:r>
            <w:r>
              <w:rPr>
                <w:rFonts w:ascii="Times New Roman" w:hAnsi="Times New Roman" w:eastAsia="仿宋_GB2312" w:cs="Times New Roman"/>
                <w:sz w:val="21"/>
                <w:szCs w:val="21"/>
                <w:highlight w:val="none"/>
              </w:rPr>
              <w:t>5</w:t>
            </w:r>
            <w:r>
              <w:rPr>
                <w:rFonts w:hint="eastAsia" w:ascii="Times New Roman" w:hAnsi="Times New Roman" w:eastAsia="仿宋_GB2312" w:cs="仿宋_GB2312"/>
                <w:sz w:val="21"/>
                <w:szCs w:val="21"/>
                <w:highlight w:val="none"/>
              </w:rPr>
              <w:t>吨以下</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highlight w:val="none"/>
              </w:rPr>
            </w:pPr>
          </w:p>
        </w:tc>
        <w:tc>
          <w:tcPr>
            <w:tcW w:w="5103" w:type="dxa"/>
            <w:vAlign w:val="center"/>
          </w:tcPr>
          <w:p>
            <w:pPr>
              <w:pStyle w:val="11"/>
              <w:snapToGrid w:val="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5</w:t>
            </w:r>
            <w:r>
              <w:rPr>
                <w:rFonts w:hint="eastAsia" w:ascii="Times New Roman" w:hAnsi="Times New Roman" w:eastAsia="仿宋_GB2312" w:cs="仿宋_GB2312"/>
                <w:sz w:val="21"/>
                <w:szCs w:val="21"/>
                <w:highlight w:val="none"/>
              </w:rPr>
              <w:t>吨以上</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restart"/>
            <w:vAlign w:val="center"/>
          </w:tcPr>
          <w:p>
            <w:pPr>
              <w:snapToGrid w:val="0"/>
              <w:jc w:val="center"/>
              <w:rPr>
                <w:rFonts w:ascii="Times New Roman" w:hAnsi="Times New Roman" w:cs="宋体"/>
                <w:b/>
                <w:bCs/>
                <w:highlight w:val="none"/>
              </w:rPr>
            </w:pPr>
            <w:r>
              <w:rPr>
                <w:rFonts w:hint="eastAsia" w:ascii="Times New Roman" w:hAnsi="Times New Roman" w:cs="宋体"/>
                <w:b/>
                <w:bCs/>
                <w:highlight w:val="none"/>
              </w:rPr>
              <w:t>经营活动</w:t>
            </w:r>
          </w:p>
          <w:p>
            <w:pPr>
              <w:snapToGrid w:val="0"/>
              <w:jc w:val="center"/>
              <w:rPr>
                <w:rFonts w:ascii="Times New Roman" w:hAnsi="Times New Roman" w:cs="Times New Roman"/>
                <w:highlight w:val="none"/>
              </w:rPr>
            </w:pPr>
            <w:r>
              <w:rPr>
                <w:rFonts w:hint="eastAsia" w:ascii="Times New Roman" w:hAnsi="Times New Roman" w:cs="宋体"/>
                <w:b/>
                <w:bCs/>
                <w:highlight w:val="none"/>
              </w:rPr>
              <w:t>地点</w:t>
            </w:r>
          </w:p>
        </w:tc>
        <w:tc>
          <w:tcPr>
            <w:tcW w:w="5103" w:type="dxa"/>
          </w:tcPr>
          <w:p>
            <w:pPr>
              <w:pStyle w:val="35"/>
              <w:spacing w:before="63"/>
              <w:ind w:left="66" w:right="54"/>
              <w:rPr>
                <w:rFonts w:ascii="Times New Roman" w:hAnsi="Times New Roman" w:eastAsia="仿宋_GB2312" w:cs="Times New Roman"/>
                <w:kern w:val="0"/>
                <w:highlight w:val="none"/>
                <w:lang w:val="en-US" w:bidi="ar-SA"/>
              </w:rPr>
            </w:pPr>
            <w:r>
              <w:rPr>
                <w:rFonts w:ascii="Times New Roman" w:hAnsi="Times New Roman" w:eastAsia="仿宋_GB2312" w:cs="Times New Roman"/>
                <w:kern w:val="0"/>
                <w:highlight w:val="none"/>
                <w:lang w:val="en-US" w:bidi="ar-SA"/>
              </w:rPr>
              <w:t>符合环境功能规划（或无环境功能规划）</w:t>
            </w:r>
          </w:p>
        </w:tc>
        <w:tc>
          <w:tcPr>
            <w:tcW w:w="2693" w:type="dxa"/>
          </w:tcPr>
          <w:p>
            <w:pPr>
              <w:pStyle w:val="35"/>
              <w:spacing w:before="77"/>
              <w:ind w:left="11"/>
              <w:rPr>
                <w:rFonts w:ascii="Times New Roman" w:hAnsi="Times New Roman" w:eastAsia="仿宋_GB2312" w:cs="Times New Roman"/>
                <w:kern w:val="0"/>
                <w:highlight w:val="none"/>
                <w:lang w:val="en-US" w:bidi="ar-SA"/>
              </w:rPr>
            </w:pPr>
            <w:r>
              <w:rPr>
                <w:rFonts w:ascii="Times New Roman" w:hAnsi="Times New Roman" w:eastAsia="仿宋_GB2312" w:cs="Times New Roman"/>
                <w:kern w:val="0"/>
                <w:highlight w:val="none"/>
                <w:lang w:val="en-US"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tcPr>
          <w:p>
            <w:pPr>
              <w:rPr>
                <w:rFonts w:ascii="Times New Roman" w:hAnsi="Times New Roman" w:cs="Times New Roman"/>
                <w:highlight w:val="none"/>
              </w:rPr>
            </w:pPr>
          </w:p>
        </w:tc>
        <w:tc>
          <w:tcPr>
            <w:tcW w:w="5103" w:type="dxa"/>
          </w:tcPr>
          <w:p>
            <w:pPr>
              <w:pStyle w:val="35"/>
              <w:spacing w:before="1"/>
              <w:ind w:left="66" w:right="55"/>
              <w:rPr>
                <w:rFonts w:ascii="Times New Roman" w:hAnsi="Times New Roman" w:eastAsia="仿宋_GB2312" w:cs="Times New Roman"/>
                <w:kern w:val="0"/>
                <w:highlight w:val="none"/>
                <w:lang w:val="en-US" w:bidi="ar-SA"/>
              </w:rPr>
            </w:pPr>
            <w:r>
              <w:rPr>
                <w:rFonts w:ascii="Times New Roman" w:hAnsi="Times New Roman" w:eastAsia="仿宋_GB2312" w:cs="Times New Roman"/>
                <w:kern w:val="0"/>
                <w:highlight w:val="none"/>
                <w:lang w:val="en-US" w:bidi="ar-SA"/>
              </w:rPr>
              <w:t>不符合环境功能规划，但位于居住区、商业交通居</w:t>
            </w:r>
          </w:p>
          <w:p>
            <w:pPr>
              <w:pStyle w:val="35"/>
              <w:spacing w:before="4" w:line="250" w:lineRule="exact"/>
              <w:ind w:left="66" w:right="55"/>
              <w:rPr>
                <w:rFonts w:ascii="Times New Roman" w:hAnsi="Times New Roman" w:eastAsia="仿宋_GB2312" w:cs="Times New Roman"/>
                <w:kern w:val="0"/>
                <w:highlight w:val="none"/>
                <w:lang w:val="en-US" w:bidi="ar-SA"/>
              </w:rPr>
            </w:pPr>
            <w:r>
              <w:rPr>
                <w:rFonts w:ascii="Times New Roman" w:hAnsi="Times New Roman" w:eastAsia="仿宋_GB2312" w:cs="Times New Roman"/>
                <w:kern w:val="0"/>
                <w:highlight w:val="none"/>
                <w:lang w:val="en-US" w:bidi="ar-SA"/>
              </w:rPr>
              <w:t>民混合区、文化区、工业区和农村地区</w:t>
            </w:r>
          </w:p>
        </w:tc>
        <w:tc>
          <w:tcPr>
            <w:tcW w:w="2693" w:type="dxa"/>
          </w:tcPr>
          <w:p>
            <w:pPr>
              <w:pStyle w:val="35"/>
              <w:spacing w:before="151"/>
              <w:ind w:left="11"/>
              <w:rPr>
                <w:rFonts w:ascii="Times New Roman" w:hAnsi="Times New Roman" w:eastAsia="仿宋_GB2312" w:cs="Times New Roman"/>
                <w:kern w:val="0"/>
                <w:highlight w:val="none"/>
                <w:lang w:val="en-US" w:bidi="ar-SA"/>
              </w:rPr>
            </w:pPr>
            <w:r>
              <w:rPr>
                <w:rFonts w:ascii="Times New Roman" w:hAnsi="Times New Roman" w:eastAsia="仿宋_GB2312" w:cs="Times New Roman"/>
                <w:kern w:val="0"/>
                <w:highlight w:val="none"/>
                <w:lang w:val="en-US"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tcPr>
          <w:p>
            <w:pPr>
              <w:rPr>
                <w:rFonts w:ascii="Times New Roman" w:hAnsi="Times New Roman" w:cs="Times New Roman"/>
                <w:highlight w:val="none"/>
              </w:rPr>
            </w:pPr>
          </w:p>
        </w:tc>
        <w:tc>
          <w:tcPr>
            <w:tcW w:w="5103" w:type="dxa"/>
          </w:tcPr>
          <w:p>
            <w:pPr>
              <w:pStyle w:val="35"/>
              <w:spacing w:before="2" w:line="270" w:lineRule="atLeast"/>
              <w:ind w:left="960" w:right="105" w:hanging="841"/>
              <w:jc w:val="left"/>
              <w:rPr>
                <w:rFonts w:ascii="Times New Roman" w:hAnsi="Times New Roman" w:eastAsia="仿宋_GB2312" w:cs="Times New Roman"/>
                <w:kern w:val="0"/>
                <w:highlight w:val="none"/>
                <w:lang w:val="en-US" w:bidi="ar-SA"/>
              </w:rPr>
            </w:pPr>
            <w:r>
              <w:rPr>
                <w:rFonts w:ascii="Times New Roman" w:hAnsi="Times New Roman" w:eastAsia="仿宋_GB2312" w:cs="Times New Roman"/>
                <w:kern w:val="0"/>
                <w:highlight w:val="none"/>
                <w:lang w:val="en-US" w:bidi="ar-SA"/>
              </w:rPr>
              <w:t>不符合环境功能规划，但位于自然保护区、风景名胜区和其他需要特殊保护的区域</w:t>
            </w:r>
          </w:p>
        </w:tc>
        <w:tc>
          <w:tcPr>
            <w:tcW w:w="2693" w:type="dxa"/>
          </w:tcPr>
          <w:p>
            <w:pPr>
              <w:pStyle w:val="35"/>
              <w:spacing w:before="151"/>
              <w:ind w:left="11"/>
              <w:rPr>
                <w:rFonts w:ascii="Times New Roman" w:hAnsi="Times New Roman" w:eastAsia="仿宋_GB2312" w:cs="Times New Roman"/>
                <w:kern w:val="0"/>
                <w:highlight w:val="none"/>
                <w:lang w:val="en-US" w:bidi="ar-SA"/>
              </w:rPr>
            </w:pPr>
            <w:r>
              <w:rPr>
                <w:rFonts w:ascii="Times New Roman" w:hAnsi="Times New Roman" w:eastAsia="仿宋_GB2312" w:cs="Times New Roman"/>
                <w:kern w:val="0"/>
                <w:highlight w:val="none"/>
                <w:lang w:val="en-US"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持续时间</w:t>
            </w:r>
          </w:p>
        </w:tc>
        <w:tc>
          <w:tcPr>
            <w:tcW w:w="510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r>
              <w:rPr>
                <w:rFonts w:hint="eastAsia" w:ascii="Times New Roman" w:hAnsi="Times New Roman" w:eastAsia="仿宋_GB2312" w:cs="仿宋_GB2312"/>
                <w:highlight w:val="none"/>
              </w:rPr>
              <w:t>个月以内</w:t>
            </w:r>
          </w:p>
        </w:tc>
        <w:tc>
          <w:tcPr>
            <w:tcW w:w="2693"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highlight w:val="none"/>
              </w:rPr>
            </w:pPr>
          </w:p>
        </w:tc>
        <w:tc>
          <w:tcPr>
            <w:tcW w:w="5103" w:type="dxa"/>
            <w:vAlign w:val="center"/>
          </w:tcPr>
          <w:p>
            <w:pPr>
              <w:pStyle w:val="11"/>
              <w:snapToGrid w:val="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3</w:t>
            </w:r>
            <w:r>
              <w:rPr>
                <w:rFonts w:hint="eastAsia" w:ascii="Times New Roman" w:hAnsi="Times New Roman" w:eastAsia="仿宋_GB2312" w:cs="仿宋_GB2312"/>
                <w:sz w:val="21"/>
                <w:szCs w:val="21"/>
                <w:highlight w:val="none"/>
              </w:rPr>
              <w:t>个月以上</w:t>
            </w:r>
            <w:r>
              <w:rPr>
                <w:rFonts w:ascii="Times New Roman" w:hAnsi="Times New Roman" w:eastAsia="仿宋_GB2312" w:cs="Times New Roman"/>
                <w:sz w:val="21"/>
                <w:szCs w:val="21"/>
                <w:highlight w:val="none"/>
              </w:rPr>
              <w:t>6</w:t>
            </w:r>
            <w:r>
              <w:rPr>
                <w:rFonts w:hint="eastAsia" w:ascii="Times New Roman" w:hAnsi="Times New Roman" w:eastAsia="仿宋_GB2312" w:cs="仿宋_GB2312"/>
                <w:sz w:val="21"/>
                <w:szCs w:val="21"/>
                <w:highlight w:val="none"/>
              </w:rPr>
              <w:t>个月以内</w:t>
            </w:r>
          </w:p>
        </w:tc>
        <w:tc>
          <w:tcPr>
            <w:tcW w:w="2693"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highlight w:val="none"/>
              </w:rPr>
            </w:pPr>
          </w:p>
        </w:tc>
        <w:tc>
          <w:tcPr>
            <w:tcW w:w="5103" w:type="dxa"/>
            <w:vAlign w:val="center"/>
          </w:tcPr>
          <w:p>
            <w:pPr>
              <w:pStyle w:val="11"/>
              <w:snapToGrid w:val="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6</w:t>
            </w:r>
            <w:r>
              <w:rPr>
                <w:rFonts w:hint="eastAsia" w:ascii="Times New Roman" w:hAnsi="Times New Roman" w:eastAsia="仿宋_GB2312" w:cs="仿宋_GB2312"/>
                <w:sz w:val="21"/>
                <w:szCs w:val="21"/>
                <w:highlight w:val="none"/>
              </w:rPr>
              <w:t>个月以上</w:t>
            </w:r>
          </w:p>
        </w:tc>
        <w:tc>
          <w:tcPr>
            <w:tcW w:w="2693"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796" w:type="dxa"/>
            <w:gridSpan w:val="2"/>
            <w:vAlign w:val="center"/>
          </w:tcPr>
          <w:p>
            <w:pPr>
              <w:snapToGrid w:val="0"/>
              <w:ind w:firstLine="420"/>
              <w:jc w:val="center"/>
              <w:rPr>
                <w:rFonts w:ascii="Times New Roman" w:hAnsi="Times New Roman" w:cs="Times New Roman"/>
                <w:highlight w:val="none"/>
              </w:rPr>
            </w:pPr>
          </w:p>
        </w:tc>
      </w:tr>
    </w:tbl>
    <w:p>
      <w:pPr>
        <w:adjustRightInd w:val="0"/>
        <w:snapToGrid w:val="0"/>
        <w:spacing w:line="312" w:lineRule="auto"/>
        <w:outlineLvl w:val="0"/>
        <w:rPr>
          <w:rFonts w:ascii="仿宋_GB2312" w:eastAsia="仿宋_GB2312" w:cs="Times New Roman"/>
          <w:highlight w:val="none"/>
        </w:rPr>
      </w:pPr>
      <w:r>
        <w:rPr>
          <w:rFonts w:ascii="仿宋_GB2312" w:eastAsia="仿宋_GB2312" w:cs="Times New Roman"/>
          <w:sz w:val="32"/>
          <w:szCs w:val="32"/>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5103"/>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（四）固体废物污染防治类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796" w:type="dxa"/>
            <w:gridSpan w:val="2"/>
            <w:vAlign w:val="center"/>
          </w:tcPr>
          <w:p>
            <w:pPr>
              <w:snapToGrid w:val="0"/>
              <w:jc w:val="center"/>
              <w:rPr>
                <w:rFonts w:ascii="Times New Roman" w:hAnsi="Times New Roman" w:cs="Times New Roman"/>
                <w:highlight w:val="none"/>
              </w:rPr>
            </w:pPr>
            <w:r>
              <w:rPr>
                <w:rFonts w:hint="eastAsia" w:ascii="Times New Roman" w:hAnsi="Times New Roman" w:cs="Times New Roman"/>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796" w:type="dxa"/>
            <w:gridSpan w:val="2"/>
            <w:vAlign w:val="center"/>
          </w:tcPr>
          <w:p>
            <w:pPr>
              <w:widowControl/>
              <w:snapToGrid w:val="0"/>
              <w:jc w:val="center"/>
              <w:rPr>
                <w:rFonts w:ascii="Times New Roman" w:hAnsi="Times New Roman" w:eastAsia="仿宋_GB2312" w:cs="仿宋_GB2312"/>
                <w:color w:val="000000"/>
                <w:kern w:val="0"/>
                <w:highlight w:val="none"/>
              </w:rPr>
            </w:pPr>
            <w:r>
              <w:rPr>
                <w:rFonts w:hint="eastAsia" w:ascii="Times New Roman" w:hAnsi="Times New Roman" w:eastAsia="仿宋_GB2312" w:cs="仿宋_GB2312"/>
                <w:color w:val="000000"/>
                <w:kern w:val="0"/>
                <w:highlight w:val="none"/>
              </w:rPr>
              <w:t>未按照许可证规定从事收集、贮存、利用、处置危险废物经营活动的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796" w:type="dxa"/>
            <w:gridSpan w:val="2"/>
          </w:tcPr>
          <w:p>
            <w:pPr>
              <w:widowControl/>
              <w:ind w:firstLine="422"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b/>
                <w:bCs/>
                <w:kern w:val="0"/>
                <w:highlight w:val="none"/>
              </w:rPr>
              <w:t>《中华人民共和国固体废物污染环境防治法》第八十条第二款</w:t>
            </w:r>
            <w:r>
              <w:rPr>
                <w:rFonts w:hint="eastAsia" w:ascii="Times New Roman" w:hAnsi="Times New Roman" w:eastAsia="仿宋_GB2312" w:cs="仿宋_GB2312"/>
                <w:kern w:val="0"/>
                <w:highlight w:val="none"/>
              </w:rPr>
              <w:t xml:space="preserve">  禁止无许可证或者未按照许可证规定从事危险废物收集、贮存、利用、处置的经营活动。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796" w:type="dxa"/>
            <w:gridSpan w:val="2"/>
          </w:tcPr>
          <w:p>
            <w:pPr>
              <w:widowControl/>
              <w:ind w:firstLine="422"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b/>
                <w:bCs/>
                <w:kern w:val="0"/>
                <w:highlight w:val="none"/>
              </w:rPr>
              <w:t>《中华人民共和国固体废物污染环境防治法》第一百一十四条第二款</w:t>
            </w:r>
            <w:r>
              <w:rPr>
                <w:rFonts w:hint="eastAsia" w:ascii="Times New Roman" w:hAnsi="Times New Roman" w:eastAsia="仿宋_GB2312" w:cs="仿宋_GB2312"/>
                <w:kern w:val="0"/>
                <w:highlight w:val="none"/>
              </w:rPr>
              <w:t xml:space="preserve">  未按照许可证规定从事收集、贮存、利用、处置危险废物经营活动的，由生态环境主管部门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10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许可证种类★</w:t>
            </w:r>
          </w:p>
        </w:tc>
        <w:tc>
          <w:tcPr>
            <w:tcW w:w="5103" w:type="dxa"/>
          </w:tcPr>
          <w:p>
            <w:pPr>
              <w:pStyle w:val="35"/>
              <w:spacing w:before="63"/>
              <w:ind w:left="66" w:right="54"/>
              <w:rPr>
                <w:rFonts w:ascii="Times New Roman" w:hAnsi="Times New Roman" w:eastAsia="仿宋_GB2312" w:cs="Times New Roman"/>
                <w:color w:val="000000"/>
                <w:highlight w:val="none"/>
              </w:rPr>
            </w:pPr>
            <w:r>
              <w:rPr>
                <w:rFonts w:ascii="Times New Roman" w:hAnsi="Times New Roman" w:eastAsia="仿宋_GB2312" w:cs="Times New Roman"/>
                <w:color w:val="000000"/>
                <w:kern w:val="0"/>
                <w:highlight w:val="none"/>
                <w:lang w:val="en-US" w:bidi="ar-SA"/>
              </w:rPr>
              <w:t>危险废物收集许可证</w:t>
            </w:r>
          </w:p>
        </w:tc>
        <w:tc>
          <w:tcPr>
            <w:tcW w:w="2693" w:type="dxa"/>
          </w:tcPr>
          <w:p>
            <w:pPr>
              <w:pStyle w:val="35"/>
              <w:spacing w:before="77"/>
              <w:ind w:left="11"/>
              <w:rPr>
                <w:rFonts w:ascii="Times New Roman" w:hAnsi="Times New Roman" w:eastAsia="仿宋_GB2312" w:cs="Times New Roman"/>
                <w:color w:val="000000"/>
                <w:highlight w:val="none"/>
              </w:rPr>
            </w:pPr>
            <w:r>
              <w:rPr>
                <w:rFonts w:ascii="Times New Roman" w:hAnsi="Times New Roman" w:eastAsia="仿宋_GB2312" w:cs="Times New Roman"/>
                <w:color w:val="000000"/>
                <w:kern w:val="0"/>
                <w:highlight w:val="none"/>
                <w:lang w:val="en-US"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b/>
                <w:bCs/>
                <w:color w:val="000000"/>
                <w:highlight w:val="none"/>
              </w:rPr>
            </w:pPr>
          </w:p>
        </w:tc>
        <w:tc>
          <w:tcPr>
            <w:tcW w:w="5103" w:type="dxa"/>
          </w:tcPr>
          <w:p>
            <w:pPr>
              <w:pStyle w:val="35"/>
              <w:spacing w:before="63"/>
              <w:ind w:left="66" w:right="54"/>
              <w:rPr>
                <w:rFonts w:ascii="Times New Roman" w:hAnsi="Times New Roman" w:eastAsia="仿宋_GB2312" w:cs="Times New Roman"/>
                <w:color w:val="000000"/>
                <w:highlight w:val="none"/>
              </w:rPr>
            </w:pPr>
            <w:r>
              <w:rPr>
                <w:rFonts w:ascii="Times New Roman" w:hAnsi="Times New Roman" w:eastAsia="仿宋_GB2312" w:cs="Times New Roman"/>
                <w:color w:val="000000"/>
                <w:kern w:val="0"/>
                <w:highlight w:val="none"/>
                <w:lang w:val="en-US" w:bidi="ar-SA"/>
              </w:rPr>
              <w:t>危险废物综合许可证</w:t>
            </w:r>
          </w:p>
        </w:tc>
        <w:tc>
          <w:tcPr>
            <w:tcW w:w="2693" w:type="dxa"/>
          </w:tcPr>
          <w:p>
            <w:pPr>
              <w:pStyle w:val="35"/>
              <w:spacing w:before="77"/>
              <w:ind w:left="11"/>
              <w:rPr>
                <w:rFonts w:ascii="Times New Roman" w:hAnsi="Times New Roman" w:cs="Times New Roman"/>
                <w:color w:val="000000"/>
                <w:highlight w:val="none"/>
              </w:rPr>
            </w:pPr>
            <w:r>
              <w:rPr>
                <w:rFonts w:ascii="Times New Roman" w:hAnsi="Times New Roman" w:eastAsia="仿宋_GB2312" w:cs="Times New Roman"/>
                <w:color w:val="000000"/>
                <w:kern w:val="0"/>
                <w:highlight w:val="none"/>
                <w:lang w:val="en-US"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涉及危险</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废物数量</w:t>
            </w:r>
          </w:p>
        </w:tc>
        <w:tc>
          <w:tcPr>
            <w:tcW w:w="5103" w:type="dxa"/>
            <w:vAlign w:val="center"/>
          </w:tcPr>
          <w:p>
            <w:pPr>
              <w:pStyle w:val="11"/>
              <w:snapToGrid w:val="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3</w:t>
            </w:r>
            <w:r>
              <w:rPr>
                <w:rFonts w:hint="eastAsia" w:ascii="Times New Roman" w:hAnsi="Times New Roman" w:eastAsia="仿宋_GB2312" w:cs="仿宋_GB2312"/>
                <w:sz w:val="21"/>
                <w:szCs w:val="21"/>
                <w:highlight w:val="none"/>
              </w:rPr>
              <w:t>吨以下</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highlight w:val="none"/>
              </w:rPr>
            </w:pPr>
          </w:p>
        </w:tc>
        <w:tc>
          <w:tcPr>
            <w:tcW w:w="5103" w:type="dxa"/>
            <w:vAlign w:val="center"/>
          </w:tcPr>
          <w:p>
            <w:pPr>
              <w:pStyle w:val="11"/>
              <w:snapToGrid w:val="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3</w:t>
            </w:r>
            <w:r>
              <w:rPr>
                <w:rFonts w:hint="eastAsia" w:ascii="Times New Roman" w:hAnsi="Times New Roman" w:eastAsia="仿宋_GB2312" w:cs="仿宋_GB2312"/>
                <w:sz w:val="21"/>
                <w:szCs w:val="21"/>
                <w:highlight w:val="none"/>
              </w:rPr>
              <w:t>吨以上</w:t>
            </w:r>
            <w:r>
              <w:rPr>
                <w:rFonts w:ascii="Times New Roman" w:hAnsi="Times New Roman" w:eastAsia="仿宋_GB2312" w:cs="Times New Roman"/>
                <w:sz w:val="21"/>
                <w:szCs w:val="21"/>
                <w:highlight w:val="none"/>
              </w:rPr>
              <w:t>5</w:t>
            </w:r>
            <w:r>
              <w:rPr>
                <w:rFonts w:hint="eastAsia" w:ascii="Times New Roman" w:hAnsi="Times New Roman" w:eastAsia="仿宋_GB2312" w:cs="仿宋_GB2312"/>
                <w:sz w:val="21"/>
                <w:szCs w:val="21"/>
                <w:highlight w:val="none"/>
              </w:rPr>
              <w:t>吨以下</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highlight w:val="none"/>
              </w:rPr>
            </w:pPr>
          </w:p>
        </w:tc>
        <w:tc>
          <w:tcPr>
            <w:tcW w:w="5103" w:type="dxa"/>
            <w:vAlign w:val="center"/>
          </w:tcPr>
          <w:p>
            <w:pPr>
              <w:pStyle w:val="11"/>
              <w:snapToGrid w:val="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5</w:t>
            </w:r>
            <w:r>
              <w:rPr>
                <w:rFonts w:hint="eastAsia" w:ascii="Times New Roman" w:hAnsi="Times New Roman" w:eastAsia="仿宋_GB2312" w:cs="仿宋_GB2312"/>
                <w:sz w:val="21"/>
                <w:szCs w:val="21"/>
                <w:highlight w:val="none"/>
              </w:rPr>
              <w:t>吨以上</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413" w:type="dxa"/>
            <w:vMerge w:val="restart"/>
            <w:vAlign w:val="center"/>
          </w:tcPr>
          <w:p>
            <w:pPr>
              <w:snapToGrid w:val="0"/>
              <w:jc w:val="center"/>
              <w:rPr>
                <w:rFonts w:ascii="Times New Roman" w:hAnsi="Times New Roman" w:cs="宋体"/>
                <w:b/>
                <w:bCs/>
                <w:highlight w:val="none"/>
              </w:rPr>
            </w:pPr>
            <w:r>
              <w:rPr>
                <w:rFonts w:hint="eastAsia" w:ascii="Times New Roman" w:hAnsi="Times New Roman" w:cs="宋体"/>
                <w:b/>
                <w:bCs/>
                <w:highlight w:val="none"/>
              </w:rPr>
              <w:t>经营活动</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地点</w:t>
            </w:r>
          </w:p>
        </w:tc>
        <w:tc>
          <w:tcPr>
            <w:tcW w:w="5103" w:type="dxa"/>
          </w:tcPr>
          <w:p>
            <w:pPr>
              <w:pStyle w:val="35"/>
              <w:spacing w:before="63"/>
              <w:ind w:left="66" w:right="54"/>
              <w:rPr>
                <w:rFonts w:ascii="Times New Roman" w:hAnsi="Times New Roman" w:eastAsia="仿宋_GB2312" w:cs="Times New Roman"/>
                <w:highlight w:val="none"/>
              </w:rPr>
            </w:pPr>
            <w:r>
              <w:rPr>
                <w:rFonts w:ascii="Times New Roman" w:hAnsi="Times New Roman" w:eastAsia="仿宋_GB2312" w:cs="Times New Roman"/>
                <w:kern w:val="0"/>
                <w:highlight w:val="none"/>
                <w:lang w:val="en-US" w:bidi="ar-SA"/>
              </w:rPr>
              <w:t>符合环境功能规划（或无环境功能规划）</w:t>
            </w:r>
          </w:p>
        </w:tc>
        <w:tc>
          <w:tcPr>
            <w:tcW w:w="2693" w:type="dxa"/>
          </w:tcPr>
          <w:p>
            <w:pPr>
              <w:pStyle w:val="35"/>
              <w:spacing w:before="77"/>
              <w:ind w:left="11"/>
              <w:rPr>
                <w:rFonts w:ascii="Times New Roman" w:hAnsi="Times New Roman" w:cs="Times New Roman"/>
                <w:highlight w:val="none"/>
              </w:rPr>
            </w:pPr>
            <w:r>
              <w:rPr>
                <w:rFonts w:ascii="Times New Roman" w:hAnsi="Times New Roman" w:eastAsia="仿宋_GB2312" w:cs="Times New Roman"/>
                <w:kern w:val="0"/>
                <w:highlight w:val="none"/>
                <w:lang w:val="en-US"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tcPr>
          <w:p>
            <w:pPr>
              <w:rPr>
                <w:rFonts w:ascii="Times New Roman" w:hAnsi="Times New Roman" w:cs="Times New Roman"/>
                <w:highlight w:val="none"/>
              </w:rPr>
            </w:pPr>
          </w:p>
        </w:tc>
        <w:tc>
          <w:tcPr>
            <w:tcW w:w="5103" w:type="dxa"/>
          </w:tcPr>
          <w:p>
            <w:pPr>
              <w:pStyle w:val="35"/>
              <w:spacing w:before="1"/>
              <w:ind w:left="66" w:right="55"/>
              <w:rPr>
                <w:rFonts w:ascii="Times New Roman" w:hAnsi="Times New Roman" w:eastAsia="仿宋_GB2312" w:cs="Times New Roman"/>
                <w:kern w:val="0"/>
                <w:highlight w:val="none"/>
                <w:lang w:val="en-US" w:bidi="ar-SA"/>
              </w:rPr>
            </w:pPr>
            <w:r>
              <w:rPr>
                <w:rFonts w:ascii="Times New Roman" w:hAnsi="Times New Roman" w:eastAsia="仿宋_GB2312" w:cs="Times New Roman"/>
                <w:kern w:val="0"/>
                <w:highlight w:val="none"/>
                <w:lang w:val="en-US" w:bidi="ar-SA"/>
              </w:rPr>
              <w:t>不符合环境功能规划，但位于居住区、商业交通居</w:t>
            </w:r>
          </w:p>
          <w:p>
            <w:pPr>
              <w:pStyle w:val="35"/>
              <w:spacing w:before="4" w:line="250" w:lineRule="exact"/>
              <w:ind w:left="66" w:right="55"/>
              <w:rPr>
                <w:rFonts w:ascii="Times New Roman" w:hAnsi="Times New Roman" w:eastAsia="仿宋_GB2312" w:cs="Times New Roman"/>
                <w:highlight w:val="none"/>
              </w:rPr>
            </w:pPr>
            <w:r>
              <w:rPr>
                <w:rFonts w:ascii="Times New Roman" w:hAnsi="Times New Roman" w:eastAsia="仿宋_GB2312" w:cs="Times New Roman"/>
                <w:kern w:val="0"/>
                <w:highlight w:val="none"/>
                <w:lang w:val="en-US" w:bidi="ar-SA"/>
              </w:rPr>
              <w:t>民混合区、文化区、工业区和农村地区</w:t>
            </w:r>
          </w:p>
        </w:tc>
        <w:tc>
          <w:tcPr>
            <w:tcW w:w="2693" w:type="dxa"/>
          </w:tcPr>
          <w:p>
            <w:pPr>
              <w:pStyle w:val="35"/>
              <w:spacing w:before="151"/>
              <w:ind w:left="11"/>
              <w:rPr>
                <w:rFonts w:ascii="Times New Roman" w:hAnsi="Times New Roman" w:cs="Times New Roman"/>
                <w:highlight w:val="none"/>
              </w:rPr>
            </w:pPr>
            <w:r>
              <w:rPr>
                <w:rFonts w:ascii="Times New Roman" w:hAnsi="Times New Roman" w:eastAsia="仿宋_GB2312" w:cs="Times New Roman"/>
                <w:kern w:val="0"/>
                <w:highlight w:val="none"/>
                <w:lang w:val="en-US"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tcPr>
          <w:p>
            <w:pPr>
              <w:rPr>
                <w:rFonts w:ascii="Times New Roman" w:hAnsi="Times New Roman" w:cs="Times New Roman"/>
                <w:highlight w:val="none"/>
              </w:rPr>
            </w:pPr>
          </w:p>
        </w:tc>
        <w:tc>
          <w:tcPr>
            <w:tcW w:w="5103" w:type="dxa"/>
          </w:tcPr>
          <w:p>
            <w:pPr>
              <w:pStyle w:val="35"/>
              <w:spacing w:before="2" w:line="270" w:lineRule="atLeast"/>
              <w:ind w:left="960" w:right="105" w:hanging="841"/>
              <w:jc w:val="left"/>
              <w:rPr>
                <w:rFonts w:ascii="Times New Roman" w:hAnsi="Times New Roman" w:eastAsia="仿宋_GB2312" w:cs="Times New Roman"/>
                <w:highlight w:val="none"/>
              </w:rPr>
            </w:pPr>
            <w:r>
              <w:rPr>
                <w:rFonts w:ascii="Times New Roman" w:hAnsi="Times New Roman" w:eastAsia="仿宋_GB2312" w:cs="Times New Roman"/>
                <w:kern w:val="0"/>
                <w:highlight w:val="none"/>
                <w:lang w:val="en-US" w:bidi="ar-SA"/>
              </w:rPr>
              <w:t>不符合环境功能规划，但位于自然保护区、风景名胜区和其他需要特殊保护的区域</w:t>
            </w:r>
          </w:p>
        </w:tc>
        <w:tc>
          <w:tcPr>
            <w:tcW w:w="2693" w:type="dxa"/>
          </w:tcPr>
          <w:p>
            <w:pPr>
              <w:pStyle w:val="35"/>
              <w:spacing w:before="151"/>
              <w:ind w:left="11"/>
              <w:rPr>
                <w:rFonts w:ascii="Times New Roman" w:hAnsi="Times New Roman" w:cs="Times New Roman"/>
                <w:highlight w:val="none"/>
              </w:rPr>
            </w:pPr>
            <w:r>
              <w:rPr>
                <w:rFonts w:ascii="Times New Roman" w:hAnsi="Times New Roman" w:eastAsia="仿宋_GB2312" w:cs="Times New Roman"/>
                <w:kern w:val="0"/>
                <w:highlight w:val="none"/>
                <w:lang w:val="en-US"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持续时间</w:t>
            </w:r>
          </w:p>
        </w:tc>
        <w:tc>
          <w:tcPr>
            <w:tcW w:w="510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r>
              <w:rPr>
                <w:rFonts w:hint="eastAsia" w:ascii="Times New Roman" w:hAnsi="Times New Roman" w:eastAsia="仿宋_GB2312" w:cs="仿宋_GB2312"/>
                <w:highlight w:val="none"/>
              </w:rPr>
              <w:t>个月以内</w:t>
            </w:r>
          </w:p>
        </w:tc>
        <w:tc>
          <w:tcPr>
            <w:tcW w:w="2693"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highlight w:val="none"/>
              </w:rPr>
            </w:pPr>
          </w:p>
        </w:tc>
        <w:tc>
          <w:tcPr>
            <w:tcW w:w="5103" w:type="dxa"/>
            <w:vAlign w:val="center"/>
          </w:tcPr>
          <w:p>
            <w:pPr>
              <w:pStyle w:val="11"/>
              <w:snapToGrid w:val="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3</w:t>
            </w:r>
            <w:r>
              <w:rPr>
                <w:rFonts w:hint="eastAsia" w:ascii="Times New Roman" w:hAnsi="Times New Roman" w:eastAsia="仿宋_GB2312" w:cs="仿宋_GB2312"/>
                <w:sz w:val="21"/>
                <w:szCs w:val="21"/>
                <w:highlight w:val="none"/>
              </w:rPr>
              <w:t>个月以上</w:t>
            </w:r>
            <w:r>
              <w:rPr>
                <w:rFonts w:ascii="Times New Roman" w:hAnsi="Times New Roman" w:eastAsia="仿宋_GB2312" w:cs="Times New Roman"/>
                <w:sz w:val="21"/>
                <w:szCs w:val="21"/>
                <w:highlight w:val="none"/>
              </w:rPr>
              <w:t>6</w:t>
            </w:r>
            <w:r>
              <w:rPr>
                <w:rFonts w:hint="eastAsia" w:ascii="Times New Roman" w:hAnsi="Times New Roman" w:eastAsia="仿宋_GB2312" w:cs="仿宋_GB2312"/>
                <w:sz w:val="21"/>
                <w:szCs w:val="21"/>
                <w:highlight w:val="none"/>
              </w:rPr>
              <w:t>个月以内</w:t>
            </w:r>
          </w:p>
        </w:tc>
        <w:tc>
          <w:tcPr>
            <w:tcW w:w="2693"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highlight w:val="none"/>
              </w:rPr>
            </w:pPr>
          </w:p>
        </w:tc>
        <w:tc>
          <w:tcPr>
            <w:tcW w:w="5103" w:type="dxa"/>
            <w:vAlign w:val="center"/>
          </w:tcPr>
          <w:p>
            <w:pPr>
              <w:pStyle w:val="11"/>
              <w:snapToGrid w:val="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6</w:t>
            </w:r>
            <w:r>
              <w:rPr>
                <w:rFonts w:ascii="Times New Roman" w:hAnsi="Times New Roman" w:eastAsia="仿宋_GB2312" w:cs="仿宋_GB2312"/>
                <w:sz w:val="21"/>
                <w:szCs w:val="21"/>
                <w:highlight w:val="none"/>
              </w:rPr>
              <w:t>个月以上</w:t>
            </w:r>
          </w:p>
        </w:tc>
        <w:tc>
          <w:tcPr>
            <w:tcW w:w="2693"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796" w:type="dxa"/>
            <w:gridSpan w:val="2"/>
            <w:vAlign w:val="center"/>
          </w:tcPr>
          <w:p>
            <w:pPr>
              <w:widowControl/>
              <w:jc w:val="left"/>
              <w:rPr>
                <w:rFonts w:ascii="Times New Roman" w:hAnsi="Times New Roman" w:cs="Times New Roman"/>
                <w:highlight w:val="none"/>
              </w:rPr>
            </w:pPr>
          </w:p>
        </w:tc>
      </w:tr>
    </w:tbl>
    <w:p>
      <w:pPr>
        <w:adjustRightInd w:val="0"/>
        <w:snapToGrid w:val="0"/>
        <w:spacing w:line="312" w:lineRule="auto"/>
        <w:outlineLvl w:val="0"/>
        <w:rPr>
          <w:rFonts w:ascii="仿宋_GB2312" w:eastAsia="仿宋_GB2312" w:cs="Times New Roman"/>
          <w:sz w:val="32"/>
          <w:szCs w:val="32"/>
          <w:highlight w:val="none"/>
        </w:rPr>
      </w:pPr>
    </w:p>
    <w:p>
      <w:pPr>
        <w:adjustRightInd w:val="0"/>
        <w:snapToGrid w:val="0"/>
        <w:spacing w:line="312" w:lineRule="auto"/>
        <w:outlineLvl w:val="0"/>
        <w:rPr>
          <w:rFonts w:ascii="仿宋_GB2312" w:eastAsia="仿宋_GB2312" w:cs="Times New Roman"/>
          <w:sz w:val="32"/>
          <w:szCs w:val="32"/>
          <w:highlight w:val="none"/>
        </w:rPr>
      </w:pPr>
    </w:p>
    <w:p>
      <w:pPr>
        <w:adjustRightInd w:val="0"/>
        <w:snapToGrid w:val="0"/>
        <w:spacing w:line="312" w:lineRule="auto"/>
        <w:outlineLvl w:val="0"/>
        <w:rPr>
          <w:rFonts w:ascii="仿宋_GB2312" w:eastAsia="仿宋_GB2312" w:cs="Times New Roman"/>
          <w:sz w:val="32"/>
          <w:szCs w:val="32"/>
          <w:highlight w:val="none"/>
        </w:rPr>
      </w:pPr>
    </w:p>
    <w:p>
      <w:pPr>
        <w:adjustRightInd w:val="0"/>
        <w:snapToGrid w:val="0"/>
        <w:spacing w:line="312" w:lineRule="auto"/>
        <w:outlineLvl w:val="0"/>
        <w:rPr>
          <w:rFonts w:ascii="仿宋_GB2312" w:eastAsia="仿宋_GB2312" w:cs="Times New Roman"/>
          <w:sz w:val="32"/>
          <w:szCs w:val="32"/>
          <w:highlight w:val="none"/>
        </w:rPr>
      </w:pPr>
    </w:p>
    <w:p>
      <w:pPr>
        <w:adjustRightInd w:val="0"/>
        <w:snapToGrid w:val="0"/>
        <w:spacing w:line="312" w:lineRule="auto"/>
        <w:outlineLvl w:val="0"/>
        <w:rPr>
          <w:rFonts w:ascii="仿宋_GB2312" w:eastAsia="仿宋_GB2312" w:cs="Times New Roman"/>
          <w:sz w:val="32"/>
          <w:szCs w:val="32"/>
          <w:highlight w:val="none"/>
        </w:rPr>
      </w:pPr>
    </w:p>
    <w:tbl>
      <w:tblPr>
        <w:tblStyle w:val="1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（四）固体废物污染防治类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hint="eastAsia" w:ascii="Times New Roman" w:hAnsi="Times New Roman" w:cs="Times New Roman"/>
                <w:highlight w:val="none"/>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kern w:val="0"/>
                <w:highlight w:val="none"/>
              </w:rPr>
              <w:t>造成固体废物污染环境事故的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vAlign w:val="center"/>
          </w:tcPr>
          <w:p>
            <w:pPr>
              <w:snapToGrid w:val="0"/>
              <w:ind w:firstLine="422"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b/>
                <w:bCs/>
                <w:kern w:val="0"/>
                <w:highlight w:val="none"/>
              </w:rPr>
              <w:t>《中华人民共和国固体废物污染环境防治法》第八十六条</w:t>
            </w:r>
            <w:r>
              <w:rPr>
                <w:rFonts w:hint="eastAsia" w:ascii="Times New Roman" w:hAnsi="Times New Roman" w:eastAsia="仿宋_GB2312" w:cs="仿宋_GB2312"/>
                <w:kern w:val="0"/>
                <w:highlight w:val="none"/>
              </w:rPr>
              <w:t xml:space="preserve">  因发生事故或者其他突发性事件，造成危险废物严重污染环境的单位，应当立即采取有效措施消除或者减轻对环境的污染危害，及时通报可能受到污染危害的单位和居民，并向所在地生态环境主管部门和有关部门报告，接受调查处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vAlign w:val="center"/>
          </w:tcPr>
          <w:p>
            <w:pPr>
              <w:snapToGrid w:val="0"/>
              <w:ind w:firstLine="422"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b/>
                <w:bCs/>
                <w:kern w:val="0"/>
                <w:highlight w:val="none"/>
              </w:rPr>
              <w:t xml:space="preserve">《中华人民共和国固体废物污染环境防治法》第一百一十八条 </w:t>
            </w:r>
            <w:r>
              <w:rPr>
                <w:rFonts w:hint="eastAsia" w:ascii="Times New Roman" w:hAnsi="Times New Roman" w:eastAsia="仿宋_GB2312" w:cs="仿宋_GB2312"/>
                <w:kern w:val="0"/>
                <w:highlight w:val="none"/>
              </w:rPr>
              <w:t xml:space="preserve"> 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 </w:t>
            </w:r>
          </w:p>
          <w:p>
            <w:pPr>
              <w:snapToGrid w:val="0"/>
              <w:ind w:firstLine="420" w:firstLineChars="200"/>
              <w:jc w:val="left"/>
              <w:rPr>
                <w:rFonts w:ascii="Times New Roman" w:hAnsi="Times New Roman" w:eastAsia="仿宋_GB2312" w:cs="仿宋_GB2312"/>
                <w:kern w:val="0"/>
                <w:highlight w:val="none"/>
              </w:rPr>
            </w:pPr>
            <w:r>
              <w:rPr>
                <w:rFonts w:hint="eastAsia" w:ascii="Times New Roman" w:hAnsi="Times New Roman" w:eastAsia="仿宋_GB2312" w:cs="仿宋_GB2312"/>
                <w:kern w:val="0"/>
                <w:highlight w:val="none"/>
              </w:rPr>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污染事故</w:t>
            </w:r>
          </w:p>
          <w:p>
            <w:pPr>
              <w:snapToGrid w:val="0"/>
              <w:jc w:val="center"/>
              <w:rPr>
                <w:rFonts w:ascii="Times New Roman" w:hAnsi="Times New Roman" w:cs="Times New Roman"/>
                <w:b/>
                <w:bCs/>
                <w:highlight w:val="none"/>
              </w:rPr>
            </w:pPr>
            <w:r>
              <w:rPr>
                <w:rFonts w:hint="eastAsia" w:ascii="Times New Roman" w:hAnsi="Times New Roman" w:cs="宋体"/>
                <w:b/>
                <w:bCs/>
                <w:color w:val="000000"/>
                <w:highlight w:val="none"/>
              </w:rPr>
              <w:t>等级★</w:t>
            </w: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一般突发环境事件</w:t>
            </w:r>
            <w:r>
              <w:rPr>
                <w:rFonts w:ascii="Times New Roman" w:hAnsi="Times New Roman" w:eastAsia="仿宋_GB2312" w:cs="Times New Roman"/>
                <w:highlight w:val="none"/>
              </w:rPr>
              <w:t>(IV)</w:t>
            </w:r>
            <w:r>
              <w:rPr>
                <w:rFonts w:hint="eastAsia" w:ascii="Times New Roman" w:hAnsi="Times New Roman" w:eastAsia="仿宋_GB2312" w:cs="仿宋_GB2312"/>
                <w:highlight w:val="none"/>
              </w:rPr>
              <w:t>及以下事件</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Merge w:val="continue"/>
            <w:vAlign w:val="center"/>
          </w:tcPr>
          <w:p>
            <w:pPr>
              <w:snapToGrid w:val="0"/>
              <w:ind w:firstLine="422"/>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较大突发环境事件</w:t>
            </w:r>
            <w:r>
              <w:rPr>
                <w:rFonts w:ascii="Times New Roman" w:hAnsi="Times New Roman" w:eastAsia="仿宋_GB2312" w:cs="Times New Roman"/>
                <w:highlight w:val="none"/>
              </w:rPr>
              <w:t>(III)</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Merge w:val="continue"/>
            <w:vAlign w:val="center"/>
          </w:tcPr>
          <w:p>
            <w:pPr>
              <w:snapToGrid w:val="0"/>
              <w:ind w:firstLine="422"/>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重大突发环境事件</w:t>
            </w:r>
            <w:r>
              <w:rPr>
                <w:rFonts w:ascii="Times New Roman" w:hAnsi="Times New Roman" w:eastAsia="仿宋_GB2312" w:cs="Times New Roman"/>
                <w:highlight w:val="none"/>
              </w:rPr>
              <w:t>(II)</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Merge w:val="continue"/>
            <w:vAlign w:val="center"/>
          </w:tcPr>
          <w:p>
            <w:pPr>
              <w:snapToGrid w:val="0"/>
              <w:ind w:firstLine="422"/>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特别重大突发环境事件</w:t>
            </w:r>
            <w:r>
              <w:rPr>
                <w:rFonts w:ascii="Times New Roman" w:hAnsi="Times New Roman" w:eastAsia="仿宋_GB2312" w:cs="Times New Roman"/>
                <w:highlight w:val="none"/>
              </w:rPr>
              <w:t>(I)</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对环境的</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影响程度</w:t>
            </w: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尚未造成环境污染</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已造成环境污染，尚未扩散</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已造成环境污染，并部分扩散</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已造成环境污染，并大面积扩散</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污染事故</w:t>
            </w:r>
          </w:p>
          <w:p>
            <w:pPr>
              <w:snapToGrid w:val="0"/>
              <w:jc w:val="center"/>
              <w:rPr>
                <w:rFonts w:ascii="Times New Roman" w:hAnsi="Times New Roman" w:cs="Times New Roman"/>
                <w:highlight w:val="none"/>
              </w:rPr>
            </w:pPr>
            <w:r>
              <w:rPr>
                <w:rFonts w:hint="eastAsia" w:ascii="Times New Roman" w:hAnsi="Times New Roman" w:cs="宋体"/>
                <w:b/>
                <w:bCs/>
                <w:highlight w:val="none"/>
              </w:rPr>
              <w:t>发生地点</w:t>
            </w: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不在保护区</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Merge w:val="continue"/>
            <w:vAlign w:val="center"/>
          </w:tcPr>
          <w:p>
            <w:pPr>
              <w:snapToGrid w:val="0"/>
              <w:ind w:firstLine="420"/>
              <w:jc w:val="center"/>
              <w:rPr>
                <w:rFonts w:ascii="Times New Roman" w:hAnsi="Times New Roman" w:cs="Times New Roman"/>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位于自然保护区实验区</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Merge w:val="continue"/>
            <w:vAlign w:val="center"/>
          </w:tcPr>
          <w:p>
            <w:pPr>
              <w:snapToGrid w:val="0"/>
              <w:ind w:firstLine="420"/>
              <w:jc w:val="center"/>
              <w:rPr>
                <w:rFonts w:ascii="Times New Roman" w:hAnsi="Times New Roman" w:cs="Times New Roman"/>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位于自然保护区缓冲区</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Merge w:val="continue"/>
            <w:vAlign w:val="center"/>
          </w:tcPr>
          <w:p>
            <w:pPr>
              <w:snapToGrid w:val="0"/>
              <w:jc w:val="center"/>
              <w:rPr>
                <w:rFonts w:ascii="Times New Roman" w:hAnsi="Times New Roman" w:cs="Times New Roman"/>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位于自然保护区核心区</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补救措施</w:t>
            </w: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积极采取补救措施；恢复原状，消除环境影响</w:t>
            </w:r>
          </w:p>
        </w:tc>
        <w:tc>
          <w:tcPr>
            <w:tcW w:w="2693"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Merge w:val="continue"/>
            <w:vAlign w:val="center"/>
          </w:tcPr>
          <w:p>
            <w:pPr>
              <w:snapToGrid w:val="0"/>
              <w:ind w:firstLine="420"/>
              <w:jc w:val="center"/>
              <w:rPr>
                <w:rFonts w:ascii="Times New Roman" w:hAnsi="Times New Roman" w:cs="Times New Roman"/>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采取补救措施，环境影响无法完全消除</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未采取补救措施，环境影响持续恶化</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区域影响</w:t>
            </w: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县级行政区域内</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跨县级行政区域</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跨市级行政区域</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跨省级行政区域</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spacing w:line="288" w:lineRule="auto"/>
              <w:ind w:firstLine="420"/>
              <w:jc w:val="center"/>
              <w:rPr>
                <w:rFonts w:ascii="Times New Roman" w:hAnsi="Times New Roman" w:cs="Times New Roman"/>
                <w:highlight w:val="none"/>
              </w:rPr>
            </w:pPr>
          </w:p>
        </w:tc>
      </w:tr>
    </w:tbl>
    <w:p>
      <w:pPr>
        <w:snapToGrid w:val="0"/>
        <w:rPr>
          <w:rFonts w:ascii="Times New Roman" w:hAnsi="Times New Roman" w:cs="Times New Roman"/>
          <w:color w:val="000000"/>
          <w:sz w:val="10"/>
          <w:szCs w:val="10"/>
          <w:highlight w:val="none"/>
        </w:rPr>
      </w:pPr>
      <w:r>
        <w:rPr>
          <w:rFonts w:ascii="Times New Roman" w:hAnsi="Times New Roman" w:cs="Times New Roman"/>
          <w:color w:val="000000"/>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90"/>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仿宋_GB2312"/>
                <w:b/>
                <w:bCs/>
                <w:sz w:val="32"/>
                <w:szCs w:val="32"/>
                <w:highlight w:val="none"/>
              </w:rPr>
              <w:t>（四）固体废物污染防治类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683" w:type="dxa"/>
            <w:gridSpan w:val="2"/>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683" w:type="dxa"/>
            <w:gridSpan w:val="2"/>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贮存设施或者设备不符合环境保护、卫生要求的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违反条款</w:t>
            </w:r>
          </w:p>
        </w:tc>
        <w:tc>
          <w:tcPr>
            <w:tcW w:w="7683" w:type="dxa"/>
            <w:gridSpan w:val="2"/>
          </w:tcPr>
          <w:p>
            <w:pPr>
              <w:pStyle w:val="12"/>
              <w:snapToGrid w:val="0"/>
              <w:spacing w:before="93" w:beforeLines="30" w:beforeAutospacing="0" w:after="0" w:afterAutospacing="0" w:line="288" w:lineRule="auto"/>
              <w:ind w:firstLine="422" w:firstLineChars="200"/>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b/>
                <w:bCs/>
                <w:color w:val="000000"/>
                <w:sz w:val="21"/>
                <w:szCs w:val="21"/>
                <w:highlight w:val="none"/>
              </w:rPr>
              <w:t>《医疗废物管理条例》第二十四条</w:t>
            </w:r>
            <w:r>
              <w:rPr>
                <w:rFonts w:ascii="Times New Roman" w:hAnsi="Times New Roman" w:eastAsia="仿宋_GB2312" w:cs="Times New Roman"/>
                <w:b/>
                <w:bCs/>
                <w:color w:val="000000"/>
                <w:sz w:val="21"/>
                <w:szCs w:val="21"/>
                <w:highlight w:val="none"/>
              </w:rPr>
              <w:t xml:space="preserve"> </w:t>
            </w:r>
            <w:r>
              <w:rPr>
                <w:rFonts w:hint="eastAsia" w:ascii="Times New Roman" w:hAnsi="Times New Roman" w:eastAsia="仿宋_GB2312" w:cs="仿宋_GB2312"/>
                <w:color w:val="000000"/>
                <w:sz w:val="21"/>
                <w:szCs w:val="21"/>
                <w:highlight w:val="none"/>
              </w:rPr>
              <w:t>医疗废物集中处置单位的贮存、处置设施，应当远离居（村）民居住区、水源保护区和交通干道，与工厂、企业等工作场所有适当的安全防护距离，并符合国务院环境保护行政主管部门的规定。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处罚依据</w:t>
            </w:r>
          </w:p>
        </w:tc>
        <w:tc>
          <w:tcPr>
            <w:tcW w:w="7683" w:type="dxa"/>
            <w:gridSpan w:val="2"/>
          </w:tcPr>
          <w:p>
            <w:pPr>
              <w:pStyle w:val="12"/>
              <w:snapToGrid w:val="0"/>
              <w:spacing w:before="93" w:beforeLines="30" w:beforeAutospacing="0" w:after="0" w:afterAutospacing="0" w:line="288" w:lineRule="auto"/>
              <w:ind w:firstLine="482"/>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b/>
                <w:bCs/>
                <w:color w:val="000000"/>
                <w:sz w:val="21"/>
                <w:szCs w:val="21"/>
                <w:highlight w:val="none"/>
              </w:rPr>
              <w:t>《医疗废物管理条例》第四十六条第（一）项</w:t>
            </w:r>
            <w:r>
              <w:rPr>
                <w:rFonts w:ascii="Times New Roman" w:hAnsi="Times New Roman" w:eastAsia="仿宋_GB2312" w:cs="Times New Roman"/>
                <w:b/>
                <w:bCs/>
                <w:color w:val="000000"/>
                <w:sz w:val="21"/>
                <w:szCs w:val="21"/>
                <w:highlight w:val="none"/>
              </w:rPr>
              <w:t xml:space="preserve"> </w:t>
            </w:r>
            <w:r>
              <w:rPr>
                <w:rFonts w:hint="eastAsia" w:ascii="Times New Roman" w:hAnsi="Times New Roman" w:eastAsia="仿宋_GB2312" w:cs="仿宋_GB2312"/>
                <w:color w:val="000000"/>
                <w:sz w:val="21"/>
                <w:szCs w:val="21"/>
                <w:highlight w:val="none"/>
              </w:rPr>
              <w:t>医疗卫生机构、医疗废物集中处置单位违反本条例规定，有下列情形之一的，由县级以上地方人民政府卫生行政主管部门或者环境保护行政主管部门按照各自的职责责令限期改正，给予警告，可以并处</w:t>
            </w:r>
            <w:r>
              <w:rPr>
                <w:rFonts w:ascii="Times New Roman" w:hAnsi="Times New Roman" w:eastAsia="仿宋_GB2312" w:cs="Times New Roman"/>
                <w:color w:val="000000"/>
                <w:sz w:val="21"/>
                <w:szCs w:val="21"/>
                <w:highlight w:val="none"/>
              </w:rPr>
              <w:t>5000</w:t>
            </w:r>
            <w:r>
              <w:rPr>
                <w:rFonts w:hint="eastAsia" w:ascii="Times New Roman" w:hAnsi="Times New Roman" w:eastAsia="仿宋_GB2312" w:cs="仿宋_GB2312"/>
                <w:color w:val="000000"/>
                <w:sz w:val="21"/>
                <w:szCs w:val="21"/>
                <w:highlight w:val="none"/>
              </w:rPr>
              <w:t>元以下的罚款；逾期不改正的，处</w:t>
            </w:r>
            <w:r>
              <w:rPr>
                <w:rFonts w:ascii="Times New Roman" w:hAnsi="Times New Roman" w:eastAsia="仿宋_GB2312" w:cs="Times New Roman"/>
                <w:color w:val="000000"/>
                <w:sz w:val="21"/>
                <w:szCs w:val="21"/>
                <w:highlight w:val="none"/>
              </w:rPr>
              <w:t>5000</w:t>
            </w:r>
            <w:r>
              <w:rPr>
                <w:rFonts w:hint="eastAsia" w:ascii="Times New Roman" w:hAnsi="Times New Roman" w:eastAsia="仿宋_GB2312" w:cs="仿宋_GB2312"/>
                <w:color w:val="000000"/>
                <w:sz w:val="21"/>
                <w:szCs w:val="21"/>
                <w:highlight w:val="none"/>
              </w:rPr>
              <w:t>元以上</w:t>
            </w:r>
            <w:r>
              <w:rPr>
                <w:rFonts w:ascii="Times New Roman" w:hAnsi="Times New Roman" w:eastAsia="仿宋_GB2312" w:cs="Times New Roman"/>
                <w:color w:val="000000"/>
                <w:sz w:val="21"/>
                <w:szCs w:val="21"/>
                <w:highlight w:val="none"/>
              </w:rPr>
              <w:t>3</w:t>
            </w:r>
            <w:r>
              <w:rPr>
                <w:rFonts w:hint="eastAsia" w:ascii="Times New Roman" w:hAnsi="Times New Roman" w:eastAsia="仿宋_GB2312" w:cs="仿宋_GB2312"/>
                <w:color w:val="000000"/>
                <w:sz w:val="21"/>
                <w:szCs w:val="21"/>
                <w:highlight w:val="none"/>
              </w:rPr>
              <w:t>万元以下的罚款：</w:t>
            </w:r>
          </w:p>
          <w:p>
            <w:pPr>
              <w:pStyle w:val="12"/>
              <w:snapToGrid w:val="0"/>
              <w:spacing w:before="0" w:beforeAutospacing="0" w:after="0" w:afterAutospacing="0" w:line="288" w:lineRule="auto"/>
              <w:ind w:firstLine="482"/>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（一）贮存设施或者设备不符合环境保护、卫生要求的。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4990"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9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贮存设施或者设备贮存医疗废物数量</w:t>
            </w:r>
            <w:r>
              <w:rPr>
                <w:rFonts w:hint="eastAsia" w:ascii="Times New Roman" w:hAnsi="Times New Roman" w:cs="宋体"/>
                <w:b/>
                <w:bCs/>
                <w:highlight w:val="none"/>
              </w:rPr>
              <w:t>★</w:t>
            </w:r>
          </w:p>
        </w:tc>
        <w:tc>
          <w:tcPr>
            <w:tcW w:w="4990"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处置医疗废物</w:t>
            </w: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吨以下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Merge w:val="continue"/>
            <w:vAlign w:val="center"/>
          </w:tcPr>
          <w:p>
            <w:pPr>
              <w:snapToGrid w:val="0"/>
              <w:jc w:val="center"/>
              <w:rPr>
                <w:rFonts w:ascii="Times New Roman" w:hAnsi="Times New Roman" w:cs="Times New Roman"/>
                <w:color w:val="000000"/>
                <w:highlight w:val="none"/>
              </w:rPr>
            </w:pPr>
          </w:p>
        </w:tc>
        <w:tc>
          <w:tcPr>
            <w:tcW w:w="4990"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处置医疗废物</w:t>
            </w: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吨以上不足</w:t>
            </w:r>
            <w:r>
              <w:rPr>
                <w:rFonts w:ascii="Times New Roman" w:hAnsi="Times New Roman" w:eastAsia="仿宋_GB2312" w:cs="Times New Roman"/>
                <w:color w:val="000000"/>
                <w:sz w:val="21"/>
                <w:szCs w:val="21"/>
                <w:highlight w:val="none"/>
              </w:rPr>
              <w:t>3</w:t>
            </w:r>
            <w:r>
              <w:rPr>
                <w:rFonts w:hint="eastAsia" w:ascii="Times New Roman" w:hAnsi="Times New Roman" w:eastAsia="仿宋_GB2312" w:cs="仿宋_GB2312"/>
                <w:color w:val="000000"/>
                <w:sz w:val="21"/>
                <w:szCs w:val="21"/>
                <w:highlight w:val="none"/>
              </w:rPr>
              <w:t>吨</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Merge w:val="continue"/>
            <w:vAlign w:val="center"/>
          </w:tcPr>
          <w:p>
            <w:pPr>
              <w:snapToGrid w:val="0"/>
              <w:jc w:val="center"/>
              <w:rPr>
                <w:rFonts w:ascii="Times New Roman" w:hAnsi="Times New Roman" w:cs="Times New Roman"/>
                <w:color w:val="000000"/>
                <w:highlight w:val="none"/>
              </w:rPr>
            </w:pPr>
          </w:p>
        </w:tc>
        <w:tc>
          <w:tcPr>
            <w:tcW w:w="4990"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处置医疗废物</w:t>
            </w:r>
            <w:r>
              <w:rPr>
                <w:rFonts w:ascii="Times New Roman" w:hAnsi="Times New Roman" w:eastAsia="仿宋_GB2312" w:cs="Times New Roman"/>
                <w:color w:val="000000"/>
                <w:sz w:val="21"/>
                <w:szCs w:val="21"/>
                <w:highlight w:val="none"/>
              </w:rPr>
              <w:t>3</w:t>
            </w:r>
            <w:r>
              <w:rPr>
                <w:rFonts w:hint="eastAsia" w:ascii="Times New Roman" w:hAnsi="Times New Roman" w:eastAsia="仿宋_GB2312" w:cs="仿宋_GB2312"/>
                <w:color w:val="000000"/>
                <w:sz w:val="21"/>
                <w:szCs w:val="21"/>
                <w:highlight w:val="none"/>
              </w:rPr>
              <w:t>吨以上</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持续时间</w:t>
            </w:r>
          </w:p>
        </w:tc>
        <w:tc>
          <w:tcPr>
            <w:tcW w:w="4990"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个月以内</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Merge w:val="continue"/>
            <w:vAlign w:val="center"/>
          </w:tcPr>
          <w:p>
            <w:pPr>
              <w:snapToGrid w:val="0"/>
              <w:jc w:val="center"/>
              <w:rPr>
                <w:rFonts w:ascii="Times New Roman" w:hAnsi="Times New Roman" w:cs="Times New Roman"/>
                <w:color w:val="000000"/>
                <w:highlight w:val="none"/>
              </w:rPr>
            </w:pPr>
          </w:p>
        </w:tc>
        <w:tc>
          <w:tcPr>
            <w:tcW w:w="4990"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3</w:t>
            </w:r>
            <w:r>
              <w:rPr>
                <w:rFonts w:hint="eastAsia" w:ascii="Times New Roman" w:hAnsi="Times New Roman" w:eastAsia="仿宋_GB2312" w:cs="仿宋_GB2312"/>
                <w:color w:val="000000"/>
                <w:sz w:val="21"/>
                <w:szCs w:val="21"/>
                <w:highlight w:val="none"/>
              </w:rPr>
              <w:t>个月以上</w:t>
            </w:r>
            <w:r>
              <w:rPr>
                <w:rFonts w:ascii="Times New Roman" w:hAnsi="Times New Roman" w:eastAsia="仿宋_GB2312" w:cs="Times New Roman"/>
                <w:color w:val="000000"/>
                <w:sz w:val="21"/>
                <w:szCs w:val="21"/>
                <w:highlight w:val="none"/>
              </w:rPr>
              <w:t>6</w:t>
            </w:r>
            <w:r>
              <w:rPr>
                <w:rFonts w:hint="eastAsia" w:ascii="Times New Roman" w:hAnsi="Times New Roman" w:eastAsia="仿宋_GB2312" w:cs="仿宋_GB2312"/>
                <w:color w:val="000000"/>
                <w:sz w:val="21"/>
                <w:szCs w:val="21"/>
                <w:highlight w:val="none"/>
              </w:rPr>
              <w:t>个月以内</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Merge w:val="continue"/>
            <w:vAlign w:val="center"/>
          </w:tcPr>
          <w:p>
            <w:pPr>
              <w:snapToGrid w:val="0"/>
              <w:jc w:val="center"/>
              <w:rPr>
                <w:rFonts w:ascii="Times New Roman" w:hAnsi="Times New Roman" w:cs="Times New Roman"/>
                <w:color w:val="000000"/>
                <w:highlight w:val="none"/>
              </w:rPr>
            </w:pPr>
          </w:p>
        </w:tc>
        <w:tc>
          <w:tcPr>
            <w:tcW w:w="4990"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6</w:t>
            </w:r>
            <w:r>
              <w:rPr>
                <w:rFonts w:hint="eastAsia" w:ascii="Times New Roman" w:hAnsi="Times New Roman" w:eastAsia="仿宋_GB2312" w:cs="仿宋_GB2312"/>
                <w:color w:val="000000"/>
                <w:sz w:val="21"/>
                <w:szCs w:val="21"/>
                <w:highlight w:val="none"/>
              </w:rPr>
              <w:t>个月以上</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超过限期</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改正时间（仅适用于</w:t>
            </w:r>
            <w:r>
              <w:rPr>
                <w:rFonts w:ascii="Times New Roman" w:hAnsi="Times New Roman" w:cs="宋体"/>
                <w:b/>
                <w:bCs/>
                <w:color w:val="000000"/>
                <w:highlight w:val="none"/>
              </w:rPr>
              <w:t>逾期不改正情形</w:t>
            </w:r>
            <w:r>
              <w:rPr>
                <w:rFonts w:hint="eastAsia" w:ascii="Times New Roman" w:hAnsi="Times New Roman" w:cs="宋体"/>
                <w:b/>
                <w:bCs/>
                <w:color w:val="000000"/>
                <w:highlight w:val="none"/>
              </w:rPr>
              <w:t>）</w:t>
            </w:r>
          </w:p>
        </w:tc>
        <w:tc>
          <w:tcPr>
            <w:tcW w:w="4990"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526" w:type="dxa"/>
            <w:vMerge w:val="continue"/>
            <w:vAlign w:val="center"/>
          </w:tcPr>
          <w:p>
            <w:pPr>
              <w:snapToGrid w:val="0"/>
              <w:jc w:val="center"/>
              <w:rPr>
                <w:rFonts w:ascii="Times New Roman" w:hAnsi="Times New Roman" w:cs="Times New Roman"/>
                <w:color w:val="000000"/>
                <w:highlight w:val="none"/>
              </w:rPr>
            </w:pPr>
          </w:p>
        </w:tc>
        <w:tc>
          <w:tcPr>
            <w:tcW w:w="4990"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w:t>
            </w:r>
            <w:r>
              <w:rPr>
                <w:rFonts w:hint="eastAsia" w:ascii="Times New Roman" w:hAnsi="Times New Roman" w:eastAsia="仿宋_GB2312" w:cs="仿宋_GB2312"/>
                <w:color w:val="000000"/>
                <w:sz w:val="21"/>
                <w:szCs w:val="21"/>
                <w:highlight w:val="none"/>
              </w:rPr>
              <w:t>天以上不足</w:t>
            </w: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天</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Merge w:val="continue"/>
            <w:vAlign w:val="center"/>
          </w:tcPr>
          <w:p>
            <w:pPr>
              <w:snapToGrid w:val="0"/>
              <w:jc w:val="center"/>
              <w:rPr>
                <w:rFonts w:ascii="Times New Roman" w:hAnsi="Times New Roman" w:cs="Times New Roman"/>
                <w:color w:val="000000"/>
                <w:highlight w:val="none"/>
              </w:rPr>
            </w:pPr>
          </w:p>
        </w:tc>
        <w:tc>
          <w:tcPr>
            <w:tcW w:w="4990"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天以上不足</w:t>
            </w:r>
            <w:r>
              <w:rPr>
                <w:rFonts w:ascii="Times New Roman" w:hAnsi="Times New Roman" w:eastAsia="仿宋_GB2312" w:cs="Times New Roman"/>
                <w:color w:val="000000"/>
                <w:sz w:val="21"/>
                <w:szCs w:val="21"/>
                <w:highlight w:val="none"/>
              </w:rPr>
              <w:t>20</w:t>
            </w:r>
            <w:r>
              <w:rPr>
                <w:rFonts w:hint="eastAsia" w:ascii="Times New Roman" w:hAnsi="Times New Roman" w:eastAsia="仿宋_GB2312" w:cs="仿宋_GB2312"/>
                <w:color w:val="000000"/>
                <w:sz w:val="21"/>
                <w:szCs w:val="21"/>
                <w:highlight w:val="none"/>
              </w:rPr>
              <w:t>天</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Merge w:val="continue"/>
            <w:vAlign w:val="center"/>
          </w:tcPr>
          <w:p>
            <w:pPr>
              <w:snapToGrid w:val="0"/>
              <w:jc w:val="center"/>
              <w:rPr>
                <w:rFonts w:ascii="Times New Roman" w:hAnsi="Times New Roman" w:cs="Times New Roman"/>
                <w:color w:val="000000"/>
                <w:highlight w:val="none"/>
              </w:rPr>
            </w:pPr>
          </w:p>
        </w:tc>
        <w:tc>
          <w:tcPr>
            <w:tcW w:w="4990"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20</w:t>
            </w:r>
            <w:r>
              <w:rPr>
                <w:rFonts w:hint="eastAsia" w:ascii="Times New Roman" w:hAnsi="Times New Roman" w:eastAsia="仿宋_GB2312" w:cs="仿宋_GB2312"/>
                <w:color w:val="000000"/>
                <w:sz w:val="21"/>
                <w:szCs w:val="21"/>
                <w:highlight w:val="none"/>
              </w:rPr>
              <w:t>天以上不足</w:t>
            </w: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个月</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Merge w:val="continue"/>
            <w:vAlign w:val="center"/>
          </w:tcPr>
          <w:p>
            <w:pPr>
              <w:snapToGrid w:val="0"/>
              <w:jc w:val="center"/>
              <w:rPr>
                <w:rFonts w:ascii="Times New Roman" w:hAnsi="Times New Roman" w:cs="Times New Roman"/>
                <w:color w:val="000000"/>
                <w:highlight w:val="none"/>
              </w:rPr>
            </w:pPr>
          </w:p>
        </w:tc>
        <w:tc>
          <w:tcPr>
            <w:tcW w:w="4990"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个月以上</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683" w:type="dxa"/>
            <w:gridSpan w:val="2"/>
            <w:vAlign w:val="center"/>
          </w:tcPr>
          <w:p>
            <w:pPr>
              <w:snapToGrid w:val="0"/>
              <w:ind w:firstLine="420"/>
              <w:jc w:val="center"/>
              <w:rPr>
                <w:rFonts w:ascii="Times New Roman" w:hAnsi="Times New Roman" w:cs="Times New Roman"/>
                <w:color w:val="000000"/>
                <w:highlight w:val="none"/>
              </w:rPr>
            </w:pPr>
          </w:p>
        </w:tc>
      </w:tr>
    </w:tbl>
    <w:p>
      <w:pPr>
        <w:snapToGrid w:val="0"/>
        <w:rPr>
          <w:rFonts w:ascii="Times New Roman" w:hAnsi="Times New Roman" w:cs="Times New Roman"/>
          <w:color w:val="000000"/>
          <w:sz w:val="10"/>
          <w:szCs w:val="10"/>
          <w:highlight w:val="none"/>
        </w:rPr>
      </w:pPr>
      <w:r>
        <w:rPr>
          <w:rFonts w:ascii="Times New Roman" w:hAnsi="Times New Roman" w:cs="Times New Roman"/>
          <w:color w:val="000000"/>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5103"/>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仿宋_GB2312"/>
                <w:b/>
                <w:bCs/>
                <w:sz w:val="32"/>
                <w:szCs w:val="32"/>
                <w:highlight w:val="none"/>
              </w:rPr>
              <w:t>（四）固体废物污染防治类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4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796" w:type="dxa"/>
            <w:gridSpan w:val="2"/>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796" w:type="dxa"/>
            <w:gridSpan w:val="2"/>
          </w:tcPr>
          <w:p>
            <w:pPr>
              <w:snapToGrid w:val="0"/>
              <w:spacing w:before="93" w:beforeLines="30"/>
              <w:ind w:firstLine="420" w:firstLineChars="200"/>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未使用符合标准的专用车辆运送医疗废物或者使用运送医疗废物的车辆运送其他物品的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413"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违反条款</w:t>
            </w:r>
          </w:p>
        </w:tc>
        <w:tc>
          <w:tcPr>
            <w:tcW w:w="7796" w:type="dxa"/>
            <w:gridSpan w:val="2"/>
          </w:tcPr>
          <w:p>
            <w:pPr>
              <w:pStyle w:val="12"/>
              <w:snapToGrid w:val="0"/>
              <w:spacing w:before="93" w:beforeLines="30" w:beforeAutospacing="0" w:after="0" w:afterAutospacing="0"/>
              <w:ind w:firstLine="482"/>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b/>
                <w:bCs/>
                <w:color w:val="000000"/>
                <w:sz w:val="21"/>
                <w:szCs w:val="21"/>
                <w:highlight w:val="none"/>
              </w:rPr>
              <w:t>《医疗废物管理条例》第二十六条</w:t>
            </w:r>
            <w:r>
              <w:rPr>
                <w:rFonts w:ascii="Times New Roman" w:hAnsi="Times New Roman" w:eastAsia="仿宋_GB2312" w:cs="Times New Roman"/>
                <w:b/>
                <w:bCs/>
                <w:color w:val="000000"/>
                <w:sz w:val="21"/>
                <w:szCs w:val="21"/>
                <w:highlight w:val="none"/>
              </w:rPr>
              <w:t xml:space="preserve"> </w:t>
            </w:r>
            <w:r>
              <w:rPr>
                <w:rFonts w:hint="eastAsia" w:ascii="Times New Roman" w:hAnsi="Times New Roman" w:eastAsia="仿宋_GB2312" w:cs="仿宋_GB2312"/>
                <w:color w:val="000000"/>
                <w:sz w:val="21"/>
                <w:szCs w:val="21"/>
                <w:highlight w:val="none"/>
              </w:rPr>
              <w:t>医疗废物集中处置单位运送医疗废物，应当遵守国家有关危险货物运输管理的规定，使用有明显医疗废物标识的专用车辆。医疗废物专用车辆应当达到防渗漏、防遗撒以及其他环境保护和卫生要求。</w:t>
            </w:r>
          </w:p>
          <w:p>
            <w:pPr>
              <w:pStyle w:val="12"/>
              <w:snapToGrid w:val="0"/>
              <w:spacing w:before="0" w:beforeAutospacing="0" w:after="0" w:afterAutospacing="0"/>
              <w:ind w:firstLine="480"/>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运送医疗废物的专用车辆使用后，应当在医疗废物集中处置场所内及时进行消毒和清洁。</w:t>
            </w:r>
          </w:p>
          <w:p>
            <w:pPr>
              <w:pStyle w:val="12"/>
              <w:snapToGrid w:val="0"/>
              <w:spacing w:before="0" w:beforeAutospacing="0" w:after="0" w:afterAutospacing="0"/>
              <w:ind w:firstLine="420" w:firstLineChars="200"/>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运送医疗废物的专用车辆不得运送其他物品。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处罚依据</w:t>
            </w:r>
          </w:p>
        </w:tc>
        <w:tc>
          <w:tcPr>
            <w:tcW w:w="7796" w:type="dxa"/>
            <w:gridSpan w:val="2"/>
          </w:tcPr>
          <w:p>
            <w:pPr>
              <w:pStyle w:val="12"/>
              <w:snapToGrid w:val="0"/>
              <w:spacing w:before="93" w:beforeLines="30" w:beforeAutospacing="0" w:after="0" w:afterAutospacing="0"/>
              <w:ind w:firstLine="482"/>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b/>
                <w:bCs/>
                <w:color w:val="000000"/>
                <w:sz w:val="21"/>
                <w:szCs w:val="21"/>
                <w:highlight w:val="none"/>
              </w:rPr>
              <w:t>《医疗废物管理条例》第四十六条第（三）项</w:t>
            </w:r>
            <w:r>
              <w:rPr>
                <w:rFonts w:ascii="Times New Roman" w:hAnsi="Times New Roman" w:eastAsia="仿宋_GB2312" w:cs="Times New Roman"/>
                <w:b/>
                <w:bCs/>
                <w:color w:val="000000"/>
                <w:sz w:val="21"/>
                <w:szCs w:val="21"/>
                <w:highlight w:val="none"/>
              </w:rPr>
              <w:t xml:space="preserve"> </w:t>
            </w:r>
            <w:r>
              <w:rPr>
                <w:rFonts w:hint="eastAsia" w:ascii="Times New Roman" w:hAnsi="Times New Roman" w:eastAsia="仿宋_GB2312" w:cs="仿宋_GB2312"/>
                <w:color w:val="000000"/>
                <w:sz w:val="21"/>
                <w:szCs w:val="21"/>
                <w:highlight w:val="none"/>
              </w:rPr>
              <w:t>医疗卫生机构、医疗废物集中处置单位违反本条例规定，有下列情形之一的，由县级以上地方人民政府卫生行政主管部门或者环境保护行政主管部门按照各自的职责责令限期改正，给予警告，可以并处</w:t>
            </w:r>
            <w:r>
              <w:rPr>
                <w:rFonts w:ascii="Times New Roman" w:hAnsi="Times New Roman" w:eastAsia="仿宋_GB2312" w:cs="Times New Roman"/>
                <w:color w:val="000000"/>
                <w:sz w:val="21"/>
                <w:szCs w:val="21"/>
                <w:highlight w:val="none"/>
              </w:rPr>
              <w:t>5000</w:t>
            </w:r>
            <w:r>
              <w:rPr>
                <w:rFonts w:hint="eastAsia" w:ascii="Times New Roman" w:hAnsi="Times New Roman" w:eastAsia="仿宋_GB2312" w:cs="仿宋_GB2312"/>
                <w:color w:val="000000"/>
                <w:sz w:val="21"/>
                <w:szCs w:val="21"/>
                <w:highlight w:val="none"/>
              </w:rPr>
              <w:t>元以下的罚款；逾期不改正的，处</w:t>
            </w:r>
            <w:r>
              <w:rPr>
                <w:rFonts w:ascii="Times New Roman" w:hAnsi="Times New Roman" w:eastAsia="仿宋_GB2312" w:cs="Times New Roman"/>
                <w:color w:val="000000"/>
                <w:sz w:val="21"/>
                <w:szCs w:val="21"/>
                <w:highlight w:val="none"/>
              </w:rPr>
              <w:t>5000</w:t>
            </w:r>
            <w:r>
              <w:rPr>
                <w:rFonts w:hint="eastAsia" w:ascii="Times New Roman" w:hAnsi="Times New Roman" w:eastAsia="仿宋_GB2312" w:cs="仿宋_GB2312"/>
                <w:color w:val="000000"/>
                <w:sz w:val="21"/>
                <w:szCs w:val="21"/>
                <w:highlight w:val="none"/>
              </w:rPr>
              <w:t>元以上</w:t>
            </w:r>
            <w:r>
              <w:rPr>
                <w:rFonts w:ascii="Times New Roman" w:hAnsi="Times New Roman" w:eastAsia="仿宋_GB2312" w:cs="Times New Roman"/>
                <w:color w:val="000000"/>
                <w:sz w:val="21"/>
                <w:szCs w:val="21"/>
                <w:highlight w:val="none"/>
              </w:rPr>
              <w:t>3</w:t>
            </w:r>
            <w:r>
              <w:rPr>
                <w:rFonts w:hint="eastAsia" w:ascii="Times New Roman" w:hAnsi="Times New Roman" w:eastAsia="仿宋_GB2312" w:cs="仿宋_GB2312"/>
                <w:color w:val="000000"/>
                <w:sz w:val="21"/>
                <w:szCs w:val="21"/>
                <w:highlight w:val="none"/>
              </w:rPr>
              <w:t>万元以下的罚款：</w:t>
            </w:r>
          </w:p>
          <w:p>
            <w:pPr>
              <w:pStyle w:val="12"/>
              <w:snapToGrid w:val="0"/>
              <w:spacing w:before="0" w:beforeAutospacing="0" w:after="0" w:afterAutospacing="0"/>
              <w:ind w:firstLine="480"/>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（三）未使用符合标准的专用车辆运送医疗废物或者使用运送医疗废物的车辆运送其他物品的。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10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9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r>
              <w:rPr>
                <w:rFonts w:hint="eastAsia" w:ascii="Times New Roman" w:hAnsi="Times New Roman" w:cs="宋体"/>
                <w:b/>
                <w:bCs/>
                <w:highlight w:val="none"/>
              </w:rPr>
              <w:t>★</w:t>
            </w: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专用车辆达到防渗漏、防遗撒以及其他环境保护和卫生要求，但未有明显医疗废物标识的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413" w:type="dxa"/>
            <w:vMerge w:val="continue"/>
            <w:vAlign w:val="center"/>
          </w:tcPr>
          <w:p>
            <w:pPr>
              <w:snapToGrid w:val="0"/>
              <w:jc w:val="center"/>
              <w:rPr>
                <w:rFonts w:ascii="Times New Roman" w:hAnsi="Times New Roman" w:cs="Times New Roman"/>
                <w:b/>
                <w:bCs/>
                <w:color w:val="000000"/>
                <w:highlight w:val="none"/>
              </w:rPr>
            </w:pP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专用车辆运送其他物品的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b/>
                <w:bCs/>
                <w:color w:val="000000"/>
                <w:highlight w:val="none"/>
              </w:rPr>
            </w:pP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专用车辆未达到防渗漏、防遗撒以及其他环境保护和卫生要求的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处置医疗废物或者其他物品数量</w:t>
            </w: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处置医疗废物</w:t>
            </w: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吨以下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处置医疗废物</w:t>
            </w: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吨以上不足</w:t>
            </w:r>
            <w:r>
              <w:rPr>
                <w:rFonts w:ascii="Times New Roman" w:hAnsi="Times New Roman" w:eastAsia="仿宋_GB2312" w:cs="Times New Roman"/>
                <w:color w:val="000000"/>
                <w:sz w:val="21"/>
                <w:szCs w:val="21"/>
                <w:highlight w:val="none"/>
              </w:rPr>
              <w:t>3</w:t>
            </w:r>
            <w:r>
              <w:rPr>
                <w:rFonts w:hint="eastAsia" w:ascii="Times New Roman" w:hAnsi="Times New Roman" w:eastAsia="仿宋_GB2312" w:cs="仿宋_GB2312"/>
                <w:color w:val="000000"/>
                <w:sz w:val="21"/>
                <w:szCs w:val="21"/>
                <w:highlight w:val="none"/>
              </w:rPr>
              <w:t>吨</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处置医疗废物</w:t>
            </w:r>
            <w:r>
              <w:rPr>
                <w:rFonts w:ascii="Times New Roman" w:hAnsi="Times New Roman" w:eastAsia="仿宋_GB2312" w:cs="Times New Roman"/>
                <w:color w:val="000000"/>
                <w:sz w:val="21"/>
                <w:szCs w:val="21"/>
                <w:highlight w:val="none"/>
              </w:rPr>
              <w:t>3</w:t>
            </w:r>
            <w:r>
              <w:rPr>
                <w:rFonts w:hint="eastAsia" w:ascii="Times New Roman" w:hAnsi="Times New Roman" w:eastAsia="仿宋_GB2312" w:cs="仿宋_GB2312"/>
                <w:color w:val="000000"/>
                <w:sz w:val="21"/>
                <w:szCs w:val="21"/>
                <w:highlight w:val="none"/>
              </w:rPr>
              <w:t>吨以上</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超过限期</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改正时间（仅适用于</w:t>
            </w:r>
            <w:r>
              <w:rPr>
                <w:rFonts w:ascii="Times New Roman" w:hAnsi="Times New Roman" w:cs="宋体"/>
                <w:b/>
                <w:bCs/>
                <w:color w:val="000000"/>
                <w:highlight w:val="none"/>
              </w:rPr>
              <w:t>逾期不改正情形</w:t>
            </w:r>
            <w:r>
              <w:rPr>
                <w:rFonts w:hint="eastAsia" w:ascii="Times New Roman" w:hAnsi="Times New Roman" w:cs="宋体"/>
                <w:b/>
                <w:bCs/>
                <w:color w:val="000000"/>
                <w:highlight w:val="none"/>
              </w:rPr>
              <w:t>）</w:t>
            </w:r>
          </w:p>
        </w:tc>
        <w:tc>
          <w:tcPr>
            <w:tcW w:w="510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w:t>
            </w:r>
            <w:r>
              <w:rPr>
                <w:rFonts w:hint="eastAsia" w:ascii="Times New Roman" w:hAnsi="Times New Roman" w:eastAsia="仿宋_GB2312" w:cs="仿宋_GB2312"/>
                <w:color w:val="000000"/>
                <w:sz w:val="21"/>
                <w:szCs w:val="21"/>
                <w:highlight w:val="none"/>
              </w:rPr>
              <w:t>天以上不足</w:t>
            </w: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天</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天以上不足</w:t>
            </w:r>
            <w:r>
              <w:rPr>
                <w:rFonts w:ascii="Times New Roman" w:hAnsi="Times New Roman" w:eastAsia="仿宋_GB2312" w:cs="Times New Roman"/>
                <w:color w:val="000000"/>
                <w:sz w:val="21"/>
                <w:szCs w:val="21"/>
                <w:highlight w:val="none"/>
              </w:rPr>
              <w:t>20</w:t>
            </w:r>
            <w:r>
              <w:rPr>
                <w:rFonts w:hint="eastAsia" w:ascii="Times New Roman" w:hAnsi="Times New Roman" w:eastAsia="仿宋_GB2312" w:cs="仿宋_GB2312"/>
                <w:color w:val="000000"/>
                <w:sz w:val="21"/>
                <w:szCs w:val="21"/>
                <w:highlight w:val="none"/>
              </w:rPr>
              <w:t>天</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20</w:t>
            </w:r>
            <w:r>
              <w:rPr>
                <w:rFonts w:hint="eastAsia" w:ascii="Times New Roman" w:hAnsi="Times New Roman" w:eastAsia="仿宋_GB2312" w:cs="仿宋_GB2312"/>
                <w:color w:val="000000"/>
                <w:sz w:val="21"/>
                <w:szCs w:val="21"/>
                <w:highlight w:val="none"/>
              </w:rPr>
              <w:t>天以上不足</w:t>
            </w: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个月</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个月以上</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4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796" w:type="dxa"/>
            <w:gridSpan w:val="2"/>
            <w:vAlign w:val="center"/>
          </w:tcPr>
          <w:p>
            <w:pPr>
              <w:snapToGrid w:val="0"/>
              <w:ind w:firstLine="420"/>
              <w:jc w:val="center"/>
              <w:rPr>
                <w:rFonts w:ascii="Times New Roman" w:hAnsi="Times New Roman" w:cs="Times New Roman"/>
                <w:color w:val="000000"/>
                <w:highlight w:val="none"/>
              </w:rPr>
            </w:pPr>
          </w:p>
        </w:tc>
      </w:tr>
    </w:tbl>
    <w:p>
      <w:pPr>
        <w:snapToGrid w:val="0"/>
        <w:rPr>
          <w:rFonts w:ascii="Times New Roman" w:hAnsi="Times New Roman" w:cs="Times New Roman"/>
          <w:color w:val="000000"/>
          <w:sz w:val="10"/>
          <w:szCs w:val="10"/>
          <w:highlight w:val="none"/>
        </w:rPr>
      </w:pPr>
      <w:r>
        <w:rPr>
          <w:rFonts w:ascii="Times New Roman" w:hAnsi="Times New Roman" w:cs="Times New Roman"/>
          <w:color w:val="000000"/>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5103"/>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仿宋_GB2312"/>
                <w:b/>
                <w:bCs/>
                <w:sz w:val="32"/>
                <w:szCs w:val="32"/>
                <w:highlight w:val="none"/>
              </w:rPr>
              <w:t>（四）固体废物污染防治类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796" w:type="dxa"/>
            <w:gridSpan w:val="2"/>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796" w:type="dxa"/>
            <w:gridSpan w:val="2"/>
            <w:vAlign w:val="center"/>
          </w:tcPr>
          <w:p>
            <w:pPr>
              <w:snapToGrid w:val="0"/>
              <w:ind w:firstLine="420" w:firstLineChars="20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未安装污染物排放在线监控装置或者监控装置未经常处于正常运行状态的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违反条款</w:t>
            </w:r>
          </w:p>
        </w:tc>
        <w:tc>
          <w:tcPr>
            <w:tcW w:w="7796" w:type="dxa"/>
            <w:gridSpan w:val="2"/>
          </w:tcPr>
          <w:p>
            <w:pPr>
              <w:pStyle w:val="12"/>
              <w:snapToGrid w:val="0"/>
              <w:spacing w:before="93" w:beforeLines="30" w:beforeAutospacing="0" w:after="0" w:afterAutospacing="0" w:line="288" w:lineRule="auto"/>
              <w:ind w:firstLine="422" w:firstLineChars="200"/>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b/>
                <w:bCs/>
                <w:color w:val="000000"/>
                <w:sz w:val="21"/>
                <w:szCs w:val="21"/>
                <w:highlight w:val="none"/>
              </w:rPr>
              <w:t>《医疗废物管理条例》第二十八条</w:t>
            </w:r>
            <w:r>
              <w:rPr>
                <w:rFonts w:ascii="Times New Roman" w:hAnsi="Times New Roman" w:eastAsia="仿宋_GB2312" w:cs="Times New Roman"/>
                <w:b/>
                <w:bCs/>
                <w:color w:val="000000"/>
                <w:sz w:val="21"/>
                <w:szCs w:val="21"/>
                <w:highlight w:val="none"/>
              </w:rPr>
              <w:t xml:space="preserve"> </w:t>
            </w:r>
            <w:r>
              <w:rPr>
                <w:rFonts w:hint="eastAsia" w:ascii="Times New Roman" w:hAnsi="Times New Roman" w:eastAsia="仿宋_GB2312" w:cs="仿宋_GB2312"/>
                <w:color w:val="000000"/>
                <w:sz w:val="21"/>
                <w:szCs w:val="21"/>
                <w:highlight w:val="none"/>
              </w:rPr>
              <w:t>医疗废物集中处置单位应当安装污染物排放在线监控装置，并确保监控装置经常处于正常运行状态。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处罚依据</w:t>
            </w:r>
          </w:p>
        </w:tc>
        <w:tc>
          <w:tcPr>
            <w:tcW w:w="7796" w:type="dxa"/>
            <w:gridSpan w:val="2"/>
          </w:tcPr>
          <w:p>
            <w:pPr>
              <w:pStyle w:val="12"/>
              <w:snapToGrid w:val="0"/>
              <w:spacing w:before="93" w:beforeLines="30" w:beforeAutospacing="0" w:after="0" w:afterAutospacing="0" w:line="288" w:lineRule="auto"/>
              <w:ind w:firstLine="482"/>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b/>
                <w:bCs/>
                <w:color w:val="000000"/>
                <w:sz w:val="21"/>
                <w:szCs w:val="21"/>
                <w:highlight w:val="none"/>
              </w:rPr>
              <w:t>《医疗废物管理条例》第四十六条第（四）项</w:t>
            </w:r>
            <w:r>
              <w:rPr>
                <w:rFonts w:ascii="Times New Roman" w:hAnsi="Times New Roman" w:eastAsia="仿宋_GB2312" w:cs="Times New Roman"/>
                <w:b/>
                <w:bCs/>
                <w:color w:val="000000"/>
                <w:sz w:val="21"/>
                <w:szCs w:val="21"/>
                <w:highlight w:val="none"/>
              </w:rPr>
              <w:t xml:space="preserve"> </w:t>
            </w:r>
            <w:r>
              <w:rPr>
                <w:rFonts w:hint="eastAsia" w:ascii="Times New Roman" w:hAnsi="Times New Roman" w:eastAsia="仿宋_GB2312" w:cs="仿宋_GB2312"/>
                <w:color w:val="000000"/>
                <w:sz w:val="21"/>
                <w:szCs w:val="21"/>
                <w:highlight w:val="none"/>
              </w:rPr>
              <w:t>医疗卫生机构、医疗废物集中处置单位违反本条例规定，有下列情形之一的，由县级以上地方人民政府卫生行政主管部门或者环境保护行政主管部门按照各自的职责责令限期改正，给予警告，可以并处</w:t>
            </w:r>
            <w:r>
              <w:rPr>
                <w:rFonts w:ascii="Times New Roman" w:hAnsi="Times New Roman" w:eastAsia="仿宋_GB2312" w:cs="Times New Roman"/>
                <w:color w:val="000000"/>
                <w:sz w:val="21"/>
                <w:szCs w:val="21"/>
                <w:highlight w:val="none"/>
              </w:rPr>
              <w:t>5000</w:t>
            </w:r>
            <w:r>
              <w:rPr>
                <w:rFonts w:hint="eastAsia" w:ascii="Times New Roman" w:hAnsi="Times New Roman" w:eastAsia="仿宋_GB2312" w:cs="仿宋_GB2312"/>
                <w:color w:val="000000"/>
                <w:sz w:val="21"/>
                <w:szCs w:val="21"/>
                <w:highlight w:val="none"/>
              </w:rPr>
              <w:t>元以下的罚款；逾期不改正的，处</w:t>
            </w:r>
            <w:r>
              <w:rPr>
                <w:rFonts w:ascii="Times New Roman" w:hAnsi="Times New Roman" w:eastAsia="仿宋_GB2312" w:cs="Times New Roman"/>
                <w:color w:val="000000"/>
                <w:sz w:val="21"/>
                <w:szCs w:val="21"/>
                <w:highlight w:val="none"/>
              </w:rPr>
              <w:t>5000</w:t>
            </w:r>
            <w:r>
              <w:rPr>
                <w:rFonts w:hint="eastAsia" w:ascii="Times New Roman" w:hAnsi="Times New Roman" w:eastAsia="仿宋_GB2312" w:cs="仿宋_GB2312"/>
                <w:color w:val="000000"/>
                <w:sz w:val="21"/>
                <w:szCs w:val="21"/>
                <w:highlight w:val="none"/>
              </w:rPr>
              <w:t>元以上</w:t>
            </w:r>
            <w:r>
              <w:rPr>
                <w:rFonts w:ascii="Times New Roman" w:hAnsi="Times New Roman" w:eastAsia="仿宋_GB2312" w:cs="Times New Roman"/>
                <w:color w:val="000000"/>
                <w:sz w:val="21"/>
                <w:szCs w:val="21"/>
                <w:highlight w:val="none"/>
              </w:rPr>
              <w:t>3</w:t>
            </w:r>
            <w:r>
              <w:rPr>
                <w:rFonts w:hint="eastAsia" w:ascii="Times New Roman" w:hAnsi="Times New Roman" w:eastAsia="仿宋_GB2312" w:cs="仿宋_GB2312"/>
                <w:color w:val="000000"/>
                <w:sz w:val="21"/>
                <w:szCs w:val="21"/>
                <w:highlight w:val="none"/>
              </w:rPr>
              <w:t>万元以下的罚款：</w:t>
            </w:r>
          </w:p>
          <w:p>
            <w:pPr>
              <w:pStyle w:val="12"/>
              <w:snapToGrid w:val="0"/>
              <w:spacing w:before="0" w:beforeAutospacing="0" w:after="0" w:afterAutospacing="0" w:line="288" w:lineRule="auto"/>
              <w:ind w:firstLine="480"/>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（四）未安装污染物排放在线监控装置或者监控装置未经常处于正常运行状态的。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10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9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监控装置由于突发情况未处于正常运行状态</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监控装置经常未处于正常运行状态</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未安装污染物排放在线监控装置</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持续时间</w:t>
            </w:r>
          </w:p>
        </w:tc>
        <w:tc>
          <w:tcPr>
            <w:tcW w:w="510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个月以内或</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次以下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3</w:t>
            </w:r>
            <w:r>
              <w:rPr>
                <w:rFonts w:hint="eastAsia" w:ascii="Times New Roman" w:hAnsi="Times New Roman" w:eastAsia="仿宋_GB2312" w:cs="仿宋_GB2312"/>
                <w:color w:val="000000"/>
                <w:sz w:val="21"/>
                <w:szCs w:val="21"/>
                <w:highlight w:val="none"/>
              </w:rPr>
              <w:t>个月以上</w:t>
            </w:r>
            <w:r>
              <w:rPr>
                <w:rFonts w:ascii="Times New Roman" w:hAnsi="Times New Roman" w:eastAsia="仿宋_GB2312" w:cs="Times New Roman"/>
                <w:color w:val="000000"/>
                <w:sz w:val="21"/>
                <w:szCs w:val="21"/>
                <w:highlight w:val="none"/>
              </w:rPr>
              <w:t>6</w:t>
            </w:r>
            <w:r>
              <w:rPr>
                <w:rFonts w:hint="eastAsia" w:ascii="Times New Roman" w:hAnsi="Times New Roman" w:eastAsia="仿宋_GB2312" w:cs="仿宋_GB2312"/>
                <w:color w:val="000000"/>
                <w:sz w:val="21"/>
                <w:szCs w:val="21"/>
                <w:highlight w:val="none"/>
              </w:rPr>
              <w:t>个月以内或</w:t>
            </w:r>
            <w:r>
              <w:rPr>
                <w:rFonts w:ascii="Times New Roman" w:hAnsi="Times New Roman" w:eastAsia="仿宋_GB2312" w:cs="Times New Roman"/>
                <w:color w:val="000000"/>
                <w:sz w:val="21"/>
                <w:szCs w:val="21"/>
                <w:highlight w:val="none"/>
              </w:rPr>
              <w:t>2</w:t>
            </w:r>
            <w:r>
              <w:rPr>
                <w:rFonts w:hint="eastAsia" w:ascii="Times New Roman" w:hAnsi="Times New Roman" w:eastAsia="仿宋_GB2312" w:cs="仿宋_GB2312"/>
                <w:color w:val="000000"/>
                <w:sz w:val="21"/>
                <w:szCs w:val="21"/>
                <w:highlight w:val="none"/>
              </w:rPr>
              <w:t>次</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6</w:t>
            </w:r>
            <w:r>
              <w:rPr>
                <w:rFonts w:hint="eastAsia" w:ascii="Times New Roman" w:hAnsi="Times New Roman" w:eastAsia="仿宋_GB2312" w:cs="仿宋_GB2312"/>
                <w:color w:val="000000"/>
                <w:sz w:val="21"/>
                <w:szCs w:val="21"/>
                <w:highlight w:val="none"/>
              </w:rPr>
              <w:t>个月以上或</w:t>
            </w:r>
            <w:r>
              <w:rPr>
                <w:rFonts w:ascii="Times New Roman" w:hAnsi="Times New Roman" w:eastAsia="仿宋_GB2312" w:cs="Times New Roman"/>
                <w:color w:val="000000"/>
                <w:sz w:val="21"/>
                <w:szCs w:val="21"/>
                <w:highlight w:val="none"/>
              </w:rPr>
              <w:t>3</w:t>
            </w:r>
            <w:r>
              <w:rPr>
                <w:rFonts w:hint="eastAsia" w:ascii="Times New Roman" w:hAnsi="Times New Roman" w:eastAsia="仿宋_GB2312" w:cs="仿宋_GB2312"/>
                <w:color w:val="000000"/>
                <w:sz w:val="21"/>
                <w:szCs w:val="21"/>
                <w:highlight w:val="none"/>
              </w:rPr>
              <w:t>次以上</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超过限期</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改正时间（仅适用于</w:t>
            </w:r>
            <w:r>
              <w:rPr>
                <w:rFonts w:ascii="Times New Roman" w:hAnsi="Times New Roman" w:cs="宋体"/>
                <w:b/>
                <w:bCs/>
                <w:color w:val="000000"/>
                <w:highlight w:val="none"/>
              </w:rPr>
              <w:t>逾期不改正情形</w:t>
            </w:r>
            <w:r>
              <w:rPr>
                <w:rFonts w:hint="eastAsia" w:ascii="Times New Roman" w:hAnsi="Times New Roman" w:cs="宋体"/>
                <w:b/>
                <w:bCs/>
                <w:color w:val="000000"/>
                <w:highlight w:val="none"/>
              </w:rPr>
              <w:t>）</w:t>
            </w:r>
          </w:p>
        </w:tc>
        <w:tc>
          <w:tcPr>
            <w:tcW w:w="510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w:t>
            </w:r>
            <w:r>
              <w:rPr>
                <w:rFonts w:hint="eastAsia" w:ascii="Times New Roman" w:hAnsi="Times New Roman" w:eastAsia="仿宋_GB2312" w:cs="仿宋_GB2312"/>
                <w:color w:val="000000"/>
                <w:sz w:val="21"/>
                <w:szCs w:val="21"/>
                <w:highlight w:val="none"/>
              </w:rPr>
              <w:t>天以上不足</w:t>
            </w: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天</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天以上不足</w:t>
            </w:r>
            <w:r>
              <w:rPr>
                <w:rFonts w:ascii="Times New Roman" w:hAnsi="Times New Roman" w:eastAsia="仿宋_GB2312" w:cs="Times New Roman"/>
                <w:color w:val="000000"/>
                <w:sz w:val="21"/>
                <w:szCs w:val="21"/>
                <w:highlight w:val="none"/>
              </w:rPr>
              <w:t>20</w:t>
            </w:r>
            <w:r>
              <w:rPr>
                <w:rFonts w:hint="eastAsia" w:ascii="Times New Roman" w:hAnsi="Times New Roman" w:eastAsia="仿宋_GB2312" w:cs="仿宋_GB2312"/>
                <w:color w:val="000000"/>
                <w:sz w:val="21"/>
                <w:szCs w:val="21"/>
                <w:highlight w:val="none"/>
              </w:rPr>
              <w:t>天</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20</w:t>
            </w:r>
            <w:r>
              <w:rPr>
                <w:rFonts w:hint="eastAsia" w:ascii="Times New Roman" w:hAnsi="Times New Roman" w:eastAsia="仿宋_GB2312" w:cs="仿宋_GB2312"/>
                <w:color w:val="000000"/>
                <w:sz w:val="21"/>
                <w:szCs w:val="21"/>
                <w:highlight w:val="none"/>
              </w:rPr>
              <w:t>天以上不足</w:t>
            </w: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个月</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个月以上</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796" w:type="dxa"/>
            <w:gridSpan w:val="2"/>
            <w:vAlign w:val="center"/>
          </w:tcPr>
          <w:p>
            <w:pPr>
              <w:snapToGrid w:val="0"/>
              <w:ind w:firstLine="420"/>
              <w:jc w:val="center"/>
              <w:rPr>
                <w:rFonts w:ascii="Times New Roman" w:hAnsi="Times New Roman" w:cs="Times New Roman"/>
                <w:color w:val="000000"/>
                <w:highlight w:val="none"/>
              </w:rPr>
            </w:pPr>
          </w:p>
        </w:tc>
      </w:tr>
    </w:tbl>
    <w:p>
      <w:pPr>
        <w:snapToGrid w:val="0"/>
        <w:rPr>
          <w:rFonts w:ascii="Times New Roman" w:hAnsi="Times New Roman" w:cs="Times New Roman"/>
          <w:color w:val="000000"/>
          <w:sz w:val="10"/>
          <w:szCs w:val="10"/>
          <w:highlight w:val="none"/>
        </w:rPr>
      </w:pPr>
      <w:r>
        <w:rPr>
          <w:rFonts w:ascii="Times New Roman" w:hAnsi="Times New Roman" w:cs="Times New Roman"/>
          <w:color w:val="000000"/>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5103"/>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9209" w:type="dxa"/>
            <w:gridSpan w:val="3"/>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仿宋_GB2312"/>
                <w:b/>
                <w:bCs/>
                <w:sz w:val="32"/>
                <w:szCs w:val="32"/>
                <w:highlight w:val="none"/>
              </w:rPr>
              <w:t>（四）固体废物污染防治类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796" w:type="dxa"/>
            <w:gridSpan w:val="2"/>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413"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796" w:type="dxa"/>
            <w:gridSpan w:val="2"/>
          </w:tcPr>
          <w:p>
            <w:pPr>
              <w:snapToGrid w:val="0"/>
              <w:spacing w:before="93" w:beforeLines="30"/>
              <w:ind w:firstLine="420" w:firstLineChars="200"/>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在运送过程中丢弃医疗废物，在非贮存地点倾倒、堆放医疗废物或者将医疗废物混入其他废物和生活垃圾的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违反条款</w:t>
            </w:r>
          </w:p>
        </w:tc>
        <w:tc>
          <w:tcPr>
            <w:tcW w:w="7796" w:type="dxa"/>
            <w:gridSpan w:val="2"/>
          </w:tcPr>
          <w:p>
            <w:pPr>
              <w:pStyle w:val="12"/>
              <w:snapToGrid w:val="0"/>
              <w:spacing w:before="62" w:beforeLines="20" w:beforeAutospacing="0" w:after="0" w:afterAutospacing="0" w:line="288" w:lineRule="auto"/>
              <w:ind w:firstLine="422" w:firstLineChars="200"/>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b/>
                <w:bCs/>
                <w:color w:val="000000"/>
                <w:sz w:val="21"/>
                <w:szCs w:val="21"/>
                <w:highlight w:val="none"/>
              </w:rPr>
              <w:t>《医疗废物管理条例》第十四条第二款</w:t>
            </w:r>
            <w:r>
              <w:rPr>
                <w:rFonts w:ascii="Times New Roman" w:hAnsi="Times New Roman" w:eastAsia="仿宋_GB2312" w:cs="Times New Roman"/>
                <w:b/>
                <w:bCs/>
                <w:color w:val="000000"/>
                <w:sz w:val="21"/>
                <w:szCs w:val="21"/>
                <w:highlight w:val="none"/>
              </w:rPr>
              <w:t xml:space="preserve"> </w:t>
            </w:r>
            <w:r>
              <w:rPr>
                <w:rFonts w:hint="eastAsia" w:ascii="Times New Roman" w:hAnsi="Times New Roman" w:eastAsia="仿宋_GB2312" w:cs="仿宋_GB2312"/>
                <w:color w:val="000000"/>
                <w:sz w:val="21"/>
                <w:szCs w:val="21"/>
                <w:highlight w:val="none"/>
              </w:rPr>
              <w:t>禁止在运送过程中丢弃医疗废物；禁止在非贮存地点倾倒、堆放医疗废物或者将医疗废物混入其他废物和生活垃圾。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处罚依据</w:t>
            </w:r>
          </w:p>
        </w:tc>
        <w:tc>
          <w:tcPr>
            <w:tcW w:w="7796" w:type="dxa"/>
            <w:gridSpan w:val="2"/>
          </w:tcPr>
          <w:p>
            <w:pPr>
              <w:pStyle w:val="12"/>
              <w:snapToGrid w:val="0"/>
              <w:spacing w:before="62" w:beforeLines="20" w:beforeAutospacing="0" w:after="0" w:afterAutospacing="0"/>
              <w:ind w:firstLine="482"/>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b/>
                <w:bCs/>
                <w:color w:val="000000"/>
                <w:sz w:val="21"/>
                <w:szCs w:val="21"/>
                <w:highlight w:val="none"/>
              </w:rPr>
              <w:t>《医疗废物管理条例》第四十七条第（一）项</w:t>
            </w:r>
            <w:r>
              <w:rPr>
                <w:rFonts w:ascii="Times New Roman" w:hAnsi="Times New Roman" w:eastAsia="仿宋_GB2312" w:cs="Times New Roman"/>
                <w:b/>
                <w:bCs/>
                <w:color w:val="000000"/>
                <w:sz w:val="21"/>
                <w:szCs w:val="21"/>
                <w:highlight w:val="none"/>
              </w:rPr>
              <w:t xml:space="preserve"> </w:t>
            </w:r>
            <w:r>
              <w:rPr>
                <w:rFonts w:hint="eastAsia" w:ascii="Times New Roman" w:hAnsi="Times New Roman" w:eastAsia="仿宋_GB2312" w:cs="仿宋_GB2312"/>
                <w:color w:val="000000"/>
                <w:sz w:val="21"/>
                <w:szCs w:val="21"/>
                <w:highlight w:val="none"/>
              </w:rPr>
              <w:t>医疗卫生机构、医疗废物集中处置单位有下列情形之一的，由县级以上地方人民政府卫生行政主管部门或者环境保护行政主管部门按照各自的职责责令限期改正，给予警告，并处</w:t>
            </w:r>
            <w:r>
              <w:rPr>
                <w:rFonts w:ascii="Times New Roman" w:hAnsi="Times New Roman" w:eastAsia="仿宋_GB2312" w:cs="Times New Roman"/>
                <w:color w:val="000000"/>
                <w:sz w:val="21"/>
                <w:szCs w:val="21"/>
                <w:highlight w:val="none"/>
              </w:rPr>
              <w:t>5000</w:t>
            </w:r>
            <w:r>
              <w:rPr>
                <w:rFonts w:hint="eastAsia" w:ascii="Times New Roman" w:hAnsi="Times New Roman" w:eastAsia="仿宋_GB2312" w:cs="仿宋_GB2312"/>
                <w:color w:val="000000"/>
                <w:sz w:val="21"/>
                <w:szCs w:val="21"/>
                <w:highlight w:val="none"/>
              </w:rPr>
              <w:t>元以上</w:t>
            </w: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万元以下的罚款；逾期不改正的，处</w:t>
            </w: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万元以上</w:t>
            </w:r>
            <w:r>
              <w:rPr>
                <w:rFonts w:ascii="Times New Roman" w:hAnsi="Times New Roman" w:eastAsia="仿宋_GB2312" w:cs="Times New Roman"/>
                <w:color w:val="000000"/>
                <w:sz w:val="21"/>
                <w:szCs w:val="21"/>
                <w:highlight w:val="none"/>
              </w:rPr>
              <w:t>3</w:t>
            </w:r>
            <w:r>
              <w:rPr>
                <w:rFonts w:hint="eastAsia" w:ascii="Times New Roman" w:hAnsi="Times New Roman" w:eastAsia="仿宋_GB2312" w:cs="仿宋_GB2312"/>
                <w:color w:val="000000"/>
                <w:sz w:val="21"/>
                <w:szCs w:val="21"/>
                <w:highlight w:val="none"/>
              </w:rPr>
              <w:t>万元以下的罚款；造成传染病传播或者环境污染事故的，由原发证部门暂扣或者吊销执业许可证件或者经营许可证件；构成犯罪的，依法追究刑事责任：</w:t>
            </w:r>
          </w:p>
          <w:p>
            <w:pPr>
              <w:pStyle w:val="12"/>
              <w:snapToGrid w:val="0"/>
              <w:spacing w:before="0" w:beforeAutospacing="0" w:after="0" w:afterAutospacing="0"/>
              <w:ind w:firstLine="480"/>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（一）在运送过程中丢弃医疗废物，在非贮存地点倾倒、堆放医疗废物或者将医疗废物混入其他废物和生活垃圾的。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10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9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涉及医疗废物数量★</w:t>
            </w: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处置医疗废物</w:t>
            </w: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吨以下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处置医疗废物</w:t>
            </w: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吨以上不足</w:t>
            </w:r>
            <w:r>
              <w:rPr>
                <w:rFonts w:ascii="Times New Roman" w:hAnsi="Times New Roman" w:eastAsia="仿宋_GB2312" w:cs="Times New Roman"/>
                <w:color w:val="000000"/>
                <w:sz w:val="21"/>
                <w:szCs w:val="21"/>
                <w:highlight w:val="none"/>
              </w:rPr>
              <w:t>3</w:t>
            </w:r>
            <w:r>
              <w:rPr>
                <w:rFonts w:hint="eastAsia" w:ascii="Times New Roman" w:hAnsi="Times New Roman" w:eastAsia="仿宋_GB2312" w:cs="仿宋_GB2312"/>
                <w:color w:val="000000"/>
                <w:sz w:val="21"/>
                <w:szCs w:val="21"/>
                <w:highlight w:val="none"/>
              </w:rPr>
              <w:t>吨</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处置医疗废物</w:t>
            </w:r>
            <w:r>
              <w:rPr>
                <w:rFonts w:ascii="Times New Roman" w:hAnsi="Times New Roman" w:eastAsia="仿宋_GB2312" w:cs="Times New Roman"/>
                <w:color w:val="000000"/>
                <w:sz w:val="21"/>
                <w:szCs w:val="21"/>
                <w:highlight w:val="none"/>
              </w:rPr>
              <w:t>3</w:t>
            </w:r>
            <w:r>
              <w:rPr>
                <w:rFonts w:hint="eastAsia" w:ascii="Times New Roman" w:hAnsi="Times New Roman" w:eastAsia="仿宋_GB2312" w:cs="仿宋_GB2312"/>
                <w:color w:val="000000"/>
                <w:sz w:val="21"/>
                <w:szCs w:val="21"/>
                <w:highlight w:val="none"/>
              </w:rPr>
              <w:t>吨以上</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413"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超过限期</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改正时间（仅适用于</w:t>
            </w:r>
            <w:r>
              <w:rPr>
                <w:rFonts w:ascii="Times New Roman" w:hAnsi="Times New Roman" w:cs="宋体"/>
                <w:b/>
                <w:bCs/>
                <w:color w:val="000000"/>
                <w:highlight w:val="none"/>
              </w:rPr>
              <w:t>逾期不改正情形</w:t>
            </w:r>
            <w:r>
              <w:rPr>
                <w:rFonts w:hint="eastAsia" w:ascii="Times New Roman" w:hAnsi="Times New Roman" w:cs="宋体"/>
                <w:b/>
                <w:bCs/>
                <w:color w:val="000000"/>
                <w:highlight w:val="none"/>
              </w:rPr>
              <w:t>）</w:t>
            </w:r>
          </w:p>
        </w:tc>
        <w:tc>
          <w:tcPr>
            <w:tcW w:w="510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w:t>
            </w:r>
            <w:r>
              <w:rPr>
                <w:rFonts w:hint="eastAsia" w:ascii="Times New Roman" w:hAnsi="Times New Roman" w:eastAsia="仿宋_GB2312" w:cs="仿宋_GB2312"/>
                <w:color w:val="000000"/>
                <w:sz w:val="21"/>
                <w:szCs w:val="21"/>
                <w:highlight w:val="none"/>
              </w:rPr>
              <w:t>天以上不足</w:t>
            </w: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天</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天以上不足</w:t>
            </w:r>
            <w:r>
              <w:rPr>
                <w:rFonts w:ascii="Times New Roman" w:hAnsi="Times New Roman" w:eastAsia="仿宋_GB2312" w:cs="Times New Roman"/>
                <w:color w:val="000000"/>
                <w:sz w:val="21"/>
                <w:szCs w:val="21"/>
                <w:highlight w:val="none"/>
              </w:rPr>
              <w:t>20</w:t>
            </w:r>
            <w:r>
              <w:rPr>
                <w:rFonts w:hint="eastAsia" w:ascii="Times New Roman" w:hAnsi="Times New Roman" w:eastAsia="仿宋_GB2312" w:cs="仿宋_GB2312"/>
                <w:color w:val="000000"/>
                <w:sz w:val="21"/>
                <w:szCs w:val="21"/>
                <w:highlight w:val="none"/>
              </w:rPr>
              <w:t>天</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20</w:t>
            </w:r>
            <w:r>
              <w:rPr>
                <w:rFonts w:hint="eastAsia" w:ascii="Times New Roman" w:hAnsi="Times New Roman" w:eastAsia="仿宋_GB2312" w:cs="仿宋_GB2312"/>
                <w:color w:val="000000"/>
                <w:sz w:val="21"/>
                <w:szCs w:val="21"/>
                <w:highlight w:val="none"/>
              </w:rPr>
              <w:t>天以上不足</w:t>
            </w: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个月</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个月以上</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796" w:type="dxa"/>
            <w:gridSpan w:val="2"/>
            <w:vAlign w:val="center"/>
          </w:tcPr>
          <w:p>
            <w:pPr>
              <w:snapToGrid w:val="0"/>
              <w:ind w:firstLine="420"/>
              <w:jc w:val="center"/>
              <w:rPr>
                <w:rFonts w:ascii="Times New Roman" w:hAnsi="Times New Roman" w:cs="Times New Roman"/>
                <w:color w:val="000000"/>
                <w:highlight w:val="none"/>
              </w:rPr>
            </w:pPr>
          </w:p>
        </w:tc>
      </w:tr>
    </w:tbl>
    <w:p>
      <w:pPr>
        <w:snapToGrid w:val="0"/>
        <w:spacing w:line="288" w:lineRule="auto"/>
        <w:rPr>
          <w:rFonts w:ascii="Times New Roman" w:hAnsi="Times New Roman" w:cs="Times New Roman"/>
          <w:color w:val="000000"/>
          <w:sz w:val="10"/>
          <w:szCs w:val="10"/>
          <w:highlight w:val="none"/>
        </w:rPr>
      </w:pPr>
      <w:r>
        <w:rPr>
          <w:rFonts w:ascii="Times New Roman" w:hAnsi="Times New Roman" w:cs="Times New Roman"/>
          <w:color w:val="000000"/>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5103"/>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仿宋_GB2312"/>
                <w:b/>
                <w:bCs/>
                <w:sz w:val="32"/>
                <w:szCs w:val="32"/>
                <w:highlight w:val="none"/>
              </w:rPr>
              <w:t>（四）固体废物污染防治类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796" w:type="dxa"/>
            <w:gridSpan w:val="2"/>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796" w:type="dxa"/>
            <w:gridSpan w:val="2"/>
            <w:vAlign w:val="center"/>
          </w:tcPr>
          <w:p>
            <w:pPr>
              <w:snapToGrid w:val="0"/>
              <w:ind w:firstLine="420" w:firstLineChars="20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未执行危险废物转移联单管理制度的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违反条款</w:t>
            </w:r>
          </w:p>
        </w:tc>
        <w:tc>
          <w:tcPr>
            <w:tcW w:w="7796" w:type="dxa"/>
            <w:gridSpan w:val="2"/>
          </w:tcPr>
          <w:p>
            <w:pPr>
              <w:pStyle w:val="12"/>
              <w:snapToGrid w:val="0"/>
              <w:spacing w:before="62" w:beforeLines="20" w:beforeAutospacing="0" w:after="0" w:afterAutospacing="0" w:line="288" w:lineRule="auto"/>
              <w:ind w:firstLine="422" w:firstLineChars="200"/>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b/>
                <w:bCs/>
                <w:color w:val="000000"/>
                <w:sz w:val="21"/>
                <w:szCs w:val="21"/>
                <w:highlight w:val="none"/>
              </w:rPr>
              <w:t>《医疗废物管理条例》第十一条</w:t>
            </w:r>
            <w:r>
              <w:rPr>
                <w:rFonts w:ascii="Times New Roman" w:hAnsi="Times New Roman" w:eastAsia="仿宋_GB2312" w:cs="Times New Roman"/>
                <w:b/>
                <w:bCs/>
                <w:color w:val="000000"/>
                <w:sz w:val="21"/>
                <w:szCs w:val="21"/>
                <w:highlight w:val="none"/>
              </w:rPr>
              <w:t xml:space="preserve"> </w:t>
            </w:r>
            <w:r>
              <w:rPr>
                <w:rFonts w:hint="eastAsia" w:ascii="Times New Roman" w:hAnsi="Times New Roman" w:eastAsia="仿宋_GB2312" w:cs="仿宋_GB2312"/>
                <w:color w:val="000000"/>
                <w:sz w:val="21"/>
                <w:szCs w:val="21"/>
                <w:highlight w:val="none"/>
              </w:rPr>
              <w:t>医疗卫生机构和医疗废物集中处置单位，应当依照《中华人民共和国固体废物污染环境防治法》的规定，执行危险废物转移联单管理制度。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处罚依据</w:t>
            </w:r>
          </w:p>
        </w:tc>
        <w:tc>
          <w:tcPr>
            <w:tcW w:w="7796" w:type="dxa"/>
            <w:gridSpan w:val="2"/>
          </w:tcPr>
          <w:p>
            <w:pPr>
              <w:pStyle w:val="12"/>
              <w:snapToGrid w:val="0"/>
              <w:spacing w:before="62" w:beforeLines="20" w:beforeAutospacing="0" w:after="0" w:afterAutospacing="0"/>
              <w:ind w:firstLine="482"/>
              <w:jc w:val="both"/>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b/>
                <w:bCs/>
                <w:color w:val="000000"/>
                <w:sz w:val="21"/>
                <w:szCs w:val="21"/>
                <w:highlight w:val="none"/>
              </w:rPr>
              <w:t>《医疗废物管理条例》第四十七条第（二）项</w:t>
            </w:r>
            <w:r>
              <w:rPr>
                <w:rFonts w:ascii="Times New Roman" w:hAnsi="Times New Roman" w:eastAsia="仿宋_GB2312" w:cs="Times New Roman"/>
                <w:b/>
                <w:bCs/>
                <w:color w:val="000000"/>
                <w:sz w:val="21"/>
                <w:szCs w:val="21"/>
                <w:highlight w:val="none"/>
              </w:rPr>
              <w:t xml:space="preserve"> </w:t>
            </w:r>
            <w:r>
              <w:rPr>
                <w:rFonts w:hint="eastAsia" w:ascii="Times New Roman" w:hAnsi="Times New Roman" w:eastAsia="仿宋_GB2312" w:cs="仿宋_GB2312"/>
                <w:color w:val="000000"/>
                <w:sz w:val="21"/>
                <w:szCs w:val="21"/>
                <w:highlight w:val="none"/>
              </w:rPr>
              <w:t>医疗卫生机构、医疗废物集中处置单位有下列情形之一的，由县级以上地方人民政府卫生行政主管部门或者环境保护行政主管部门按照各自的职责责令限期改正，给予警告，并处</w:t>
            </w:r>
            <w:r>
              <w:rPr>
                <w:rFonts w:ascii="Times New Roman" w:hAnsi="Times New Roman" w:eastAsia="仿宋_GB2312" w:cs="Times New Roman"/>
                <w:color w:val="000000"/>
                <w:sz w:val="21"/>
                <w:szCs w:val="21"/>
                <w:highlight w:val="none"/>
              </w:rPr>
              <w:t>5000</w:t>
            </w:r>
            <w:r>
              <w:rPr>
                <w:rFonts w:hint="eastAsia" w:ascii="Times New Roman" w:hAnsi="Times New Roman" w:eastAsia="仿宋_GB2312" w:cs="仿宋_GB2312"/>
                <w:color w:val="000000"/>
                <w:sz w:val="21"/>
                <w:szCs w:val="21"/>
                <w:highlight w:val="none"/>
              </w:rPr>
              <w:t>元以上</w:t>
            </w: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万元以下的罚款；逾期不改正的，处</w:t>
            </w: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万元以上</w:t>
            </w:r>
            <w:r>
              <w:rPr>
                <w:rFonts w:ascii="Times New Roman" w:hAnsi="Times New Roman" w:eastAsia="仿宋_GB2312" w:cs="Times New Roman"/>
                <w:color w:val="000000"/>
                <w:sz w:val="21"/>
                <w:szCs w:val="21"/>
                <w:highlight w:val="none"/>
              </w:rPr>
              <w:t>3</w:t>
            </w:r>
            <w:r>
              <w:rPr>
                <w:rFonts w:hint="eastAsia" w:ascii="Times New Roman" w:hAnsi="Times New Roman" w:eastAsia="仿宋_GB2312" w:cs="仿宋_GB2312"/>
                <w:color w:val="000000"/>
                <w:sz w:val="21"/>
                <w:szCs w:val="21"/>
                <w:highlight w:val="none"/>
              </w:rPr>
              <w:t>万元以下的罚款；造成传染病传播或者环境污染事故的，由原发证部门暂扣或者吊销执业许可证件或者经营许可证件；构成犯罪的，依法追究刑事责任：</w:t>
            </w:r>
          </w:p>
          <w:p>
            <w:pPr>
              <w:pStyle w:val="12"/>
              <w:snapToGrid w:val="0"/>
              <w:spacing w:before="0" w:beforeAutospacing="0" w:after="0" w:afterAutospacing="0"/>
              <w:ind w:firstLine="480"/>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（二）未执行危险废物转移联单管理制度的。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10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9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处置医疗危险废物数量</w:t>
            </w:r>
            <w:r>
              <w:rPr>
                <w:rFonts w:hint="eastAsia" w:ascii="Times New Roman" w:hAnsi="Times New Roman" w:cs="宋体"/>
                <w:b/>
                <w:bCs/>
                <w:highlight w:val="none"/>
              </w:rPr>
              <w:t>★</w:t>
            </w:r>
          </w:p>
        </w:tc>
        <w:tc>
          <w:tcPr>
            <w:tcW w:w="510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0.3</w:t>
            </w:r>
            <w:r>
              <w:rPr>
                <w:rFonts w:hint="eastAsia" w:ascii="Times New Roman" w:hAnsi="Times New Roman" w:eastAsia="仿宋_GB2312" w:cs="仿宋_GB2312"/>
                <w:color w:val="000000"/>
                <w:sz w:val="21"/>
                <w:szCs w:val="21"/>
                <w:highlight w:val="none"/>
              </w:rPr>
              <w:t>吨以下</w:t>
            </w:r>
          </w:p>
        </w:tc>
        <w:tc>
          <w:tcPr>
            <w:tcW w:w="2693" w:type="dxa"/>
            <w:vAlign w:val="center"/>
          </w:tcPr>
          <w:p>
            <w:pPr>
              <w:pStyle w:val="11"/>
              <w:snapToGrid w:val="0"/>
              <w:jc w:val="center"/>
              <w:rPr>
                <w:rFonts w:ascii="Times New Roman" w:hAnsi="Times New Roman" w:cs="Times New Roman"/>
                <w:color w:val="000000"/>
                <w:sz w:val="21"/>
                <w:szCs w:val="21"/>
                <w:highlight w:val="none"/>
              </w:rPr>
            </w:pPr>
            <w:r>
              <w:rPr>
                <w:rFonts w:ascii="Times New Roman" w:hAnsi="Times New Roman" w:cs="Times New Roman"/>
                <w:color w:val="000000"/>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0.3</w:t>
            </w:r>
            <w:r>
              <w:rPr>
                <w:rFonts w:hint="eastAsia" w:ascii="Times New Roman" w:hAnsi="Times New Roman" w:eastAsia="仿宋_GB2312" w:cs="仿宋_GB2312"/>
                <w:color w:val="000000"/>
                <w:sz w:val="21"/>
                <w:szCs w:val="21"/>
                <w:highlight w:val="none"/>
              </w:rPr>
              <w:t>吨以上不足</w:t>
            </w:r>
            <w:r>
              <w:rPr>
                <w:rFonts w:ascii="Times New Roman" w:hAnsi="Times New Roman" w:eastAsia="仿宋_GB2312" w:cs="Times New Roman"/>
                <w:color w:val="000000"/>
                <w:sz w:val="21"/>
                <w:szCs w:val="21"/>
                <w:highlight w:val="none"/>
              </w:rPr>
              <w:t>0.5</w:t>
            </w:r>
            <w:r>
              <w:rPr>
                <w:rFonts w:hint="eastAsia" w:ascii="Times New Roman" w:hAnsi="Times New Roman" w:eastAsia="仿宋_GB2312" w:cs="仿宋_GB2312"/>
                <w:color w:val="000000"/>
                <w:sz w:val="21"/>
                <w:szCs w:val="21"/>
                <w:highlight w:val="none"/>
              </w:rPr>
              <w:t>吨</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0.5</w:t>
            </w:r>
            <w:r>
              <w:rPr>
                <w:rFonts w:hint="eastAsia" w:ascii="Times New Roman" w:hAnsi="Times New Roman" w:eastAsia="仿宋_GB2312" w:cs="仿宋_GB2312"/>
                <w:color w:val="000000"/>
                <w:sz w:val="21"/>
                <w:szCs w:val="21"/>
                <w:highlight w:val="none"/>
              </w:rPr>
              <w:t>吨以上不足</w:t>
            </w: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吨</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吨以上不足</w:t>
            </w:r>
            <w:r>
              <w:rPr>
                <w:rFonts w:ascii="Times New Roman" w:hAnsi="Times New Roman" w:eastAsia="仿宋_GB2312" w:cs="Times New Roman"/>
                <w:color w:val="000000"/>
                <w:sz w:val="21"/>
                <w:szCs w:val="21"/>
                <w:highlight w:val="none"/>
              </w:rPr>
              <w:t>2</w:t>
            </w:r>
            <w:r>
              <w:rPr>
                <w:rFonts w:hint="eastAsia" w:ascii="Times New Roman" w:hAnsi="Times New Roman" w:eastAsia="仿宋_GB2312" w:cs="仿宋_GB2312"/>
                <w:color w:val="000000"/>
                <w:sz w:val="21"/>
                <w:szCs w:val="21"/>
                <w:highlight w:val="none"/>
              </w:rPr>
              <w:t>吨</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2</w:t>
            </w:r>
            <w:r>
              <w:rPr>
                <w:rFonts w:hint="eastAsia" w:ascii="Times New Roman" w:hAnsi="Times New Roman" w:eastAsia="仿宋_GB2312" w:cs="仿宋_GB2312"/>
                <w:color w:val="000000"/>
                <w:sz w:val="21"/>
                <w:szCs w:val="21"/>
                <w:highlight w:val="none"/>
              </w:rPr>
              <w:t>吨以上</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持续时间</w:t>
            </w:r>
          </w:p>
        </w:tc>
        <w:tc>
          <w:tcPr>
            <w:tcW w:w="510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个月以内或</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次以下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3</w:t>
            </w:r>
            <w:r>
              <w:rPr>
                <w:rFonts w:hint="eastAsia" w:ascii="Times New Roman" w:hAnsi="Times New Roman" w:eastAsia="仿宋_GB2312" w:cs="仿宋_GB2312"/>
                <w:color w:val="000000"/>
                <w:sz w:val="21"/>
                <w:szCs w:val="21"/>
                <w:highlight w:val="none"/>
              </w:rPr>
              <w:t>个月以上</w:t>
            </w:r>
            <w:r>
              <w:rPr>
                <w:rFonts w:ascii="Times New Roman" w:hAnsi="Times New Roman" w:eastAsia="仿宋_GB2312" w:cs="Times New Roman"/>
                <w:color w:val="000000"/>
                <w:sz w:val="21"/>
                <w:szCs w:val="21"/>
                <w:highlight w:val="none"/>
              </w:rPr>
              <w:t>6</w:t>
            </w:r>
            <w:r>
              <w:rPr>
                <w:rFonts w:hint="eastAsia" w:ascii="Times New Roman" w:hAnsi="Times New Roman" w:eastAsia="仿宋_GB2312" w:cs="仿宋_GB2312"/>
                <w:color w:val="000000"/>
                <w:sz w:val="21"/>
                <w:szCs w:val="21"/>
                <w:highlight w:val="none"/>
              </w:rPr>
              <w:t>个月以内或</w:t>
            </w:r>
            <w:r>
              <w:rPr>
                <w:rFonts w:ascii="Times New Roman" w:hAnsi="Times New Roman" w:eastAsia="仿宋_GB2312" w:cs="Times New Roman"/>
                <w:color w:val="000000"/>
                <w:sz w:val="21"/>
                <w:szCs w:val="21"/>
                <w:highlight w:val="none"/>
              </w:rPr>
              <w:t>2</w:t>
            </w:r>
            <w:r>
              <w:rPr>
                <w:rFonts w:hint="eastAsia" w:ascii="Times New Roman" w:hAnsi="Times New Roman" w:eastAsia="仿宋_GB2312" w:cs="仿宋_GB2312"/>
                <w:color w:val="000000"/>
                <w:sz w:val="21"/>
                <w:szCs w:val="21"/>
                <w:highlight w:val="none"/>
              </w:rPr>
              <w:t>次</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6</w:t>
            </w:r>
            <w:r>
              <w:rPr>
                <w:rFonts w:hint="eastAsia" w:ascii="Times New Roman" w:hAnsi="Times New Roman" w:eastAsia="仿宋_GB2312" w:cs="仿宋_GB2312"/>
                <w:color w:val="000000"/>
                <w:sz w:val="21"/>
                <w:szCs w:val="21"/>
                <w:highlight w:val="none"/>
              </w:rPr>
              <w:t>个月以上或</w:t>
            </w:r>
            <w:r>
              <w:rPr>
                <w:rFonts w:ascii="Times New Roman" w:hAnsi="Times New Roman" w:eastAsia="仿宋_GB2312" w:cs="Times New Roman"/>
                <w:color w:val="000000"/>
                <w:sz w:val="21"/>
                <w:szCs w:val="21"/>
                <w:highlight w:val="none"/>
              </w:rPr>
              <w:t>3</w:t>
            </w:r>
            <w:r>
              <w:rPr>
                <w:rFonts w:hint="eastAsia" w:ascii="Times New Roman" w:hAnsi="Times New Roman" w:eastAsia="仿宋_GB2312" w:cs="仿宋_GB2312"/>
                <w:color w:val="000000"/>
                <w:sz w:val="21"/>
                <w:szCs w:val="21"/>
                <w:highlight w:val="none"/>
              </w:rPr>
              <w:t>次以上</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超过限期</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改正时间（仅适用于</w:t>
            </w:r>
            <w:r>
              <w:rPr>
                <w:rFonts w:ascii="Times New Roman" w:hAnsi="Times New Roman" w:cs="宋体"/>
                <w:b/>
                <w:bCs/>
                <w:color w:val="000000"/>
                <w:highlight w:val="none"/>
              </w:rPr>
              <w:t>逾期不改正情形</w:t>
            </w:r>
            <w:r>
              <w:rPr>
                <w:rFonts w:hint="eastAsia" w:ascii="Times New Roman" w:hAnsi="Times New Roman" w:cs="宋体"/>
                <w:b/>
                <w:bCs/>
                <w:color w:val="000000"/>
                <w:highlight w:val="none"/>
              </w:rPr>
              <w:t>）</w:t>
            </w:r>
          </w:p>
        </w:tc>
        <w:tc>
          <w:tcPr>
            <w:tcW w:w="510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w:t>
            </w:r>
            <w:r>
              <w:rPr>
                <w:rFonts w:hint="eastAsia" w:ascii="Times New Roman" w:hAnsi="Times New Roman" w:eastAsia="仿宋_GB2312" w:cs="仿宋_GB2312"/>
                <w:color w:val="000000"/>
                <w:sz w:val="21"/>
                <w:szCs w:val="21"/>
                <w:highlight w:val="none"/>
              </w:rPr>
              <w:t>天以上不足</w:t>
            </w: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天</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天以上不足</w:t>
            </w:r>
            <w:r>
              <w:rPr>
                <w:rFonts w:ascii="Times New Roman" w:hAnsi="Times New Roman" w:eastAsia="仿宋_GB2312" w:cs="Times New Roman"/>
                <w:color w:val="000000"/>
                <w:sz w:val="21"/>
                <w:szCs w:val="21"/>
                <w:highlight w:val="none"/>
              </w:rPr>
              <w:t>20</w:t>
            </w:r>
            <w:r>
              <w:rPr>
                <w:rFonts w:hint="eastAsia" w:ascii="Times New Roman" w:hAnsi="Times New Roman" w:eastAsia="仿宋_GB2312" w:cs="仿宋_GB2312"/>
                <w:color w:val="000000"/>
                <w:sz w:val="21"/>
                <w:szCs w:val="21"/>
                <w:highlight w:val="none"/>
              </w:rPr>
              <w:t>天</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20</w:t>
            </w:r>
            <w:r>
              <w:rPr>
                <w:rFonts w:hint="eastAsia" w:ascii="Times New Roman" w:hAnsi="Times New Roman" w:eastAsia="仿宋_GB2312" w:cs="仿宋_GB2312"/>
                <w:color w:val="000000"/>
                <w:sz w:val="21"/>
                <w:szCs w:val="21"/>
                <w:highlight w:val="none"/>
              </w:rPr>
              <w:t>天以上不足</w:t>
            </w: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个月</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个月以上</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796" w:type="dxa"/>
            <w:gridSpan w:val="2"/>
            <w:vAlign w:val="center"/>
          </w:tcPr>
          <w:p>
            <w:pPr>
              <w:snapToGrid w:val="0"/>
              <w:ind w:firstLine="420"/>
              <w:jc w:val="center"/>
              <w:rPr>
                <w:rFonts w:ascii="Times New Roman" w:hAnsi="Times New Roman" w:cs="Times New Roman"/>
                <w:color w:val="000000"/>
                <w:highlight w:val="none"/>
              </w:rPr>
            </w:pPr>
          </w:p>
        </w:tc>
      </w:tr>
    </w:tbl>
    <w:p>
      <w:pPr>
        <w:snapToGrid w:val="0"/>
        <w:rPr>
          <w:rFonts w:ascii="Times New Roman" w:hAnsi="Times New Roman" w:cs="Times New Roman"/>
          <w:color w:val="000000"/>
          <w:sz w:val="10"/>
          <w:szCs w:val="10"/>
          <w:highlight w:val="none"/>
        </w:rPr>
      </w:pPr>
      <w:r>
        <w:rPr>
          <w:rFonts w:ascii="Times New Roman" w:hAnsi="Times New Roman" w:cs="Times New Roman"/>
          <w:color w:val="000000"/>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5103"/>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仿宋_GB2312"/>
                <w:b/>
                <w:bCs/>
                <w:sz w:val="32"/>
                <w:szCs w:val="32"/>
                <w:highlight w:val="none"/>
              </w:rPr>
              <w:t>（四）固体废物污染防治类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796" w:type="dxa"/>
            <w:gridSpan w:val="2"/>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796" w:type="dxa"/>
            <w:gridSpan w:val="2"/>
            <w:vAlign w:val="center"/>
          </w:tcPr>
          <w:p>
            <w:pPr>
              <w:snapToGrid w:val="0"/>
              <w:ind w:firstLine="420" w:firstLineChars="20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将医疗废物交给未取得经营许可证的单位或者个人收集、运送、贮存、处置的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违反条款</w:t>
            </w:r>
          </w:p>
        </w:tc>
        <w:tc>
          <w:tcPr>
            <w:tcW w:w="7796" w:type="dxa"/>
            <w:gridSpan w:val="2"/>
          </w:tcPr>
          <w:p>
            <w:pPr>
              <w:pStyle w:val="12"/>
              <w:snapToGrid w:val="0"/>
              <w:spacing w:before="93" w:beforeLines="30" w:beforeAutospacing="0" w:after="0" w:afterAutospacing="0" w:line="288" w:lineRule="auto"/>
              <w:ind w:firstLine="422" w:firstLineChars="200"/>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b/>
                <w:bCs/>
                <w:color w:val="000000"/>
                <w:sz w:val="21"/>
                <w:szCs w:val="21"/>
                <w:highlight w:val="none"/>
              </w:rPr>
              <w:t>《医疗废物管理条例》第二十二条</w:t>
            </w:r>
            <w:r>
              <w:rPr>
                <w:rFonts w:ascii="Times New Roman" w:hAnsi="Times New Roman" w:eastAsia="仿宋_GB2312" w:cs="Times New Roman"/>
                <w:b/>
                <w:bCs/>
                <w:color w:val="000000"/>
                <w:sz w:val="21"/>
                <w:szCs w:val="21"/>
                <w:highlight w:val="none"/>
              </w:rPr>
              <w:t xml:space="preserve"> </w:t>
            </w:r>
            <w:r>
              <w:rPr>
                <w:rFonts w:hint="eastAsia" w:ascii="Times New Roman" w:hAnsi="Times New Roman" w:eastAsia="仿宋_GB2312" w:cs="仿宋_GB2312"/>
                <w:color w:val="000000"/>
                <w:sz w:val="21"/>
                <w:szCs w:val="21"/>
                <w:highlight w:val="none"/>
              </w:rPr>
              <w:t>从事医疗废物集中处置活动的单位，应当向县级以上人民政府环境保护行政主管部门申请领取经营许可证；未取得经营许可证的单位，不得从事有关医疗废物集中处置的活动。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处罚依据</w:t>
            </w:r>
          </w:p>
        </w:tc>
        <w:tc>
          <w:tcPr>
            <w:tcW w:w="7796" w:type="dxa"/>
            <w:gridSpan w:val="2"/>
          </w:tcPr>
          <w:p>
            <w:pPr>
              <w:pStyle w:val="12"/>
              <w:snapToGrid w:val="0"/>
              <w:spacing w:before="93" w:beforeLines="30" w:beforeAutospacing="0" w:after="0" w:afterAutospacing="0"/>
              <w:ind w:firstLine="482"/>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b/>
                <w:bCs/>
                <w:color w:val="000000"/>
                <w:sz w:val="21"/>
                <w:szCs w:val="21"/>
                <w:highlight w:val="none"/>
              </w:rPr>
              <w:t>《医疗废物管理条例》第四十七条第（三）项</w:t>
            </w:r>
            <w:r>
              <w:rPr>
                <w:rFonts w:ascii="Times New Roman" w:hAnsi="Times New Roman" w:eastAsia="仿宋_GB2312" w:cs="Times New Roman"/>
                <w:b/>
                <w:bCs/>
                <w:color w:val="000000"/>
                <w:sz w:val="21"/>
                <w:szCs w:val="21"/>
                <w:highlight w:val="none"/>
              </w:rPr>
              <w:t xml:space="preserve"> </w:t>
            </w:r>
            <w:r>
              <w:rPr>
                <w:rFonts w:hint="eastAsia" w:ascii="Times New Roman" w:hAnsi="Times New Roman" w:eastAsia="仿宋_GB2312" w:cs="仿宋_GB2312"/>
                <w:color w:val="000000"/>
                <w:sz w:val="21"/>
                <w:szCs w:val="21"/>
                <w:highlight w:val="none"/>
              </w:rPr>
              <w:t>医疗卫生机构、医疗废物集中处置单位有下列情形之一的，由县级以上地方人民政府卫生行政主管部门或者环境保护行政主管部门按照各自的职责责令限期改正，给予警告，并处</w:t>
            </w:r>
            <w:r>
              <w:rPr>
                <w:rFonts w:ascii="Times New Roman" w:hAnsi="Times New Roman" w:eastAsia="仿宋_GB2312" w:cs="Times New Roman"/>
                <w:color w:val="000000"/>
                <w:sz w:val="21"/>
                <w:szCs w:val="21"/>
                <w:highlight w:val="none"/>
              </w:rPr>
              <w:t>5000</w:t>
            </w:r>
            <w:r>
              <w:rPr>
                <w:rFonts w:hint="eastAsia" w:ascii="Times New Roman" w:hAnsi="Times New Roman" w:eastAsia="仿宋_GB2312" w:cs="仿宋_GB2312"/>
                <w:color w:val="000000"/>
                <w:sz w:val="21"/>
                <w:szCs w:val="21"/>
                <w:highlight w:val="none"/>
              </w:rPr>
              <w:t>元以上</w:t>
            </w: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万元以下的罚款；逾期不改正的，处</w:t>
            </w: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万元以上</w:t>
            </w:r>
            <w:r>
              <w:rPr>
                <w:rFonts w:ascii="Times New Roman" w:hAnsi="Times New Roman" w:eastAsia="仿宋_GB2312" w:cs="Times New Roman"/>
                <w:color w:val="000000"/>
                <w:sz w:val="21"/>
                <w:szCs w:val="21"/>
                <w:highlight w:val="none"/>
              </w:rPr>
              <w:t>3</w:t>
            </w:r>
            <w:r>
              <w:rPr>
                <w:rFonts w:hint="eastAsia" w:ascii="Times New Roman" w:hAnsi="Times New Roman" w:eastAsia="仿宋_GB2312" w:cs="仿宋_GB2312"/>
                <w:color w:val="000000"/>
                <w:sz w:val="21"/>
                <w:szCs w:val="21"/>
                <w:highlight w:val="none"/>
              </w:rPr>
              <w:t>万元以下的罚款；造成传染病传播或者环境污染事故的，由原发证部门暂扣或者吊销执业许可证件或者经营许可证件；构成犯罪的，依法追究刑事责任：</w:t>
            </w:r>
          </w:p>
          <w:p>
            <w:pPr>
              <w:pStyle w:val="12"/>
              <w:snapToGrid w:val="0"/>
              <w:spacing w:before="0" w:beforeAutospacing="0" w:after="0" w:afterAutospacing="0"/>
              <w:ind w:firstLine="480"/>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（三）将医疗废物交给未取得经营许可证的单位或者个人收集、运送、贮存、处置的。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10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9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处置医疗</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废物数量</w:t>
            </w:r>
            <w:r>
              <w:rPr>
                <w:rFonts w:hint="eastAsia" w:ascii="Times New Roman" w:hAnsi="Times New Roman" w:cs="宋体"/>
                <w:b/>
                <w:bCs/>
                <w:highlight w:val="none"/>
              </w:rPr>
              <w:t>★</w:t>
            </w: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处置医疗废物</w:t>
            </w: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吨以下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处置医疗废物</w:t>
            </w: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吨以上不足</w:t>
            </w:r>
            <w:r>
              <w:rPr>
                <w:rFonts w:ascii="Times New Roman" w:hAnsi="Times New Roman" w:eastAsia="仿宋_GB2312" w:cs="Times New Roman"/>
                <w:color w:val="000000"/>
                <w:sz w:val="21"/>
                <w:szCs w:val="21"/>
                <w:highlight w:val="none"/>
              </w:rPr>
              <w:t>3</w:t>
            </w:r>
            <w:r>
              <w:rPr>
                <w:rFonts w:hint="eastAsia" w:ascii="Times New Roman" w:hAnsi="Times New Roman" w:eastAsia="仿宋_GB2312" w:cs="仿宋_GB2312"/>
                <w:color w:val="000000"/>
                <w:sz w:val="21"/>
                <w:szCs w:val="21"/>
                <w:highlight w:val="none"/>
              </w:rPr>
              <w:t>吨</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处置医疗废物</w:t>
            </w:r>
            <w:r>
              <w:rPr>
                <w:rFonts w:ascii="Times New Roman" w:hAnsi="Times New Roman" w:eastAsia="仿宋_GB2312" w:cs="Times New Roman"/>
                <w:color w:val="000000"/>
                <w:sz w:val="21"/>
                <w:szCs w:val="21"/>
                <w:highlight w:val="none"/>
              </w:rPr>
              <w:t>3</w:t>
            </w:r>
            <w:r>
              <w:rPr>
                <w:rFonts w:hint="eastAsia" w:ascii="Times New Roman" w:hAnsi="Times New Roman" w:eastAsia="仿宋_GB2312" w:cs="仿宋_GB2312"/>
                <w:color w:val="000000"/>
                <w:sz w:val="21"/>
                <w:szCs w:val="21"/>
                <w:highlight w:val="none"/>
              </w:rPr>
              <w:t>吨以上</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违法行为持续时间或</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发生频次</w:t>
            </w:r>
          </w:p>
        </w:tc>
        <w:tc>
          <w:tcPr>
            <w:tcW w:w="510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个月以内或</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次以下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3</w:t>
            </w:r>
            <w:r>
              <w:rPr>
                <w:rFonts w:hint="eastAsia" w:ascii="Times New Roman" w:hAnsi="Times New Roman" w:eastAsia="仿宋_GB2312" w:cs="仿宋_GB2312"/>
                <w:color w:val="000000"/>
                <w:sz w:val="21"/>
                <w:szCs w:val="21"/>
                <w:highlight w:val="none"/>
              </w:rPr>
              <w:t>个月以上</w:t>
            </w:r>
            <w:r>
              <w:rPr>
                <w:rFonts w:ascii="Times New Roman" w:hAnsi="Times New Roman" w:eastAsia="仿宋_GB2312" w:cs="Times New Roman"/>
                <w:color w:val="000000"/>
                <w:sz w:val="21"/>
                <w:szCs w:val="21"/>
                <w:highlight w:val="none"/>
              </w:rPr>
              <w:t>6</w:t>
            </w:r>
            <w:r>
              <w:rPr>
                <w:rFonts w:hint="eastAsia" w:ascii="Times New Roman" w:hAnsi="Times New Roman" w:eastAsia="仿宋_GB2312" w:cs="仿宋_GB2312"/>
                <w:color w:val="000000"/>
                <w:sz w:val="21"/>
                <w:szCs w:val="21"/>
                <w:highlight w:val="none"/>
              </w:rPr>
              <w:t>个月以内或</w:t>
            </w:r>
            <w:r>
              <w:rPr>
                <w:rFonts w:ascii="Times New Roman" w:hAnsi="Times New Roman" w:eastAsia="仿宋_GB2312" w:cs="Times New Roman"/>
                <w:color w:val="000000"/>
                <w:sz w:val="21"/>
                <w:szCs w:val="21"/>
                <w:highlight w:val="none"/>
              </w:rPr>
              <w:t>2</w:t>
            </w:r>
            <w:r>
              <w:rPr>
                <w:rFonts w:hint="eastAsia" w:ascii="Times New Roman" w:hAnsi="Times New Roman" w:eastAsia="仿宋_GB2312" w:cs="仿宋_GB2312"/>
                <w:color w:val="000000"/>
                <w:sz w:val="21"/>
                <w:szCs w:val="21"/>
                <w:highlight w:val="none"/>
              </w:rPr>
              <w:t>次</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6</w:t>
            </w:r>
            <w:r>
              <w:rPr>
                <w:rFonts w:hint="eastAsia" w:ascii="Times New Roman" w:hAnsi="Times New Roman" w:eastAsia="仿宋_GB2312" w:cs="仿宋_GB2312"/>
                <w:color w:val="000000"/>
                <w:sz w:val="21"/>
                <w:szCs w:val="21"/>
                <w:highlight w:val="none"/>
              </w:rPr>
              <w:t>个月以上或</w:t>
            </w:r>
            <w:r>
              <w:rPr>
                <w:rFonts w:ascii="Times New Roman" w:hAnsi="Times New Roman" w:eastAsia="仿宋_GB2312" w:cs="Times New Roman"/>
                <w:color w:val="000000"/>
                <w:sz w:val="21"/>
                <w:szCs w:val="21"/>
                <w:highlight w:val="none"/>
              </w:rPr>
              <w:t>3</w:t>
            </w:r>
            <w:r>
              <w:rPr>
                <w:rFonts w:hint="eastAsia" w:ascii="Times New Roman" w:hAnsi="Times New Roman" w:eastAsia="仿宋_GB2312" w:cs="仿宋_GB2312"/>
                <w:color w:val="000000"/>
                <w:sz w:val="21"/>
                <w:szCs w:val="21"/>
                <w:highlight w:val="none"/>
              </w:rPr>
              <w:t>次以上</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超过限期</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改正时间（仅适用于</w:t>
            </w:r>
            <w:r>
              <w:rPr>
                <w:rFonts w:ascii="Times New Roman" w:hAnsi="Times New Roman" w:cs="宋体"/>
                <w:b/>
                <w:bCs/>
                <w:color w:val="000000"/>
                <w:highlight w:val="none"/>
              </w:rPr>
              <w:t>逾期不改正情形</w:t>
            </w:r>
            <w:r>
              <w:rPr>
                <w:rFonts w:hint="eastAsia" w:ascii="Times New Roman" w:hAnsi="Times New Roman" w:cs="宋体"/>
                <w:b/>
                <w:bCs/>
                <w:color w:val="000000"/>
                <w:highlight w:val="none"/>
              </w:rPr>
              <w:t>）</w:t>
            </w:r>
          </w:p>
        </w:tc>
        <w:tc>
          <w:tcPr>
            <w:tcW w:w="510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w:t>
            </w:r>
            <w:r>
              <w:rPr>
                <w:rFonts w:hint="eastAsia" w:ascii="Times New Roman" w:hAnsi="Times New Roman" w:eastAsia="仿宋_GB2312" w:cs="仿宋_GB2312"/>
                <w:color w:val="000000"/>
                <w:sz w:val="21"/>
                <w:szCs w:val="21"/>
                <w:highlight w:val="none"/>
              </w:rPr>
              <w:t>天以上不足</w:t>
            </w: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天</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天以上不足</w:t>
            </w:r>
            <w:r>
              <w:rPr>
                <w:rFonts w:ascii="Times New Roman" w:hAnsi="Times New Roman" w:eastAsia="仿宋_GB2312" w:cs="Times New Roman"/>
                <w:color w:val="000000"/>
                <w:sz w:val="21"/>
                <w:szCs w:val="21"/>
                <w:highlight w:val="none"/>
              </w:rPr>
              <w:t>20</w:t>
            </w:r>
            <w:r>
              <w:rPr>
                <w:rFonts w:hint="eastAsia" w:ascii="Times New Roman" w:hAnsi="Times New Roman" w:eastAsia="仿宋_GB2312" w:cs="仿宋_GB2312"/>
                <w:color w:val="000000"/>
                <w:sz w:val="21"/>
                <w:szCs w:val="21"/>
                <w:highlight w:val="none"/>
              </w:rPr>
              <w:t>天</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20</w:t>
            </w:r>
            <w:r>
              <w:rPr>
                <w:rFonts w:hint="eastAsia" w:ascii="Times New Roman" w:hAnsi="Times New Roman" w:eastAsia="仿宋_GB2312" w:cs="仿宋_GB2312"/>
                <w:color w:val="000000"/>
                <w:sz w:val="21"/>
                <w:szCs w:val="21"/>
                <w:highlight w:val="none"/>
              </w:rPr>
              <w:t>天以上不足</w:t>
            </w: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个月</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sz w:val="21"/>
                <w:szCs w:val="21"/>
                <w:highlight w:val="none"/>
              </w:rPr>
              <w:t>1</w:t>
            </w:r>
            <w:r>
              <w:rPr>
                <w:rFonts w:hint="eastAsia" w:ascii="Times New Roman" w:hAnsi="Times New Roman" w:eastAsia="仿宋_GB2312" w:cs="仿宋_GB2312"/>
                <w:sz w:val="21"/>
                <w:szCs w:val="21"/>
                <w:highlight w:val="none"/>
              </w:rPr>
              <w:t>个月以上</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796" w:type="dxa"/>
            <w:gridSpan w:val="2"/>
            <w:vAlign w:val="center"/>
          </w:tcPr>
          <w:p>
            <w:pPr>
              <w:snapToGrid w:val="0"/>
              <w:ind w:firstLine="420"/>
              <w:jc w:val="center"/>
              <w:rPr>
                <w:rFonts w:ascii="Times New Roman" w:hAnsi="Times New Roman" w:cs="Times New Roman"/>
                <w:color w:val="000000"/>
                <w:highlight w:val="none"/>
              </w:rPr>
            </w:pPr>
          </w:p>
        </w:tc>
      </w:tr>
    </w:tbl>
    <w:p>
      <w:pPr>
        <w:snapToGrid w:val="0"/>
        <w:rPr>
          <w:rFonts w:ascii="Times New Roman" w:hAnsi="Times New Roman" w:cs="Times New Roman"/>
          <w:color w:val="000000"/>
          <w:sz w:val="10"/>
          <w:szCs w:val="10"/>
          <w:highlight w:val="none"/>
        </w:rPr>
      </w:pPr>
      <w:r>
        <w:rPr>
          <w:rFonts w:ascii="Times New Roman" w:hAnsi="Times New Roman" w:cs="Times New Roman"/>
          <w:color w:val="000000"/>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5103"/>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仿宋_GB2312"/>
                <w:b/>
                <w:bCs/>
                <w:sz w:val="32"/>
                <w:szCs w:val="32"/>
                <w:highlight w:val="none"/>
              </w:rPr>
              <w:t>（四）固体废物污染防治类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796" w:type="dxa"/>
            <w:gridSpan w:val="2"/>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796" w:type="dxa"/>
            <w:gridSpan w:val="2"/>
            <w:vAlign w:val="center"/>
          </w:tcPr>
          <w:p>
            <w:pPr>
              <w:snapToGrid w:val="0"/>
              <w:ind w:firstLine="420" w:firstLineChars="20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对医疗废物的处置不符合国家规定的环境保护、卫生标准、规范的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违反条款</w:t>
            </w:r>
          </w:p>
        </w:tc>
        <w:tc>
          <w:tcPr>
            <w:tcW w:w="7796" w:type="dxa"/>
            <w:gridSpan w:val="2"/>
          </w:tcPr>
          <w:p>
            <w:pPr>
              <w:pStyle w:val="12"/>
              <w:snapToGrid w:val="0"/>
              <w:spacing w:before="93" w:beforeLines="30" w:beforeAutospacing="0" w:after="0" w:afterAutospacing="0" w:line="288" w:lineRule="auto"/>
              <w:ind w:firstLine="422" w:firstLineChars="200"/>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b/>
                <w:bCs/>
                <w:color w:val="000000"/>
                <w:sz w:val="21"/>
                <w:szCs w:val="21"/>
                <w:highlight w:val="none"/>
              </w:rPr>
              <w:t>《医疗废物管理条例》第二十九条</w:t>
            </w:r>
            <w:r>
              <w:rPr>
                <w:rFonts w:ascii="Times New Roman" w:hAnsi="Times New Roman" w:eastAsia="仿宋_GB2312" w:cs="Times New Roman"/>
                <w:b/>
                <w:bCs/>
                <w:color w:val="000000"/>
                <w:sz w:val="21"/>
                <w:szCs w:val="21"/>
                <w:highlight w:val="none"/>
              </w:rPr>
              <w:t xml:space="preserve"> </w:t>
            </w:r>
            <w:r>
              <w:rPr>
                <w:rFonts w:hint="eastAsia" w:ascii="Times New Roman" w:hAnsi="Times New Roman" w:eastAsia="仿宋_GB2312" w:cs="仿宋_GB2312"/>
                <w:color w:val="000000"/>
                <w:sz w:val="21"/>
                <w:szCs w:val="21"/>
                <w:highlight w:val="none"/>
              </w:rPr>
              <w:t>医疗废物集中处置单位处置医疗废物，应当符合国家规定的环境保护、卫生标准、规范。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处罚依据</w:t>
            </w:r>
          </w:p>
        </w:tc>
        <w:tc>
          <w:tcPr>
            <w:tcW w:w="7796" w:type="dxa"/>
            <w:gridSpan w:val="2"/>
          </w:tcPr>
          <w:p>
            <w:pPr>
              <w:pStyle w:val="12"/>
              <w:snapToGrid w:val="0"/>
              <w:spacing w:before="93" w:beforeLines="30" w:beforeAutospacing="0" w:after="0" w:afterAutospacing="0"/>
              <w:ind w:firstLine="482"/>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b/>
                <w:bCs/>
                <w:color w:val="000000"/>
                <w:sz w:val="21"/>
                <w:szCs w:val="21"/>
                <w:highlight w:val="none"/>
              </w:rPr>
              <w:t>《医疗废物管理条例》第四十七条第（四）项</w:t>
            </w:r>
            <w:r>
              <w:rPr>
                <w:rFonts w:ascii="Times New Roman" w:hAnsi="Times New Roman" w:eastAsia="仿宋_GB2312" w:cs="Times New Roman"/>
                <w:b/>
                <w:bCs/>
                <w:color w:val="000000"/>
                <w:sz w:val="21"/>
                <w:szCs w:val="21"/>
                <w:highlight w:val="none"/>
              </w:rPr>
              <w:t xml:space="preserve"> </w:t>
            </w:r>
            <w:r>
              <w:rPr>
                <w:rFonts w:hint="eastAsia" w:ascii="Times New Roman" w:hAnsi="Times New Roman" w:eastAsia="仿宋_GB2312" w:cs="仿宋_GB2312"/>
                <w:color w:val="000000"/>
                <w:sz w:val="21"/>
                <w:szCs w:val="21"/>
                <w:highlight w:val="none"/>
              </w:rPr>
              <w:t>医疗卫生机构、医疗废物集中处置单位有下列情形之一的，由县级以上地方人民政府卫生行政主管部门或者环境保护行政主管部门按照各自的职责责令限期改正，给予警告，并处</w:t>
            </w:r>
            <w:r>
              <w:rPr>
                <w:rFonts w:ascii="Times New Roman" w:hAnsi="Times New Roman" w:eastAsia="仿宋_GB2312" w:cs="Times New Roman"/>
                <w:color w:val="000000"/>
                <w:sz w:val="21"/>
                <w:szCs w:val="21"/>
                <w:highlight w:val="none"/>
              </w:rPr>
              <w:t>5000</w:t>
            </w:r>
            <w:r>
              <w:rPr>
                <w:rFonts w:hint="eastAsia" w:ascii="Times New Roman" w:hAnsi="Times New Roman" w:eastAsia="仿宋_GB2312" w:cs="仿宋_GB2312"/>
                <w:color w:val="000000"/>
                <w:sz w:val="21"/>
                <w:szCs w:val="21"/>
                <w:highlight w:val="none"/>
              </w:rPr>
              <w:t>元以上</w:t>
            </w: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万元以下的罚款；逾期不改正的，处</w:t>
            </w: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万元以上</w:t>
            </w:r>
            <w:r>
              <w:rPr>
                <w:rFonts w:ascii="Times New Roman" w:hAnsi="Times New Roman" w:eastAsia="仿宋_GB2312" w:cs="Times New Roman"/>
                <w:color w:val="000000"/>
                <w:sz w:val="21"/>
                <w:szCs w:val="21"/>
                <w:highlight w:val="none"/>
              </w:rPr>
              <w:t>3</w:t>
            </w:r>
            <w:r>
              <w:rPr>
                <w:rFonts w:hint="eastAsia" w:ascii="Times New Roman" w:hAnsi="Times New Roman" w:eastAsia="仿宋_GB2312" w:cs="仿宋_GB2312"/>
                <w:color w:val="000000"/>
                <w:sz w:val="21"/>
                <w:szCs w:val="21"/>
                <w:highlight w:val="none"/>
              </w:rPr>
              <w:t>万元以下的罚款；造成传染病传播或者环境污染事故的，由原发证部门暂扣或者吊销执业许可证件或者经营许可证件；构成犯罪的，依法追究刑事责任：</w:t>
            </w:r>
          </w:p>
          <w:p>
            <w:pPr>
              <w:pStyle w:val="12"/>
              <w:snapToGrid w:val="0"/>
              <w:spacing w:before="0" w:beforeAutospacing="0" w:after="0" w:afterAutospacing="0"/>
              <w:ind w:firstLine="480"/>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（四）对医疗废物的处置不符合国家规定的环境保护、卫生标准、规范的。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10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9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处置医疗废物数量</w:t>
            </w:r>
            <w:r>
              <w:rPr>
                <w:rFonts w:hint="eastAsia" w:ascii="Times New Roman" w:hAnsi="Times New Roman" w:cs="宋体"/>
                <w:b/>
                <w:bCs/>
                <w:highlight w:val="none"/>
              </w:rPr>
              <w:t>★</w:t>
            </w: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处置医疗废物</w:t>
            </w: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吨以下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处置医疗废物</w:t>
            </w: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吨以上不足</w:t>
            </w:r>
            <w:r>
              <w:rPr>
                <w:rFonts w:ascii="Times New Roman" w:hAnsi="Times New Roman" w:eastAsia="仿宋_GB2312" w:cs="Times New Roman"/>
                <w:color w:val="000000"/>
                <w:sz w:val="21"/>
                <w:szCs w:val="21"/>
                <w:highlight w:val="none"/>
              </w:rPr>
              <w:t>3</w:t>
            </w:r>
            <w:r>
              <w:rPr>
                <w:rFonts w:hint="eastAsia" w:ascii="Times New Roman" w:hAnsi="Times New Roman" w:eastAsia="仿宋_GB2312" w:cs="仿宋_GB2312"/>
                <w:color w:val="000000"/>
                <w:sz w:val="21"/>
                <w:szCs w:val="21"/>
                <w:highlight w:val="none"/>
              </w:rPr>
              <w:t>吨</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处置医疗废物</w:t>
            </w:r>
            <w:r>
              <w:rPr>
                <w:rFonts w:ascii="Times New Roman" w:hAnsi="Times New Roman" w:eastAsia="仿宋_GB2312" w:cs="Times New Roman"/>
                <w:color w:val="000000"/>
                <w:sz w:val="21"/>
                <w:szCs w:val="21"/>
                <w:highlight w:val="none"/>
              </w:rPr>
              <w:t>3</w:t>
            </w:r>
            <w:r>
              <w:rPr>
                <w:rFonts w:hint="eastAsia" w:ascii="Times New Roman" w:hAnsi="Times New Roman" w:eastAsia="仿宋_GB2312" w:cs="仿宋_GB2312"/>
                <w:color w:val="000000"/>
                <w:sz w:val="21"/>
                <w:szCs w:val="21"/>
                <w:highlight w:val="none"/>
              </w:rPr>
              <w:t>吨以上</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违法行为持续时间或</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发生频次</w:t>
            </w:r>
          </w:p>
        </w:tc>
        <w:tc>
          <w:tcPr>
            <w:tcW w:w="510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个月以内或</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次以下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3</w:t>
            </w:r>
            <w:r>
              <w:rPr>
                <w:rFonts w:hint="eastAsia" w:ascii="Times New Roman" w:hAnsi="Times New Roman" w:eastAsia="仿宋_GB2312" w:cs="仿宋_GB2312"/>
                <w:color w:val="000000"/>
                <w:sz w:val="21"/>
                <w:szCs w:val="21"/>
                <w:highlight w:val="none"/>
              </w:rPr>
              <w:t>个月以上</w:t>
            </w:r>
            <w:r>
              <w:rPr>
                <w:rFonts w:ascii="Times New Roman" w:hAnsi="Times New Roman" w:eastAsia="仿宋_GB2312" w:cs="Times New Roman"/>
                <w:color w:val="000000"/>
                <w:sz w:val="21"/>
                <w:szCs w:val="21"/>
                <w:highlight w:val="none"/>
              </w:rPr>
              <w:t>6</w:t>
            </w:r>
            <w:r>
              <w:rPr>
                <w:rFonts w:hint="eastAsia" w:ascii="Times New Roman" w:hAnsi="Times New Roman" w:eastAsia="仿宋_GB2312" w:cs="仿宋_GB2312"/>
                <w:color w:val="000000"/>
                <w:sz w:val="21"/>
                <w:szCs w:val="21"/>
                <w:highlight w:val="none"/>
              </w:rPr>
              <w:t>个月以内或</w:t>
            </w:r>
            <w:r>
              <w:rPr>
                <w:rFonts w:ascii="Times New Roman" w:hAnsi="Times New Roman" w:eastAsia="仿宋_GB2312" w:cs="Times New Roman"/>
                <w:color w:val="000000"/>
                <w:sz w:val="21"/>
                <w:szCs w:val="21"/>
                <w:highlight w:val="none"/>
              </w:rPr>
              <w:t>2</w:t>
            </w:r>
            <w:r>
              <w:rPr>
                <w:rFonts w:hint="eastAsia" w:ascii="Times New Roman" w:hAnsi="Times New Roman" w:eastAsia="仿宋_GB2312" w:cs="仿宋_GB2312"/>
                <w:color w:val="000000"/>
                <w:sz w:val="21"/>
                <w:szCs w:val="21"/>
                <w:highlight w:val="none"/>
              </w:rPr>
              <w:t>次</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6</w:t>
            </w:r>
            <w:r>
              <w:rPr>
                <w:rFonts w:hint="eastAsia" w:ascii="Times New Roman" w:hAnsi="Times New Roman" w:eastAsia="仿宋_GB2312" w:cs="仿宋_GB2312"/>
                <w:color w:val="000000"/>
                <w:sz w:val="21"/>
                <w:szCs w:val="21"/>
                <w:highlight w:val="none"/>
              </w:rPr>
              <w:t>个月以上或</w:t>
            </w:r>
            <w:r>
              <w:rPr>
                <w:rFonts w:ascii="Times New Roman" w:hAnsi="Times New Roman" w:eastAsia="仿宋_GB2312" w:cs="Times New Roman"/>
                <w:color w:val="000000"/>
                <w:sz w:val="21"/>
                <w:szCs w:val="21"/>
                <w:highlight w:val="none"/>
              </w:rPr>
              <w:t>3</w:t>
            </w:r>
            <w:r>
              <w:rPr>
                <w:rFonts w:hint="eastAsia" w:ascii="Times New Roman" w:hAnsi="Times New Roman" w:eastAsia="仿宋_GB2312" w:cs="仿宋_GB2312"/>
                <w:color w:val="000000"/>
                <w:sz w:val="21"/>
                <w:szCs w:val="21"/>
                <w:highlight w:val="none"/>
              </w:rPr>
              <w:t>次以上</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超过限期</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改正</w:t>
            </w:r>
            <w:r>
              <w:rPr>
                <w:rFonts w:hint="eastAsia" w:ascii="Times New Roman" w:hAnsi="Times New Roman" w:cs="宋体"/>
                <w:b/>
                <w:bCs/>
                <w:color w:val="000000"/>
                <w:highlight w:val="none"/>
              </w:rPr>
              <w:t>时间（仅适用于</w:t>
            </w:r>
            <w:r>
              <w:rPr>
                <w:rFonts w:ascii="Times New Roman" w:hAnsi="Times New Roman" w:cs="宋体"/>
                <w:b/>
                <w:bCs/>
                <w:color w:val="000000"/>
                <w:highlight w:val="none"/>
              </w:rPr>
              <w:t>逾期不改正情形</w:t>
            </w:r>
            <w:r>
              <w:rPr>
                <w:rFonts w:hint="eastAsia" w:ascii="Times New Roman" w:hAnsi="Times New Roman" w:cs="宋体"/>
                <w:b/>
                <w:bCs/>
                <w:color w:val="000000"/>
                <w:highlight w:val="none"/>
              </w:rPr>
              <w:t>）</w:t>
            </w:r>
          </w:p>
        </w:tc>
        <w:tc>
          <w:tcPr>
            <w:tcW w:w="510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不足</w:t>
            </w:r>
            <w:r>
              <w:rPr>
                <w:rFonts w:ascii="Times New Roman" w:hAnsi="Times New Roman" w:eastAsia="仿宋_GB2312" w:cs="Times New Roman"/>
                <w:highlight w:val="none"/>
              </w:rPr>
              <w:t>5</w:t>
            </w:r>
            <w:r>
              <w:rPr>
                <w:rFonts w:hint="eastAsia" w:ascii="Times New Roman" w:hAnsi="Times New Roman" w:eastAsia="仿宋_GB2312" w:cs="仿宋_GB2312"/>
                <w:highlight w:val="none"/>
              </w:rPr>
              <w:t>天</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sz w:val="21"/>
                <w:szCs w:val="21"/>
                <w:highlight w:val="none"/>
              </w:rPr>
              <w:t>5</w:t>
            </w:r>
            <w:r>
              <w:rPr>
                <w:rFonts w:hint="eastAsia" w:ascii="Times New Roman" w:hAnsi="Times New Roman" w:eastAsia="仿宋_GB2312" w:cs="仿宋_GB2312"/>
                <w:sz w:val="21"/>
                <w:szCs w:val="21"/>
                <w:highlight w:val="none"/>
              </w:rPr>
              <w:t>天以上不足</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天</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天以上不足</w:t>
            </w:r>
            <w:r>
              <w:rPr>
                <w:rFonts w:ascii="Times New Roman" w:hAnsi="Times New Roman" w:eastAsia="仿宋_GB2312" w:cs="Times New Roman"/>
                <w:sz w:val="21"/>
                <w:szCs w:val="21"/>
                <w:highlight w:val="none"/>
              </w:rPr>
              <w:t>20</w:t>
            </w:r>
            <w:r>
              <w:rPr>
                <w:rFonts w:hint="eastAsia" w:ascii="Times New Roman" w:hAnsi="Times New Roman" w:eastAsia="仿宋_GB2312" w:cs="仿宋_GB2312"/>
                <w:sz w:val="21"/>
                <w:szCs w:val="21"/>
                <w:highlight w:val="none"/>
              </w:rPr>
              <w:t>天</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sz w:val="21"/>
                <w:szCs w:val="21"/>
                <w:highlight w:val="none"/>
              </w:rPr>
              <w:t>20</w:t>
            </w:r>
            <w:r>
              <w:rPr>
                <w:rFonts w:hint="eastAsia" w:ascii="Times New Roman" w:hAnsi="Times New Roman" w:eastAsia="仿宋_GB2312" w:cs="仿宋_GB2312"/>
                <w:sz w:val="21"/>
                <w:szCs w:val="21"/>
                <w:highlight w:val="none"/>
              </w:rPr>
              <w:t>天以上不足</w:t>
            </w:r>
            <w:r>
              <w:rPr>
                <w:rFonts w:ascii="Times New Roman" w:hAnsi="Times New Roman" w:eastAsia="仿宋_GB2312" w:cs="Times New Roman"/>
                <w:sz w:val="21"/>
                <w:szCs w:val="21"/>
                <w:highlight w:val="none"/>
              </w:rPr>
              <w:t>1</w:t>
            </w:r>
            <w:r>
              <w:rPr>
                <w:rFonts w:hint="eastAsia" w:ascii="Times New Roman" w:hAnsi="Times New Roman" w:eastAsia="仿宋_GB2312" w:cs="仿宋_GB2312"/>
                <w:sz w:val="21"/>
                <w:szCs w:val="21"/>
                <w:highlight w:val="none"/>
              </w:rPr>
              <w:t>个月</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sz w:val="21"/>
                <w:szCs w:val="21"/>
                <w:highlight w:val="none"/>
              </w:rPr>
              <w:t>1</w:t>
            </w:r>
            <w:r>
              <w:rPr>
                <w:rFonts w:hint="eastAsia" w:ascii="Times New Roman" w:hAnsi="Times New Roman" w:eastAsia="仿宋_GB2312" w:cs="仿宋_GB2312"/>
                <w:sz w:val="21"/>
                <w:szCs w:val="21"/>
                <w:highlight w:val="none"/>
              </w:rPr>
              <w:t>个月以上</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796" w:type="dxa"/>
            <w:gridSpan w:val="2"/>
            <w:vAlign w:val="center"/>
          </w:tcPr>
          <w:p>
            <w:pPr>
              <w:snapToGrid w:val="0"/>
              <w:ind w:firstLine="420"/>
              <w:jc w:val="center"/>
              <w:rPr>
                <w:rFonts w:ascii="Times New Roman" w:hAnsi="Times New Roman" w:cs="Times New Roman"/>
                <w:color w:val="000000"/>
                <w:highlight w:val="none"/>
              </w:rPr>
            </w:pPr>
          </w:p>
        </w:tc>
      </w:tr>
    </w:tbl>
    <w:p>
      <w:pPr>
        <w:snapToGrid w:val="0"/>
        <w:rPr>
          <w:rFonts w:ascii="Times New Roman" w:hAnsi="Times New Roman" w:cs="Times New Roman"/>
          <w:color w:val="000000"/>
          <w:sz w:val="10"/>
          <w:szCs w:val="10"/>
          <w:highlight w:val="none"/>
        </w:rPr>
      </w:pPr>
      <w:r>
        <w:rPr>
          <w:rFonts w:ascii="Times New Roman" w:hAnsi="Times New Roman" w:cs="Times New Roman"/>
          <w:color w:val="000000"/>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5103"/>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仿宋_GB2312"/>
                <w:b/>
                <w:bCs/>
                <w:sz w:val="32"/>
                <w:szCs w:val="32"/>
                <w:highlight w:val="none"/>
              </w:rPr>
              <w:t>（四）固体废物污染防治类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796" w:type="dxa"/>
            <w:gridSpan w:val="2"/>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796" w:type="dxa"/>
            <w:gridSpan w:val="2"/>
          </w:tcPr>
          <w:p>
            <w:pPr>
              <w:snapToGrid w:val="0"/>
              <w:spacing w:before="62" w:beforeLines="20"/>
              <w:ind w:firstLine="420" w:firstLineChars="200"/>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医疗卫生机构、医疗废物集中处置单位发生医疗废物流失、泄漏、扩散时，未采取紧急处理措施，或者未及时向环境保护行政主管部门报告的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违反条款</w:t>
            </w:r>
          </w:p>
        </w:tc>
        <w:tc>
          <w:tcPr>
            <w:tcW w:w="7796" w:type="dxa"/>
            <w:gridSpan w:val="2"/>
          </w:tcPr>
          <w:p>
            <w:pPr>
              <w:pStyle w:val="12"/>
              <w:snapToGrid w:val="0"/>
              <w:spacing w:before="62" w:beforeLines="20" w:beforeAutospacing="0" w:after="0" w:afterAutospacing="0" w:line="288" w:lineRule="auto"/>
              <w:ind w:firstLine="422" w:firstLineChars="200"/>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b/>
                <w:bCs/>
                <w:color w:val="000000"/>
                <w:sz w:val="21"/>
                <w:szCs w:val="21"/>
                <w:highlight w:val="none"/>
              </w:rPr>
              <w:t>《医疗废物管理条例》第十三条第二款</w:t>
            </w:r>
            <w:r>
              <w:rPr>
                <w:rFonts w:ascii="Times New Roman" w:hAnsi="Times New Roman" w:eastAsia="仿宋_GB2312" w:cs="Times New Roman"/>
                <w:color w:val="000000"/>
                <w:sz w:val="21"/>
                <w:szCs w:val="21"/>
                <w:highlight w:val="none"/>
              </w:rPr>
              <w:t xml:space="preserve"> </w:t>
            </w:r>
            <w:r>
              <w:rPr>
                <w:rFonts w:hint="eastAsia" w:ascii="Times New Roman" w:hAnsi="Times New Roman" w:eastAsia="仿宋_GB2312" w:cs="仿宋_GB2312"/>
                <w:color w:val="000000"/>
                <w:sz w:val="21"/>
                <w:szCs w:val="21"/>
                <w:highlight w:val="none"/>
              </w:rPr>
              <w:t>发生医疗废物流失、泄漏、扩散时，医疗卫生机构和医疗废物集中处置单位应当采取减少危害的紧急处理措施，对致病人员提供医疗救护和现场救援；同时向所在地的县级人民政府卫生行政主管部门、环境保护行政主管部门报告，并向可能受到危害的单位和居民通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处罚依据</w:t>
            </w:r>
          </w:p>
        </w:tc>
        <w:tc>
          <w:tcPr>
            <w:tcW w:w="7796" w:type="dxa"/>
            <w:gridSpan w:val="2"/>
          </w:tcPr>
          <w:p>
            <w:pPr>
              <w:pStyle w:val="12"/>
              <w:snapToGrid w:val="0"/>
              <w:spacing w:before="62" w:beforeLines="20" w:beforeAutospacing="0" w:after="0" w:afterAutospacing="0"/>
              <w:ind w:firstLine="482"/>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b/>
                <w:bCs/>
                <w:color w:val="000000"/>
                <w:sz w:val="21"/>
                <w:szCs w:val="21"/>
                <w:highlight w:val="none"/>
              </w:rPr>
              <w:t>《医疗废物管理条例》第四十九条</w:t>
            </w:r>
            <w:r>
              <w:rPr>
                <w:rFonts w:ascii="Times New Roman" w:hAnsi="Times New Roman" w:eastAsia="仿宋_GB2312" w:cs="Times New Roman"/>
                <w:b/>
                <w:bCs/>
                <w:color w:val="000000"/>
                <w:sz w:val="21"/>
                <w:szCs w:val="21"/>
                <w:highlight w:val="none"/>
              </w:rPr>
              <w:t xml:space="preserve"> </w:t>
            </w:r>
            <w:r>
              <w:rPr>
                <w:rFonts w:hint="eastAsia" w:ascii="Times New Roman" w:hAnsi="Times New Roman" w:eastAsia="仿宋_GB2312" w:cs="仿宋_GB2312"/>
                <w:color w:val="000000"/>
                <w:sz w:val="21"/>
                <w:szCs w:val="21"/>
                <w:highlight w:val="none"/>
              </w:rPr>
              <w:t>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w:t>
            </w: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万元以上</w:t>
            </w:r>
            <w:r>
              <w:rPr>
                <w:rFonts w:ascii="Times New Roman" w:hAnsi="Times New Roman" w:eastAsia="仿宋_GB2312" w:cs="Times New Roman"/>
                <w:color w:val="000000"/>
                <w:sz w:val="21"/>
                <w:szCs w:val="21"/>
                <w:highlight w:val="none"/>
              </w:rPr>
              <w:t>3</w:t>
            </w:r>
            <w:r>
              <w:rPr>
                <w:rFonts w:hint="eastAsia" w:ascii="Times New Roman" w:hAnsi="Times New Roman" w:eastAsia="仿宋_GB2312" w:cs="仿宋_GB2312"/>
                <w:color w:val="000000"/>
                <w:sz w:val="21"/>
                <w:szCs w:val="21"/>
                <w:highlight w:val="none"/>
              </w:rPr>
              <w:t>万元以下的罚款；造成传染病传播或者环境污染事故的，由原发证部门暂扣或者吊销执业许可证件或者经营许可证件；构成犯罪的，依法追究刑事责任。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10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9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涉及医疗</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废物数量</w:t>
            </w:r>
            <w:r>
              <w:rPr>
                <w:rFonts w:hint="eastAsia" w:ascii="Times New Roman" w:hAnsi="Times New Roman" w:cs="宋体"/>
                <w:b/>
                <w:bCs/>
                <w:highlight w:val="none"/>
              </w:rPr>
              <w:t>★</w:t>
            </w: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吨以下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吨以上不足</w:t>
            </w:r>
            <w:r>
              <w:rPr>
                <w:rFonts w:ascii="Times New Roman" w:hAnsi="Times New Roman" w:eastAsia="仿宋_GB2312" w:cs="Times New Roman"/>
                <w:color w:val="000000"/>
                <w:sz w:val="21"/>
                <w:szCs w:val="21"/>
                <w:highlight w:val="none"/>
              </w:rPr>
              <w:t>3</w:t>
            </w:r>
            <w:r>
              <w:rPr>
                <w:rFonts w:hint="eastAsia" w:ascii="Times New Roman" w:hAnsi="Times New Roman" w:eastAsia="仿宋_GB2312" w:cs="仿宋_GB2312"/>
                <w:color w:val="000000"/>
                <w:sz w:val="21"/>
                <w:szCs w:val="21"/>
                <w:highlight w:val="none"/>
              </w:rPr>
              <w:t>吨</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3</w:t>
            </w:r>
            <w:r>
              <w:rPr>
                <w:rFonts w:hint="eastAsia" w:ascii="Times New Roman" w:hAnsi="Times New Roman" w:eastAsia="仿宋_GB2312" w:cs="仿宋_GB2312"/>
                <w:color w:val="000000"/>
                <w:sz w:val="21"/>
                <w:szCs w:val="21"/>
                <w:highlight w:val="none"/>
              </w:rPr>
              <w:t>吨以上</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restart"/>
            <w:vAlign w:val="center"/>
          </w:tcPr>
          <w:p>
            <w:pPr>
              <w:snapToGrid w:val="0"/>
              <w:jc w:val="center"/>
              <w:rPr>
                <w:rFonts w:ascii="Times New Roman" w:hAnsi="Times New Roman" w:cs="Times New Roman"/>
                <w:color w:val="000000"/>
                <w:highlight w:val="none"/>
              </w:rPr>
            </w:pPr>
            <w:r>
              <w:rPr>
                <w:rFonts w:hint="eastAsia" w:ascii="Times New Roman" w:hAnsi="Times New Roman" w:cs="宋体"/>
                <w:b/>
                <w:bCs/>
                <w:color w:val="000000"/>
                <w:highlight w:val="none"/>
              </w:rPr>
              <w:t>未及时</w:t>
            </w:r>
            <w:r>
              <w:rPr>
                <w:rFonts w:ascii="Times New Roman" w:hAnsi="Times New Roman" w:cs="宋体"/>
                <w:b/>
                <w:bCs/>
                <w:color w:val="000000"/>
                <w:highlight w:val="none"/>
              </w:rPr>
              <w:t>报告时间</w:t>
            </w: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Times New Roman"/>
                <w:color w:val="000000"/>
                <w:sz w:val="21"/>
                <w:szCs w:val="21"/>
                <w:highlight w:val="none"/>
              </w:rPr>
              <w:t>1天以内的</w:t>
            </w:r>
          </w:p>
        </w:tc>
        <w:tc>
          <w:tcPr>
            <w:tcW w:w="2693"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Times New Roman"/>
                <w:color w:val="000000"/>
                <w:sz w:val="21"/>
                <w:szCs w:val="21"/>
                <w:highlight w:val="none"/>
              </w:rPr>
              <w:t>1天以上7天以内</w:t>
            </w:r>
            <w:r>
              <w:rPr>
                <w:rFonts w:ascii="Times New Roman" w:hAnsi="Times New Roman" w:eastAsia="仿宋_GB2312" w:cs="Times New Roman"/>
                <w:color w:val="000000"/>
                <w:sz w:val="21"/>
                <w:szCs w:val="21"/>
                <w:highlight w:val="none"/>
              </w:rPr>
              <w:t>的</w:t>
            </w:r>
          </w:p>
        </w:tc>
        <w:tc>
          <w:tcPr>
            <w:tcW w:w="2693"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Times New Roman"/>
                <w:color w:val="000000"/>
                <w:sz w:val="21"/>
                <w:szCs w:val="21"/>
                <w:highlight w:val="none"/>
              </w:rPr>
              <w:t>7天</w:t>
            </w:r>
            <w:r>
              <w:rPr>
                <w:rFonts w:ascii="Times New Roman" w:hAnsi="Times New Roman" w:eastAsia="仿宋_GB2312" w:cs="Times New Roman"/>
                <w:color w:val="000000"/>
                <w:sz w:val="21"/>
                <w:szCs w:val="21"/>
                <w:highlight w:val="none"/>
              </w:rPr>
              <w:t>以上的</w:t>
            </w:r>
          </w:p>
        </w:tc>
        <w:tc>
          <w:tcPr>
            <w:tcW w:w="2693"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796" w:type="dxa"/>
            <w:gridSpan w:val="2"/>
            <w:vAlign w:val="center"/>
          </w:tcPr>
          <w:p>
            <w:pPr>
              <w:snapToGrid w:val="0"/>
              <w:ind w:firstLine="420"/>
              <w:jc w:val="center"/>
              <w:rPr>
                <w:rFonts w:ascii="Times New Roman" w:hAnsi="Times New Roman" w:cs="Times New Roman"/>
                <w:color w:val="000000"/>
                <w:highlight w:val="none"/>
              </w:rPr>
            </w:pPr>
          </w:p>
        </w:tc>
      </w:tr>
    </w:tbl>
    <w:p>
      <w:pPr>
        <w:snapToGrid w:val="0"/>
        <w:rPr>
          <w:rFonts w:ascii="Times New Roman" w:hAnsi="Times New Roman" w:cs="Times New Roman"/>
          <w:color w:val="000000"/>
          <w:sz w:val="10"/>
          <w:szCs w:val="10"/>
          <w:highlight w:val="none"/>
        </w:rPr>
      </w:pPr>
      <w:r>
        <w:rPr>
          <w:rFonts w:ascii="Times New Roman" w:hAnsi="Times New Roman" w:cs="Times New Roman"/>
          <w:color w:val="000000"/>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5103"/>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仿宋_GB2312"/>
                <w:b/>
                <w:bCs/>
                <w:sz w:val="32"/>
                <w:szCs w:val="32"/>
                <w:highlight w:val="none"/>
              </w:rPr>
              <w:t>（四）固体废物污染防治类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796" w:type="dxa"/>
            <w:gridSpan w:val="2"/>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796" w:type="dxa"/>
            <w:gridSpan w:val="2"/>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未取得经营许可证从事医疗废物的收集、运送、贮存、处置等活动的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违反条款</w:t>
            </w:r>
          </w:p>
        </w:tc>
        <w:tc>
          <w:tcPr>
            <w:tcW w:w="7796" w:type="dxa"/>
            <w:gridSpan w:val="2"/>
          </w:tcPr>
          <w:p>
            <w:pPr>
              <w:pStyle w:val="12"/>
              <w:snapToGrid w:val="0"/>
              <w:spacing w:before="62" w:beforeLines="20" w:beforeAutospacing="0" w:after="0" w:afterAutospacing="0" w:line="288" w:lineRule="auto"/>
              <w:ind w:firstLine="482"/>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b/>
                <w:bCs/>
                <w:color w:val="000000"/>
                <w:sz w:val="21"/>
                <w:szCs w:val="21"/>
                <w:highlight w:val="none"/>
              </w:rPr>
              <w:t>《医疗废物管理条例》第二十二条</w:t>
            </w:r>
            <w:r>
              <w:rPr>
                <w:rFonts w:ascii="Times New Roman" w:hAnsi="Times New Roman" w:eastAsia="仿宋_GB2312" w:cs="Times New Roman"/>
                <w:color w:val="000000"/>
                <w:sz w:val="21"/>
                <w:szCs w:val="21"/>
                <w:highlight w:val="none"/>
              </w:rPr>
              <w:t xml:space="preserve"> </w:t>
            </w:r>
            <w:r>
              <w:rPr>
                <w:rFonts w:hint="eastAsia" w:ascii="Times New Roman" w:hAnsi="Times New Roman" w:eastAsia="仿宋_GB2312" w:cs="仿宋_GB2312"/>
                <w:color w:val="000000"/>
                <w:sz w:val="21"/>
                <w:szCs w:val="21"/>
                <w:highlight w:val="none"/>
              </w:rPr>
              <w:t>从事医疗废物集中处置活动的单位，应当向县级以上人民政府环境保护行政主管部门申请领取经营许可证；未取得经营许可证的单位，不得从事有关医疗废物集中处置的活动。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处罚依据</w:t>
            </w:r>
          </w:p>
        </w:tc>
        <w:tc>
          <w:tcPr>
            <w:tcW w:w="7796" w:type="dxa"/>
            <w:gridSpan w:val="2"/>
          </w:tcPr>
          <w:p>
            <w:pPr>
              <w:snapToGrid w:val="0"/>
              <w:spacing w:before="62" w:beforeLines="20" w:line="288" w:lineRule="auto"/>
              <w:ind w:firstLine="420"/>
              <w:rPr>
                <w:rFonts w:ascii="Times New Roman" w:hAnsi="Times New Roman" w:eastAsia="仿宋_GB2312" w:cs="Times New Roman"/>
                <w:color w:val="000000"/>
                <w:highlight w:val="none"/>
              </w:rPr>
            </w:pPr>
            <w:r>
              <w:rPr>
                <w:rFonts w:hint="eastAsia" w:ascii="Times New Roman" w:hAnsi="Times New Roman" w:eastAsia="仿宋_GB2312" w:cs="仿宋_GB2312"/>
                <w:b/>
                <w:bCs/>
                <w:color w:val="000000"/>
                <w:highlight w:val="none"/>
              </w:rPr>
              <w:t>《医疗废物管理条例》第五十二条</w:t>
            </w:r>
            <w:r>
              <w:rPr>
                <w:rFonts w:ascii="Times New Roman" w:hAnsi="Times New Roman" w:eastAsia="仿宋_GB2312" w:cs="Times New Roman"/>
                <w:color w:val="000000"/>
                <w:highlight w:val="none"/>
              </w:rPr>
              <w:t xml:space="preserve"> </w:t>
            </w:r>
            <w:r>
              <w:rPr>
                <w:rFonts w:hint="eastAsia" w:ascii="Times New Roman" w:hAnsi="Times New Roman" w:eastAsia="仿宋_GB2312" w:cs="仿宋_GB2312"/>
                <w:color w:val="000000"/>
                <w:highlight w:val="none"/>
              </w:rPr>
              <w:t>未取得经营许可证从事医疗废物的收集、运送、贮存、处置等活动的，由县级以上地方人民政府环境保护行政主管部门责令立即停止违法行为，没收违法所得，可以并处违法所得</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10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9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涉及医疗</w:t>
            </w:r>
          </w:p>
          <w:p>
            <w:pPr>
              <w:snapToGrid w:val="0"/>
              <w:jc w:val="center"/>
              <w:rPr>
                <w:rFonts w:ascii="Times New Roman" w:hAnsi="Times New Roman" w:cs="宋体"/>
                <w:b/>
                <w:bCs/>
                <w:color w:val="000000"/>
                <w:highlight w:val="none"/>
              </w:rPr>
            </w:pPr>
            <w:r>
              <w:rPr>
                <w:rFonts w:hint="eastAsia" w:ascii="Times New Roman" w:hAnsi="Times New Roman" w:cs="宋体"/>
                <w:b/>
                <w:bCs/>
                <w:color w:val="000000"/>
                <w:highlight w:val="none"/>
              </w:rPr>
              <w:t>废物数量</w:t>
            </w:r>
            <w:r>
              <w:rPr>
                <w:rFonts w:hint="eastAsia" w:ascii="Times New Roman" w:hAnsi="Times New Roman" w:cs="宋体"/>
                <w:b/>
                <w:bCs/>
                <w:highlight w:val="none"/>
              </w:rPr>
              <w:t>★</w:t>
            </w: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吨以下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宋体"/>
                <w:b/>
                <w:bCs/>
                <w:color w:val="000000"/>
                <w:highlight w:val="none"/>
              </w:rPr>
            </w:pP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吨以上不足</w:t>
            </w:r>
            <w:r>
              <w:rPr>
                <w:rFonts w:ascii="Times New Roman" w:hAnsi="Times New Roman" w:eastAsia="仿宋_GB2312" w:cs="Times New Roman"/>
                <w:color w:val="000000"/>
                <w:sz w:val="21"/>
                <w:szCs w:val="21"/>
                <w:highlight w:val="none"/>
              </w:rPr>
              <w:t>3</w:t>
            </w:r>
            <w:r>
              <w:rPr>
                <w:rFonts w:hint="eastAsia" w:ascii="Times New Roman" w:hAnsi="Times New Roman" w:eastAsia="仿宋_GB2312" w:cs="仿宋_GB2312"/>
                <w:color w:val="000000"/>
                <w:sz w:val="21"/>
                <w:szCs w:val="21"/>
                <w:highlight w:val="none"/>
              </w:rPr>
              <w:t>吨</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宋体"/>
                <w:b/>
                <w:bCs/>
                <w:color w:val="000000"/>
                <w:highlight w:val="none"/>
              </w:rPr>
            </w:pP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3</w:t>
            </w:r>
            <w:r>
              <w:rPr>
                <w:rFonts w:hint="eastAsia" w:ascii="Times New Roman" w:hAnsi="Times New Roman" w:eastAsia="仿宋_GB2312" w:cs="仿宋_GB2312"/>
                <w:color w:val="000000"/>
                <w:sz w:val="21"/>
                <w:szCs w:val="21"/>
                <w:highlight w:val="none"/>
              </w:rPr>
              <w:t>吨以上</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违法所得</w:t>
            </w: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万元以下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b/>
                <w:bCs/>
                <w:color w:val="000000"/>
                <w:highlight w:val="none"/>
              </w:rPr>
            </w:pP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万元以上不足</w:t>
            </w:r>
            <w:r>
              <w:rPr>
                <w:rFonts w:ascii="Times New Roman" w:hAnsi="Times New Roman" w:eastAsia="仿宋_GB2312" w:cs="Times New Roman"/>
                <w:color w:val="000000"/>
                <w:sz w:val="21"/>
                <w:szCs w:val="21"/>
                <w:highlight w:val="none"/>
              </w:rPr>
              <w:t>30</w:t>
            </w:r>
            <w:r>
              <w:rPr>
                <w:rFonts w:hint="eastAsia" w:ascii="Times New Roman" w:hAnsi="Times New Roman" w:eastAsia="仿宋_GB2312" w:cs="仿宋_GB2312"/>
                <w:color w:val="000000"/>
                <w:sz w:val="21"/>
                <w:szCs w:val="21"/>
                <w:highlight w:val="none"/>
              </w:rPr>
              <w:t>万元</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b/>
                <w:bCs/>
                <w:color w:val="000000"/>
                <w:highlight w:val="none"/>
              </w:rPr>
            </w:pP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30</w:t>
            </w:r>
            <w:r>
              <w:rPr>
                <w:rFonts w:hint="eastAsia" w:ascii="Times New Roman" w:hAnsi="Times New Roman" w:eastAsia="仿宋_GB2312" w:cs="仿宋_GB2312"/>
                <w:color w:val="000000"/>
                <w:sz w:val="21"/>
                <w:szCs w:val="21"/>
                <w:highlight w:val="none"/>
              </w:rPr>
              <w:t>万元以上不足</w:t>
            </w:r>
            <w:r>
              <w:rPr>
                <w:rFonts w:ascii="Times New Roman" w:hAnsi="Times New Roman" w:eastAsia="仿宋_GB2312" w:cs="Times New Roman"/>
                <w:color w:val="000000"/>
                <w:sz w:val="21"/>
                <w:szCs w:val="21"/>
                <w:highlight w:val="none"/>
              </w:rPr>
              <w:t>50</w:t>
            </w:r>
            <w:r>
              <w:rPr>
                <w:rFonts w:hint="eastAsia" w:ascii="Times New Roman" w:hAnsi="Times New Roman" w:eastAsia="仿宋_GB2312" w:cs="仿宋_GB2312"/>
                <w:color w:val="000000"/>
                <w:sz w:val="21"/>
                <w:szCs w:val="21"/>
                <w:highlight w:val="none"/>
              </w:rPr>
              <w:t>万元</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b/>
                <w:bCs/>
                <w:color w:val="000000"/>
                <w:highlight w:val="none"/>
              </w:rPr>
            </w:pP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50</w:t>
            </w:r>
            <w:r>
              <w:rPr>
                <w:rFonts w:hint="eastAsia" w:ascii="Times New Roman" w:hAnsi="Times New Roman" w:eastAsia="仿宋_GB2312" w:cs="仿宋_GB2312"/>
                <w:color w:val="000000"/>
                <w:sz w:val="21"/>
                <w:szCs w:val="21"/>
                <w:highlight w:val="none"/>
              </w:rPr>
              <w:t>万元以上不足</w:t>
            </w:r>
            <w:r>
              <w:rPr>
                <w:rFonts w:ascii="Times New Roman" w:hAnsi="Times New Roman" w:eastAsia="仿宋_GB2312" w:cs="Times New Roman"/>
                <w:color w:val="000000"/>
                <w:sz w:val="21"/>
                <w:szCs w:val="21"/>
                <w:highlight w:val="none"/>
              </w:rPr>
              <w:t>100</w:t>
            </w:r>
            <w:r>
              <w:rPr>
                <w:rFonts w:hint="eastAsia" w:ascii="Times New Roman" w:hAnsi="Times New Roman" w:eastAsia="仿宋_GB2312" w:cs="仿宋_GB2312"/>
                <w:color w:val="000000"/>
                <w:sz w:val="21"/>
                <w:szCs w:val="21"/>
                <w:highlight w:val="none"/>
              </w:rPr>
              <w:t>万元</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b/>
                <w:bCs/>
                <w:color w:val="000000"/>
                <w:highlight w:val="none"/>
              </w:rPr>
            </w:pP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100</w:t>
            </w:r>
            <w:r>
              <w:rPr>
                <w:rFonts w:hint="eastAsia" w:ascii="Times New Roman" w:hAnsi="Times New Roman" w:eastAsia="仿宋_GB2312" w:cs="仿宋_GB2312"/>
                <w:color w:val="000000"/>
                <w:sz w:val="21"/>
                <w:szCs w:val="21"/>
                <w:highlight w:val="none"/>
              </w:rPr>
              <w:t>万元以上</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持续时间</w:t>
            </w:r>
          </w:p>
        </w:tc>
        <w:tc>
          <w:tcPr>
            <w:tcW w:w="510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个月以内</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Merge w:val="continue"/>
            <w:vAlign w:val="center"/>
          </w:tcPr>
          <w:p>
            <w:pPr>
              <w:snapToGrid w:val="0"/>
              <w:jc w:val="center"/>
              <w:rPr>
                <w:rFonts w:ascii="Times New Roman" w:hAnsi="Times New Roman" w:cs="Times New Roman"/>
                <w:b/>
                <w:bCs/>
                <w:color w:val="000000"/>
                <w:highlight w:val="none"/>
              </w:rPr>
            </w:pP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3</w:t>
            </w:r>
            <w:r>
              <w:rPr>
                <w:rFonts w:hint="eastAsia" w:ascii="Times New Roman" w:hAnsi="Times New Roman" w:eastAsia="仿宋_GB2312" w:cs="仿宋_GB2312"/>
                <w:color w:val="000000"/>
                <w:sz w:val="21"/>
                <w:szCs w:val="21"/>
                <w:highlight w:val="none"/>
              </w:rPr>
              <w:t>个月以上</w:t>
            </w:r>
            <w:r>
              <w:rPr>
                <w:rFonts w:ascii="Times New Roman" w:hAnsi="Times New Roman" w:eastAsia="仿宋_GB2312" w:cs="Times New Roman"/>
                <w:color w:val="000000"/>
                <w:sz w:val="21"/>
                <w:szCs w:val="21"/>
                <w:highlight w:val="none"/>
              </w:rPr>
              <w:t>6</w:t>
            </w:r>
            <w:r>
              <w:rPr>
                <w:rFonts w:hint="eastAsia" w:ascii="Times New Roman" w:hAnsi="Times New Roman" w:eastAsia="仿宋_GB2312" w:cs="仿宋_GB2312"/>
                <w:color w:val="000000"/>
                <w:sz w:val="21"/>
                <w:szCs w:val="21"/>
                <w:highlight w:val="none"/>
              </w:rPr>
              <w:t>个月以内</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413" w:type="dxa"/>
            <w:vMerge w:val="continue"/>
            <w:vAlign w:val="center"/>
          </w:tcPr>
          <w:p>
            <w:pPr>
              <w:snapToGrid w:val="0"/>
              <w:jc w:val="center"/>
              <w:rPr>
                <w:rFonts w:ascii="Times New Roman" w:hAnsi="Times New Roman" w:cs="Times New Roman"/>
                <w:b/>
                <w:bCs/>
                <w:color w:val="000000"/>
                <w:highlight w:val="none"/>
              </w:rPr>
            </w:pP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6</w:t>
            </w:r>
            <w:r>
              <w:rPr>
                <w:rFonts w:hint="eastAsia" w:ascii="Times New Roman" w:hAnsi="Times New Roman" w:eastAsia="仿宋_GB2312" w:cs="仿宋_GB2312"/>
                <w:color w:val="000000"/>
                <w:sz w:val="21"/>
                <w:szCs w:val="21"/>
                <w:highlight w:val="none"/>
              </w:rPr>
              <w:t>个月以上</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796" w:type="dxa"/>
            <w:gridSpan w:val="2"/>
            <w:vAlign w:val="center"/>
          </w:tcPr>
          <w:p>
            <w:pPr>
              <w:snapToGrid w:val="0"/>
              <w:ind w:firstLine="420"/>
              <w:jc w:val="center"/>
              <w:rPr>
                <w:rFonts w:ascii="Times New Roman" w:hAnsi="Times New Roman" w:cs="Times New Roman"/>
                <w:color w:val="000000"/>
                <w:highlight w:val="none"/>
              </w:rPr>
            </w:pPr>
          </w:p>
        </w:tc>
      </w:tr>
    </w:tbl>
    <w:p>
      <w:pPr>
        <w:snapToGrid w:val="0"/>
        <w:rPr>
          <w:rFonts w:ascii="Times New Roman" w:hAnsi="Times New Roman" w:cs="Times New Roman"/>
          <w:color w:val="000000"/>
          <w:sz w:val="10"/>
          <w:szCs w:val="10"/>
          <w:highlight w:val="none"/>
        </w:rPr>
      </w:pPr>
      <w:r>
        <w:rPr>
          <w:rFonts w:ascii="Times New Roman" w:hAnsi="Times New Roman" w:cs="Times New Roman"/>
          <w:color w:val="000000"/>
          <w:highlight w:val="none"/>
        </w:rPr>
        <w:br w:type="page"/>
      </w:r>
    </w:p>
    <w:tbl>
      <w:tblPr>
        <w:tblStyle w:val="1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5103"/>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09" w:type="dxa"/>
            <w:gridSpan w:val="3"/>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仿宋_GB2312"/>
                <w:b/>
                <w:bCs/>
                <w:sz w:val="32"/>
                <w:szCs w:val="32"/>
                <w:highlight w:val="none"/>
              </w:rPr>
              <w:t>（四）固体废物污染防治类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4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796" w:type="dxa"/>
            <w:gridSpan w:val="2"/>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796" w:type="dxa"/>
            <w:gridSpan w:val="2"/>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不按规定重新申请危险废物经营许可证或者换证的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违反条款</w:t>
            </w:r>
          </w:p>
        </w:tc>
        <w:tc>
          <w:tcPr>
            <w:tcW w:w="7796" w:type="dxa"/>
            <w:gridSpan w:val="2"/>
            <w:vAlign w:val="center"/>
          </w:tcPr>
          <w:p>
            <w:pPr>
              <w:snapToGrid w:val="0"/>
              <w:ind w:firstLine="442" w:firstLineChars="200"/>
              <w:rPr>
                <w:rFonts w:ascii="Times New Roman" w:hAnsi="Times New Roman" w:eastAsia="仿宋_GB2312" w:cs="Times New Roman"/>
                <w:color w:val="000000"/>
                <w:highlight w:val="none"/>
              </w:rPr>
            </w:pPr>
            <w:r>
              <w:rPr>
                <w:rFonts w:ascii="Times New Roman" w:hAnsi="Times New Roman" w:eastAsia="仿宋_GB2312" w:cs="Times New Roman"/>
                <w:b/>
                <w:bCs/>
                <w:color w:val="000000"/>
                <w:sz w:val="22"/>
                <w:szCs w:val="22"/>
                <w:highlight w:val="none"/>
              </w:rPr>
              <w:t>1</w:t>
            </w:r>
            <w:r>
              <w:rPr>
                <w:rFonts w:hint="eastAsia" w:ascii="Times New Roman" w:hAnsi="Times New Roman" w:eastAsia="仿宋_GB2312" w:cs="仿宋_GB2312"/>
                <w:b/>
                <w:bCs/>
                <w:color w:val="000000"/>
                <w:sz w:val="22"/>
                <w:szCs w:val="22"/>
                <w:highlight w:val="none"/>
              </w:rPr>
              <w:t>．</w:t>
            </w:r>
            <w:r>
              <w:rPr>
                <w:rFonts w:hint="eastAsia" w:ascii="Times New Roman" w:hAnsi="Times New Roman" w:eastAsia="仿宋_GB2312" w:cs="仿宋_GB2312"/>
                <w:b/>
                <w:bCs/>
                <w:color w:val="000000"/>
                <w:highlight w:val="none"/>
              </w:rPr>
              <w:t>《危险废物经营许可证管理办法》第十二条</w:t>
            </w:r>
            <w:r>
              <w:rPr>
                <w:rFonts w:ascii="Times New Roman" w:hAnsi="Times New Roman" w:eastAsia="仿宋_GB2312" w:cs="Times New Roman"/>
                <w:b/>
                <w:bCs/>
                <w:color w:val="000000"/>
                <w:sz w:val="22"/>
                <w:szCs w:val="22"/>
                <w:highlight w:val="none"/>
              </w:rPr>
              <w:t xml:space="preserve"> </w:t>
            </w:r>
            <w:r>
              <w:rPr>
                <w:rFonts w:hint="eastAsia" w:ascii="Times New Roman" w:hAnsi="Times New Roman" w:eastAsia="仿宋_GB2312" w:cs="仿宋_GB2312"/>
                <w:color w:val="000000"/>
                <w:highlight w:val="none"/>
              </w:rPr>
              <w:t>有下列情形之一的，危险废物经营单位应当按照原申请程序，重新申请领取危险废物经营许可证：</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一</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改变危险废物经营方式的；</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二</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增加危险废物类别的；</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三</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新建或者改建、扩建原有危险废物经营设施的；</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四</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经营危险废物超过原批准年经营规模</w:t>
            </w: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％以上的。</w:t>
            </w:r>
          </w:p>
          <w:p>
            <w:pPr>
              <w:snapToGrid w:val="0"/>
              <w:ind w:firstLine="442" w:firstLineChars="200"/>
              <w:rPr>
                <w:rFonts w:ascii="Times New Roman" w:hAnsi="Times New Roman" w:eastAsia="仿宋_GB2312" w:cs="Times New Roman"/>
                <w:color w:val="000000"/>
                <w:highlight w:val="none"/>
              </w:rPr>
            </w:pPr>
            <w:r>
              <w:rPr>
                <w:rFonts w:ascii="Times New Roman" w:hAnsi="Times New Roman" w:eastAsia="仿宋_GB2312" w:cs="Times New Roman"/>
                <w:b/>
                <w:bCs/>
                <w:color w:val="000000"/>
                <w:sz w:val="22"/>
                <w:szCs w:val="22"/>
                <w:highlight w:val="none"/>
              </w:rPr>
              <w:t>2.</w:t>
            </w:r>
            <w:r>
              <w:rPr>
                <w:rFonts w:hint="eastAsia" w:ascii="Times New Roman" w:hAnsi="Times New Roman" w:eastAsia="仿宋_GB2312" w:cs="仿宋_GB2312"/>
                <w:b/>
                <w:bCs/>
                <w:color w:val="000000"/>
                <w:highlight w:val="none"/>
              </w:rPr>
              <w:t>《危险废物经营许可证管理办法》第十三条第二款</w:t>
            </w:r>
            <w:r>
              <w:rPr>
                <w:rFonts w:ascii="Times New Roman" w:hAnsi="Times New Roman" w:eastAsia="仿宋_GB2312" w:cs="Times New Roman"/>
                <w:b/>
                <w:bCs/>
                <w:color w:val="000000"/>
                <w:sz w:val="22"/>
                <w:szCs w:val="22"/>
                <w:highlight w:val="none"/>
              </w:rPr>
              <w:t xml:space="preserve"> </w:t>
            </w:r>
            <w:r>
              <w:rPr>
                <w:rFonts w:hint="eastAsia" w:ascii="Times New Roman" w:hAnsi="Times New Roman" w:eastAsia="仿宋_GB2312" w:cs="仿宋_GB2312"/>
                <w:color w:val="000000"/>
                <w:highlight w:val="none"/>
              </w:rPr>
              <w:t>危险废物经营许可证有效期届满，危险废物经营单位继续从事危险废物经营活动的，应当于危险废物经营许可证有效期届满</w:t>
            </w:r>
            <w:r>
              <w:rPr>
                <w:rFonts w:ascii="Times New Roman" w:hAnsi="Times New Roman" w:eastAsia="仿宋_GB2312" w:cs="Times New Roman"/>
                <w:color w:val="000000"/>
                <w:highlight w:val="none"/>
              </w:rPr>
              <w:t>30</w:t>
            </w:r>
            <w:r>
              <w:rPr>
                <w:rFonts w:hint="eastAsia" w:ascii="Times New Roman" w:hAnsi="Times New Roman" w:eastAsia="仿宋_GB2312" w:cs="仿宋_GB2312"/>
                <w:color w:val="000000"/>
                <w:highlight w:val="none"/>
              </w:rPr>
              <w:t>个工作日前向原发证机关提出换证申请。原发证机关应当自受理换证申请之日起</w:t>
            </w: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个工作日内进行审查，符合条件的，予以换证；不符合条件的，书面通知申请单位并说明理由。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处罚依据</w:t>
            </w:r>
          </w:p>
        </w:tc>
        <w:tc>
          <w:tcPr>
            <w:tcW w:w="7796" w:type="dxa"/>
            <w:gridSpan w:val="2"/>
            <w:vAlign w:val="center"/>
          </w:tcPr>
          <w:p>
            <w:pPr>
              <w:snapToGrid w:val="0"/>
              <w:ind w:firstLine="420"/>
              <w:rPr>
                <w:rFonts w:ascii="Times New Roman" w:hAnsi="Times New Roman" w:eastAsia="仿宋_GB2312" w:cs="Times New Roman"/>
                <w:color w:val="000000"/>
                <w:highlight w:val="none"/>
              </w:rPr>
            </w:pPr>
            <w:r>
              <w:rPr>
                <w:rFonts w:hint="eastAsia" w:ascii="Times New Roman" w:hAnsi="Times New Roman" w:eastAsia="仿宋_GB2312" w:cs="仿宋_GB2312"/>
                <w:b/>
                <w:bCs/>
                <w:color w:val="000000"/>
                <w:highlight w:val="none"/>
              </w:rPr>
              <w:t>《危险废物经营许可证管理办法》第二十三条</w:t>
            </w:r>
            <w:r>
              <w:rPr>
                <w:rFonts w:ascii="Times New Roman" w:hAnsi="Times New Roman" w:eastAsia="仿宋_GB2312" w:cs="Times New Roman"/>
                <w:b/>
                <w:bCs/>
                <w:color w:val="000000"/>
                <w:sz w:val="22"/>
                <w:szCs w:val="22"/>
                <w:highlight w:val="none"/>
              </w:rPr>
              <w:t xml:space="preserve"> </w:t>
            </w:r>
            <w:r>
              <w:rPr>
                <w:rFonts w:hint="eastAsia" w:ascii="Times New Roman" w:hAnsi="Times New Roman" w:eastAsia="仿宋_GB2312" w:cs="仿宋_GB2312"/>
                <w:color w:val="000000"/>
                <w:highlight w:val="none"/>
              </w:rPr>
              <w:t>违反本办法第十二条、第十三条第二款规定的，由县级以上地方人民政府环境保护主管部门责令停止违法行为；有违法所得的，没收违法所得；违法所得超过</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万元的，并处违法所得</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倍以上</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倍以下的罚款；没有违法所得或者违法所得不足</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万元的，处</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万元以上</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10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9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违法所得不足</w:t>
            </w:r>
            <w:r>
              <w:rPr>
                <w:rFonts w:ascii="Times New Roman" w:hAnsi="Times New Roman" w:cs="Times New Roman"/>
                <w:b/>
                <w:bCs/>
                <w:highlight w:val="none"/>
              </w:rPr>
              <w:t>10</w:t>
            </w:r>
            <w:r>
              <w:rPr>
                <w:rFonts w:hint="eastAsia" w:ascii="Times New Roman" w:hAnsi="Times New Roman" w:cs="宋体"/>
                <w:b/>
                <w:bCs/>
                <w:highlight w:val="none"/>
              </w:rPr>
              <w:t>万元★</w:t>
            </w:r>
          </w:p>
        </w:tc>
        <w:tc>
          <w:tcPr>
            <w:tcW w:w="5103" w:type="dxa"/>
            <w:vAlign w:val="center"/>
          </w:tcPr>
          <w:p>
            <w:pPr>
              <w:widowControl/>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无违法所得</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Merge w:val="continue"/>
            <w:vAlign w:val="center"/>
          </w:tcPr>
          <w:p>
            <w:pPr>
              <w:snapToGrid w:val="0"/>
              <w:jc w:val="center"/>
              <w:rPr>
                <w:rFonts w:ascii="Times New Roman" w:hAnsi="Times New Roman" w:cs="Times New Roman"/>
                <w:b/>
                <w:bCs/>
                <w:highlight w:val="none"/>
              </w:rPr>
            </w:pPr>
          </w:p>
        </w:tc>
        <w:tc>
          <w:tcPr>
            <w:tcW w:w="510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违法所得不足</w:t>
            </w:r>
            <w:r>
              <w:rPr>
                <w:rFonts w:ascii="Times New Roman" w:hAnsi="Times New Roman" w:eastAsia="仿宋_GB2312" w:cs="Times New Roman"/>
                <w:kern w:val="0"/>
                <w:highlight w:val="none"/>
              </w:rPr>
              <w:t>5</w:t>
            </w:r>
            <w:r>
              <w:rPr>
                <w:rFonts w:hint="eastAsia" w:ascii="Times New Roman" w:hAnsi="Times New Roman" w:eastAsia="仿宋_GB2312" w:cs="仿宋_GB2312"/>
                <w:kern w:val="0"/>
                <w:highlight w:val="none"/>
              </w:rPr>
              <w:t>万元</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Merge w:val="continue"/>
            <w:vAlign w:val="center"/>
          </w:tcPr>
          <w:p>
            <w:pPr>
              <w:snapToGrid w:val="0"/>
              <w:jc w:val="center"/>
              <w:rPr>
                <w:rFonts w:ascii="Times New Roman" w:hAnsi="Times New Roman" w:cs="Times New Roman"/>
                <w:b/>
                <w:bCs/>
                <w:highlight w:val="none"/>
              </w:rPr>
            </w:pPr>
          </w:p>
        </w:tc>
        <w:tc>
          <w:tcPr>
            <w:tcW w:w="510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违法所得</w:t>
            </w:r>
            <w:r>
              <w:rPr>
                <w:rFonts w:ascii="Times New Roman" w:hAnsi="Times New Roman" w:eastAsia="仿宋_GB2312" w:cs="Times New Roman"/>
                <w:kern w:val="0"/>
                <w:highlight w:val="none"/>
              </w:rPr>
              <w:t>5-10</w:t>
            </w:r>
            <w:r>
              <w:rPr>
                <w:rFonts w:hint="eastAsia" w:ascii="Times New Roman" w:hAnsi="Times New Roman" w:eastAsia="仿宋_GB2312" w:cs="仿宋_GB2312"/>
                <w:kern w:val="0"/>
                <w:highlight w:val="none"/>
              </w:rPr>
              <w:t>万元</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违法所得</w:t>
            </w:r>
            <w:r>
              <w:rPr>
                <w:rFonts w:ascii="Times New Roman" w:hAnsi="Times New Roman" w:cs="Times New Roman"/>
                <w:b/>
                <w:bCs/>
                <w:highlight w:val="none"/>
              </w:rPr>
              <w:t>10</w:t>
            </w:r>
            <w:r>
              <w:rPr>
                <w:rFonts w:hint="eastAsia" w:ascii="Times New Roman" w:hAnsi="Times New Roman" w:cs="宋体"/>
                <w:b/>
                <w:bCs/>
                <w:highlight w:val="none"/>
              </w:rPr>
              <w:t>万元以上★</w:t>
            </w:r>
          </w:p>
        </w:tc>
        <w:tc>
          <w:tcPr>
            <w:tcW w:w="5103" w:type="dxa"/>
            <w:vAlign w:val="center"/>
          </w:tcPr>
          <w:p>
            <w:pPr>
              <w:widowControl/>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违法所得</w:t>
            </w:r>
            <w:r>
              <w:rPr>
                <w:rFonts w:ascii="Times New Roman" w:hAnsi="Times New Roman" w:eastAsia="仿宋_GB2312" w:cs="Times New Roman"/>
                <w:kern w:val="0"/>
                <w:highlight w:val="none"/>
              </w:rPr>
              <w:t>10-20</w:t>
            </w:r>
            <w:r>
              <w:rPr>
                <w:rFonts w:hint="eastAsia" w:ascii="Times New Roman" w:hAnsi="Times New Roman" w:eastAsia="仿宋_GB2312" w:cs="仿宋_GB2312"/>
                <w:kern w:val="0"/>
                <w:highlight w:val="none"/>
              </w:rPr>
              <w:t>万元</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Merge w:val="continue"/>
            <w:vAlign w:val="center"/>
          </w:tcPr>
          <w:p>
            <w:pPr>
              <w:snapToGrid w:val="0"/>
              <w:jc w:val="center"/>
              <w:rPr>
                <w:rFonts w:ascii="Times New Roman" w:hAnsi="Times New Roman" w:cs="Times New Roman"/>
                <w:b/>
                <w:bCs/>
                <w:highlight w:val="none"/>
              </w:rPr>
            </w:pPr>
          </w:p>
        </w:tc>
        <w:tc>
          <w:tcPr>
            <w:tcW w:w="510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违法所得</w:t>
            </w:r>
            <w:r>
              <w:rPr>
                <w:rFonts w:ascii="Times New Roman" w:hAnsi="Times New Roman" w:eastAsia="仿宋_GB2312" w:cs="Times New Roman"/>
                <w:kern w:val="0"/>
                <w:highlight w:val="none"/>
              </w:rPr>
              <w:t>20-40</w:t>
            </w:r>
            <w:r>
              <w:rPr>
                <w:rFonts w:hint="eastAsia" w:ascii="Times New Roman" w:hAnsi="Times New Roman" w:eastAsia="仿宋_GB2312" w:cs="仿宋_GB2312"/>
                <w:kern w:val="0"/>
                <w:highlight w:val="none"/>
              </w:rPr>
              <w:t>万元</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Merge w:val="continue"/>
            <w:vAlign w:val="center"/>
          </w:tcPr>
          <w:p>
            <w:pPr>
              <w:snapToGrid w:val="0"/>
              <w:jc w:val="center"/>
              <w:rPr>
                <w:rFonts w:ascii="Times New Roman" w:hAnsi="Times New Roman" w:cs="Times New Roman"/>
                <w:b/>
                <w:bCs/>
                <w:highlight w:val="none"/>
              </w:rPr>
            </w:pPr>
          </w:p>
        </w:tc>
        <w:tc>
          <w:tcPr>
            <w:tcW w:w="510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违法所得</w:t>
            </w:r>
            <w:r>
              <w:rPr>
                <w:rFonts w:ascii="Times New Roman" w:hAnsi="Times New Roman" w:eastAsia="仿宋_GB2312" w:cs="Times New Roman"/>
                <w:highlight w:val="none"/>
              </w:rPr>
              <w:t>40</w:t>
            </w:r>
            <w:r>
              <w:rPr>
                <w:rFonts w:hint="eastAsia" w:ascii="Times New Roman" w:hAnsi="Times New Roman" w:eastAsia="仿宋_GB2312" w:cs="仿宋_GB2312"/>
                <w:highlight w:val="none"/>
              </w:rPr>
              <w:t>万元以上</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Merge w:val="restart"/>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cs="宋体"/>
                <w:b/>
                <w:bCs/>
                <w:color w:val="000000"/>
                <w:highlight w:val="none"/>
              </w:rPr>
              <w:t>违法行为</w:t>
            </w:r>
          </w:p>
        </w:tc>
        <w:tc>
          <w:tcPr>
            <w:tcW w:w="5103" w:type="dxa"/>
            <w:vAlign w:val="center"/>
          </w:tcPr>
          <w:p>
            <w:pPr>
              <w:snapToGrid w:val="0"/>
              <w:jc w:val="center"/>
              <w:rPr>
                <w:rFonts w:ascii="Times New Roman" w:hAnsi="Times New Roman" w:eastAsia="仿宋_GB2312" w:cs="Times New Roman"/>
                <w:color w:val="000000"/>
                <w:kern w:val="0"/>
                <w:highlight w:val="none"/>
              </w:rPr>
            </w:pPr>
            <w:r>
              <w:rPr>
                <w:rFonts w:hint="eastAsia" w:ascii="Times New Roman" w:hAnsi="Times New Roman" w:eastAsia="仿宋_GB2312" w:cs="仿宋_GB2312"/>
                <w:color w:val="000000"/>
                <w:kern w:val="0"/>
                <w:highlight w:val="none"/>
              </w:rPr>
              <w:t>危险废物经营许可证有效期届满，危险废物经营单位继续从事危险废物经营活动，应当申请换证的</w:t>
            </w:r>
          </w:p>
        </w:tc>
        <w:tc>
          <w:tcPr>
            <w:tcW w:w="2693" w:type="dxa"/>
            <w:vAlign w:val="center"/>
          </w:tcPr>
          <w:p>
            <w:pPr>
              <w:snapToGrid w:val="0"/>
              <w:jc w:val="center"/>
              <w:rPr>
                <w:rFonts w:ascii="Times New Roman" w:hAnsi="Times New Roman" w:eastAsia="仿宋_GB2312" w:cs="Times New Roman"/>
                <w:color w:val="000000"/>
                <w:kern w:val="0"/>
                <w:highlight w:val="none"/>
              </w:rPr>
            </w:pPr>
            <w:r>
              <w:rPr>
                <w:rFonts w:ascii="Times New Roman" w:hAnsi="Times New Roman" w:eastAsia="仿宋_GB2312" w:cs="Times New Roman"/>
                <w:color w:val="000000"/>
                <w:kern w:val="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Merge w:val="continue"/>
            <w:vAlign w:val="center"/>
          </w:tcPr>
          <w:p>
            <w:pPr>
              <w:snapToGrid w:val="0"/>
              <w:jc w:val="center"/>
              <w:rPr>
                <w:rFonts w:ascii="Times New Roman" w:hAnsi="Times New Roman" w:cs="Times New Roman"/>
                <w:b/>
                <w:bCs/>
                <w:color w:val="000000"/>
                <w:highlight w:val="none"/>
              </w:rPr>
            </w:pPr>
          </w:p>
        </w:tc>
        <w:tc>
          <w:tcPr>
            <w:tcW w:w="510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kern w:val="0"/>
                <w:highlight w:val="none"/>
              </w:rPr>
              <w:t>符合《危险废物经营许可证管理办法》第十二条应当重新申请领取危险废物经营许可证情形的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kern w:val="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违法持续</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时间</w:t>
            </w:r>
          </w:p>
        </w:tc>
        <w:tc>
          <w:tcPr>
            <w:tcW w:w="510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不满</w:t>
            </w:r>
            <w:r>
              <w:rPr>
                <w:rFonts w:ascii="Times New Roman" w:hAnsi="Times New Roman" w:eastAsia="仿宋_GB2312" w:cs="Times New Roman"/>
                <w:highlight w:val="none"/>
              </w:rPr>
              <w:t>1</w:t>
            </w:r>
            <w:r>
              <w:rPr>
                <w:rFonts w:hint="eastAsia" w:ascii="Times New Roman" w:hAnsi="Times New Roman" w:eastAsia="仿宋_GB2312" w:cs="仿宋_GB2312"/>
                <w:highlight w:val="none"/>
              </w:rPr>
              <w:t>个月</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Merge w:val="continue"/>
            <w:vAlign w:val="center"/>
          </w:tcPr>
          <w:p>
            <w:pPr>
              <w:snapToGrid w:val="0"/>
              <w:jc w:val="center"/>
              <w:rPr>
                <w:rFonts w:ascii="Times New Roman" w:hAnsi="Times New Roman" w:cs="Times New Roman"/>
                <w:b/>
                <w:bCs/>
                <w:highlight w:val="none"/>
              </w:rPr>
            </w:pP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sz w:val="21"/>
                <w:szCs w:val="21"/>
                <w:highlight w:val="none"/>
              </w:rPr>
              <w:t>1</w:t>
            </w:r>
            <w:r>
              <w:rPr>
                <w:rFonts w:hint="eastAsia" w:ascii="Times New Roman" w:hAnsi="Times New Roman" w:eastAsia="仿宋_GB2312" w:cs="仿宋_GB2312"/>
                <w:sz w:val="21"/>
                <w:szCs w:val="21"/>
                <w:highlight w:val="none"/>
              </w:rPr>
              <w:t>个月以上，不满</w:t>
            </w:r>
            <w:r>
              <w:rPr>
                <w:rFonts w:ascii="Times New Roman" w:hAnsi="Times New Roman" w:eastAsia="仿宋_GB2312" w:cs="Times New Roman"/>
                <w:sz w:val="21"/>
                <w:szCs w:val="21"/>
                <w:highlight w:val="none"/>
              </w:rPr>
              <w:t>3</w:t>
            </w:r>
            <w:r>
              <w:rPr>
                <w:rFonts w:hint="eastAsia" w:ascii="Times New Roman" w:hAnsi="Times New Roman" w:eastAsia="仿宋_GB2312" w:cs="仿宋_GB2312"/>
                <w:sz w:val="21"/>
                <w:szCs w:val="21"/>
                <w:highlight w:val="none"/>
              </w:rPr>
              <w:t>个月</w:t>
            </w:r>
          </w:p>
        </w:tc>
        <w:tc>
          <w:tcPr>
            <w:tcW w:w="2693" w:type="dxa"/>
            <w:vAlign w:val="center"/>
          </w:tcPr>
          <w:p>
            <w:pPr>
              <w:pStyle w:val="11"/>
              <w:snapToGrid w:val="0"/>
              <w:jc w:val="center"/>
              <w:rPr>
                <w:rFonts w:ascii="Times New Roman" w:hAnsi="Times New Roman" w:cs="Times New Roman"/>
                <w:color w:val="000000"/>
                <w:sz w:val="21"/>
                <w:szCs w:val="21"/>
                <w:highlight w:val="none"/>
              </w:rPr>
            </w:pPr>
            <w:r>
              <w:rPr>
                <w:rFonts w:ascii="Times New Roman" w:hAnsi="Times New Roman" w:cs="Times New Roman"/>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Merge w:val="continue"/>
            <w:vAlign w:val="center"/>
          </w:tcPr>
          <w:p>
            <w:pPr>
              <w:snapToGrid w:val="0"/>
              <w:jc w:val="center"/>
              <w:rPr>
                <w:rFonts w:ascii="Times New Roman" w:hAnsi="Times New Roman" w:cs="Times New Roman"/>
                <w:b/>
                <w:bCs/>
                <w:highlight w:val="none"/>
              </w:rPr>
            </w:pP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sz w:val="21"/>
                <w:szCs w:val="21"/>
                <w:highlight w:val="none"/>
              </w:rPr>
              <w:t>3</w:t>
            </w:r>
            <w:r>
              <w:rPr>
                <w:rFonts w:hint="eastAsia" w:ascii="Times New Roman" w:hAnsi="Times New Roman" w:eastAsia="仿宋_GB2312" w:cs="仿宋_GB2312"/>
                <w:sz w:val="21"/>
                <w:szCs w:val="21"/>
                <w:highlight w:val="none"/>
              </w:rPr>
              <w:t>个月以上，不满</w:t>
            </w:r>
            <w:r>
              <w:rPr>
                <w:rFonts w:ascii="Times New Roman" w:hAnsi="Times New Roman" w:eastAsia="仿宋_GB2312" w:cs="Times New Roman"/>
                <w:sz w:val="21"/>
                <w:szCs w:val="21"/>
                <w:highlight w:val="none"/>
              </w:rPr>
              <w:t>6</w:t>
            </w:r>
            <w:r>
              <w:rPr>
                <w:rFonts w:hint="eastAsia" w:ascii="Times New Roman" w:hAnsi="Times New Roman" w:eastAsia="仿宋_GB2312" w:cs="仿宋_GB2312"/>
                <w:sz w:val="21"/>
                <w:szCs w:val="21"/>
                <w:highlight w:val="none"/>
              </w:rPr>
              <w:t>个月</w:t>
            </w:r>
          </w:p>
        </w:tc>
        <w:tc>
          <w:tcPr>
            <w:tcW w:w="2693" w:type="dxa"/>
            <w:vAlign w:val="center"/>
          </w:tcPr>
          <w:p>
            <w:pPr>
              <w:pStyle w:val="11"/>
              <w:snapToGrid w:val="0"/>
              <w:jc w:val="center"/>
              <w:rPr>
                <w:rFonts w:ascii="Times New Roman" w:hAnsi="Times New Roman" w:cs="Times New Roman"/>
                <w:color w:val="000000"/>
                <w:sz w:val="21"/>
                <w:szCs w:val="21"/>
                <w:highlight w:val="none"/>
              </w:rPr>
            </w:pPr>
            <w:r>
              <w:rPr>
                <w:rFonts w:ascii="Times New Roman" w:hAnsi="Times New Roman" w:cs="Times New Roman"/>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Merge w:val="continue"/>
            <w:vAlign w:val="center"/>
          </w:tcPr>
          <w:p>
            <w:pPr>
              <w:snapToGrid w:val="0"/>
              <w:jc w:val="center"/>
              <w:rPr>
                <w:rFonts w:ascii="Times New Roman" w:hAnsi="Times New Roman" w:cs="Times New Roman"/>
                <w:b/>
                <w:bCs/>
                <w:highlight w:val="none"/>
              </w:rPr>
            </w:pP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sz w:val="21"/>
                <w:szCs w:val="21"/>
                <w:highlight w:val="none"/>
              </w:rPr>
              <w:t>6</w:t>
            </w:r>
            <w:r>
              <w:rPr>
                <w:rFonts w:hint="eastAsia" w:ascii="Times New Roman" w:hAnsi="Times New Roman" w:eastAsia="仿宋_GB2312" w:cs="仿宋_GB2312"/>
                <w:sz w:val="21"/>
                <w:szCs w:val="21"/>
                <w:highlight w:val="none"/>
              </w:rPr>
              <w:t>个月以上，不满</w:t>
            </w:r>
            <w:r>
              <w:rPr>
                <w:rFonts w:ascii="Times New Roman" w:hAnsi="Times New Roman" w:eastAsia="仿宋_GB2312" w:cs="Times New Roman"/>
                <w:sz w:val="21"/>
                <w:szCs w:val="21"/>
                <w:highlight w:val="none"/>
              </w:rPr>
              <w:t>12</w:t>
            </w:r>
            <w:r>
              <w:rPr>
                <w:rFonts w:hint="eastAsia" w:ascii="Times New Roman" w:hAnsi="Times New Roman" w:eastAsia="仿宋_GB2312" w:cs="仿宋_GB2312"/>
                <w:sz w:val="21"/>
                <w:szCs w:val="21"/>
                <w:highlight w:val="none"/>
              </w:rPr>
              <w:t>个月</w:t>
            </w:r>
          </w:p>
        </w:tc>
        <w:tc>
          <w:tcPr>
            <w:tcW w:w="2693" w:type="dxa"/>
            <w:vAlign w:val="center"/>
          </w:tcPr>
          <w:p>
            <w:pPr>
              <w:pStyle w:val="11"/>
              <w:snapToGrid w:val="0"/>
              <w:jc w:val="center"/>
              <w:rPr>
                <w:rFonts w:ascii="Times New Roman" w:hAnsi="Times New Roman" w:cs="Times New Roman"/>
                <w:color w:val="000000"/>
                <w:sz w:val="21"/>
                <w:szCs w:val="21"/>
                <w:highlight w:val="none"/>
              </w:rPr>
            </w:pPr>
            <w:r>
              <w:rPr>
                <w:rFonts w:ascii="Times New Roman" w:hAnsi="Times New Roman" w:cs="Times New Roman"/>
                <w:sz w:val="21"/>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Merge w:val="continue"/>
            <w:vAlign w:val="center"/>
          </w:tcPr>
          <w:p>
            <w:pPr>
              <w:snapToGrid w:val="0"/>
              <w:jc w:val="center"/>
              <w:rPr>
                <w:rFonts w:ascii="Times New Roman" w:hAnsi="Times New Roman" w:cs="Times New Roman"/>
                <w:b/>
                <w:bCs/>
                <w:highlight w:val="none"/>
              </w:rPr>
            </w:pP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sz w:val="21"/>
                <w:szCs w:val="21"/>
                <w:highlight w:val="none"/>
              </w:rPr>
              <w:t>12</w:t>
            </w:r>
            <w:r>
              <w:rPr>
                <w:rFonts w:hint="eastAsia" w:ascii="Times New Roman" w:hAnsi="Times New Roman" w:eastAsia="仿宋_GB2312" w:cs="仿宋_GB2312"/>
                <w:sz w:val="21"/>
                <w:szCs w:val="21"/>
                <w:highlight w:val="none"/>
              </w:rPr>
              <w:t>个月以上</w:t>
            </w:r>
          </w:p>
        </w:tc>
        <w:tc>
          <w:tcPr>
            <w:tcW w:w="2693" w:type="dxa"/>
            <w:vAlign w:val="center"/>
          </w:tcPr>
          <w:p>
            <w:pPr>
              <w:pStyle w:val="11"/>
              <w:snapToGrid w:val="0"/>
              <w:jc w:val="center"/>
              <w:rPr>
                <w:rFonts w:ascii="Times New Roman" w:hAnsi="Times New Roman" w:cs="Times New Roman"/>
                <w:color w:val="000000"/>
                <w:sz w:val="21"/>
                <w:szCs w:val="21"/>
                <w:highlight w:val="none"/>
              </w:rPr>
            </w:pPr>
            <w:r>
              <w:rPr>
                <w:rFonts w:ascii="Times New Roman" w:hAnsi="Times New Roman" w:cs="Times New Roman"/>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796" w:type="dxa"/>
            <w:gridSpan w:val="2"/>
            <w:vAlign w:val="center"/>
          </w:tcPr>
          <w:p>
            <w:pPr>
              <w:snapToGrid w:val="0"/>
              <w:jc w:val="center"/>
              <w:rPr>
                <w:rFonts w:ascii="Times New Roman" w:hAnsi="Times New Roman" w:cs="Times New Roman"/>
                <w:b/>
                <w:bCs/>
                <w:color w:val="000000"/>
                <w:highlight w:val="none"/>
              </w:rPr>
            </w:pPr>
          </w:p>
        </w:tc>
      </w:tr>
    </w:tbl>
    <w:p>
      <w:pPr>
        <w:snapToGrid w:val="0"/>
        <w:rPr>
          <w:rFonts w:ascii="Times New Roman" w:hAnsi="Times New Roman" w:cs="Times New Roman"/>
          <w:color w:val="000000"/>
          <w:sz w:val="10"/>
          <w:szCs w:val="10"/>
          <w:highlight w:val="none"/>
        </w:rPr>
      </w:pPr>
      <w:r>
        <w:rPr>
          <w:rFonts w:ascii="Times New Roman" w:hAnsi="Times New Roman" w:cs="Times New Roman"/>
          <w:color w:val="000000"/>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（四）固体废物污染防治类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vAlign w:val="center"/>
          </w:tcPr>
          <w:p>
            <w:pPr>
              <w:pStyle w:val="11"/>
              <w:snapToGrid w:val="0"/>
              <w:ind w:firstLine="42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未取得废弃电器电子产品处理资格擅自从事废弃电器电子产品处理活动的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《废弃电器电子产品回收处理管理条例》第十二条第二款</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废弃电器电子产品回收经营者对回收的废弃电器电子产品进行处理，应当依照本条例规定取得废弃电器电子产品处理资格；未取得处理资格的，应当将回收的废弃电器电子产品交有废弃电器电子产品处理资格的处理企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《废弃电器电子产品回收处理管理条例》第二十八条</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违反本条例规定，未取得废弃电器电子产品处理资格擅自从事废弃电器电子产品处理活动的，由县级以上人民政府生态环境主管部门责令停业、关闭，没收违法所得，并处</w:t>
            </w:r>
            <w:r>
              <w:rPr>
                <w:rFonts w:ascii="Times New Roman" w:hAnsi="Times New Roman" w:eastAsia="仿宋_GB2312" w:cs="Times New Roman"/>
                <w:sz w:val="21"/>
                <w:szCs w:val="21"/>
                <w:highlight w:val="none"/>
              </w:rPr>
              <w:t>5</w:t>
            </w:r>
            <w:r>
              <w:rPr>
                <w:rFonts w:hint="eastAsia" w:ascii="Times New Roman" w:hAnsi="Times New Roman" w:eastAsia="仿宋_GB2312" w:cs="仿宋_GB2312"/>
                <w:sz w:val="21"/>
                <w:szCs w:val="21"/>
                <w:highlight w:val="none"/>
              </w:rPr>
              <w:t>万元以上</w:t>
            </w:r>
            <w:r>
              <w:rPr>
                <w:rFonts w:ascii="Times New Roman" w:hAnsi="Times New Roman" w:eastAsia="仿宋_GB2312" w:cs="Times New Roman"/>
                <w:sz w:val="21"/>
                <w:szCs w:val="21"/>
                <w:highlight w:val="none"/>
              </w:rPr>
              <w:t>50</w:t>
            </w:r>
            <w:r>
              <w:rPr>
                <w:rFonts w:hint="eastAsia" w:ascii="Times New Roman" w:hAnsi="Times New Roman" w:eastAsia="仿宋_GB2312" w:cs="仿宋_GB2312"/>
                <w:sz w:val="21"/>
                <w:szCs w:val="21"/>
                <w:highlight w:val="none"/>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8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违法所得</w:t>
            </w:r>
            <w:r>
              <w:rPr>
                <w:rFonts w:hint="eastAsia" w:ascii="Times New Roman" w:hAnsi="Times New Roman" w:cs="宋体"/>
                <w:b/>
                <w:bCs/>
                <w:highlight w:val="none"/>
              </w:rPr>
              <w:t>★</w:t>
            </w:r>
          </w:p>
        </w:tc>
        <w:tc>
          <w:tcPr>
            <w:tcW w:w="5213" w:type="dxa"/>
            <w:vAlign w:val="center"/>
          </w:tcPr>
          <w:p>
            <w:pPr>
              <w:pStyle w:val="11"/>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万元以下</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万元以上不足</w:t>
            </w:r>
            <w:r>
              <w:rPr>
                <w:rFonts w:ascii="Times New Roman" w:hAnsi="Times New Roman" w:eastAsia="仿宋_GB2312" w:cs="Times New Roman"/>
                <w:color w:val="000000"/>
                <w:sz w:val="21"/>
                <w:szCs w:val="21"/>
                <w:highlight w:val="none"/>
              </w:rPr>
              <w:t>30</w:t>
            </w:r>
            <w:r>
              <w:rPr>
                <w:rFonts w:hint="eastAsia" w:ascii="Times New Roman" w:hAnsi="Times New Roman" w:eastAsia="仿宋_GB2312" w:cs="仿宋_GB2312"/>
                <w:color w:val="000000"/>
                <w:sz w:val="21"/>
                <w:szCs w:val="21"/>
                <w:highlight w:val="none"/>
              </w:rPr>
              <w:t>万元</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30</w:t>
            </w:r>
            <w:r>
              <w:rPr>
                <w:rFonts w:hint="eastAsia" w:ascii="Times New Roman" w:hAnsi="Times New Roman" w:eastAsia="仿宋_GB2312" w:cs="仿宋_GB2312"/>
                <w:color w:val="000000"/>
                <w:sz w:val="21"/>
                <w:szCs w:val="21"/>
                <w:highlight w:val="none"/>
              </w:rPr>
              <w:t>万元以上不足</w:t>
            </w:r>
            <w:r>
              <w:rPr>
                <w:rFonts w:ascii="Times New Roman" w:hAnsi="Times New Roman" w:eastAsia="仿宋_GB2312" w:cs="Times New Roman"/>
                <w:color w:val="000000"/>
                <w:sz w:val="21"/>
                <w:szCs w:val="21"/>
                <w:highlight w:val="none"/>
              </w:rPr>
              <w:t>50</w:t>
            </w:r>
            <w:r>
              <w:rPr>
                <w:rFonts w:hint="eastAsia" w:ascii="Times New Roman" w:hAnsi="Times New Roman" w:eastAsia="仿宋_GB2312" w:cs="仿宋_GB2312"/>
                <w:color w:val="000000"/>
                <w:sz w:val="21"/>
                <w:szCs w:val="21"/>
                <w:highlight w:val="none"/>
              </w:rPr>
              <w:t>万元</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50</w:t>
            </w:r>
            <w:r>
              <w:rPr>
                <w:rFonts w:hint="eastAsia" w:ascii="Times New Roman" w:hAnsi="Times New Roman" w:eastAsia="仿宋_GB2312" w:cs="仿宋_GB2312"/>
                <w:color w:val="000000"/>
                <w:sz w:val="21"/>
                <w:szCs w:val="21"/>
                <w:highlight w:val="none"/>
              </w:rPr>
              <w:t>万元以上不足</w:t>
            </w:r>
            <w:r>
              <w:rPr>
                <w:rFonts w:ascii="Times New Roman" w:hAnsi="Times New Roman" w:eastAsia="仿宋_GB2312" w:cs="Times New Roman"/>
                <w:color w:val="000000"/>
                <w:sz w:val="21"/>
                <w:szCs w:val="21"/>
                <w:highlight w:val="none"/>
              </w:rPr>
              <w:t>100</w:t>
            </w:r>
            <w:r>
              <w:rPr>
                <w:rFonts w:hint="eastAsia" w:ascii="Times New Roman" w:hAnsi="Times New Roman" w:eastAsia="仿宋_GB2312" w:cs="仿宋_GB2312"/>
                <w:color w:val="000000"/>
                <w:sz w:val="21"/>
                <w:szCs w:val="21"/>
                <w:highlight w:val="none"/>
              </w:rPr>
              <w:t>万元</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100</w:t>
            </w:r>
            <w:r>
              <w:rPr>
                <w:rFonts w:hint="eastAsia" w:ascii="Times New Roman" w:hAnsi="Times New Roman" w:eastAsia="仿宋_GB2312" w:cs="仿宋_GB2312"/>
                <w:color w:val="000000"/>
                <w:sz w:val="21"/>
                <w:szCs w:val="21"/>
                <w:highlight w:val="none"/>
              </w:rPr>
              <w:t>万元以上</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涉及废弃电器电子产品数量</w:t>
            </w: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件以内的</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件以上</w:t>
            </w: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件以内的</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件以上的</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strike/>
                <w:color w:val="000000"/>
                <w:highlight w:val="none"/>
              </w:rPr>
            </w:pPr>
            <w:r>
              <w:rPr>
                <w:rFonts w:hint="eastAsia" w:ascii="Times New Roman" w:hAnsi="Times New Roman" w:cs="宋体"/>
                <w:b/>
                <w:bCs/>
                <w:color w:val="000000"/>
                <w:highlight w:val="none"/>
              </w:rPr>
              <w:t>违法行为持续时间</w:t>
            </w:r>
          </w:p>
        </w:tc>
        <w:tc>
          <w:tcPr>
            <w:tcW w:w="5213" w:type="dxa"/>
            <w:vAlign w:val="center"/>
          </w:tcPr>
          <w:p>
            <w:pPr>
              <w:snapToGrid w:val="0"/>
              <w:jc w:val="center"/>
              <w:rPr>
                <w:rFonts w:ascii="Times New Roman" w:hAnsi="Times New Roman" w:eastAsia="仿宋_GB2312" w:cs="Times New Roman"/>
                <w:strike/>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个月以内</w:t>
            </w:r>
          </w:p>
        </w:tc>
        <w:tc>
          <w:tcPr>
            <w:tcW w:w="2689" w:type="dxa"/>
            <w:vAlign w:val="center"/>
          </w:tcPr>
          <w:p>
            <w:pPr>
              <w:snapToGrid w:val="0"/>
              <w:jc w:val="center"/>
              <w:rPr>
                <w:rFonts w:ascii="Times New Roman" w:hAnsi="Times New Roman" w:cs="Times New Roman"/>
                <w:strike/>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个月以上</w:t>
            </w: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个月以内</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个月以上</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eastAsia="仿宋_GB2312" w:cs="Times New Roman"/>
          <w:sz w:val="10"/>
          <w:szCs w:val="10"/>
          <w:highlight w:val="none"/>
        </w:rPr>
      </w:pPr>
      <w:r>
        <w:rPr>
          <w:rFonts w:ascii="Times New Roman" w:hAnsi="Times New Roman" w:eastAsia="仿宋_GB2312" w:cs="Times New Roman"/>
          <w:sz w:val="32"/>
          <w:szCs w:val="32"/>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（四）固体废物污染防治类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处理企业未建立废弃电器电子产品的数据信息管理系统，未按规定报送基本数据和有关情况或者报送基本数据、有关情况不真实，或者未按规定期限保存基本数据的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《废弃电器电子产品回收处理管理条例》第十七条</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处理企业应当建立废弃电器电子产品的数据信息管理系统，向所在地的设区的市级人民政府生态环境主管部门报送废弃电器电子产品处理的基本数据和有关情况。废弃电器电子产品处理的基本数据的保存期限不得少于</w:t>
            </w:r>
            <w:r>
              <w:rPr>
                <w:rFonts w:ascii="Times New Roman" w:hAnsi="Times New Roman" w:eastAsia="仿宋_GB2312" w:cs="Times New Roman"/>
                <w:sz w:val="21"/>
                <w:szCs w:val="21"/>
                <w:highlight w:val="none"/>
              </w:rPr>
              <w:t>3</w:t>
            </w:r>
            <w:r>
              <w:rPr>
                <w:rFonts w:hint="eastAsia" w:ascii="Times New Roman" w:hAnsi="Times New Roman" w:eastAsia="仿宋_GB2312" w:cs="仿宋_GB2312"/>
                <w:sz w:val="21"/>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《废弃电器电子产品回收处理管理条例》第三十一条</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违反本条例规定，处理企业未建立废弃电器电子产品的数据信息管理系统，未按规定报送基本数据和有关情况或者报送基本数据、有关情况不真实，或者未按规定期限保存基本数据的，由所在地的设区的市级人民政府生态环境主管部门责令限期改正，可以处</w:t>
            </w:r>
            <w:r>
              <w:rPr>
                <w:rFonts w:ascii="Times New Roman" w:hAnsi="Times New Roman" w:eastAsia="仿宋_GB2312" w:cs="Times New Roman"/>
                <w:sz w:val="21"/>
                <w:szCs w:val="21"/>
                <w:highlight w:val="none"/>
              </w:rPr>
              <w:t>5</w:t>
            </w:r>
            <w:r>
              <w:rPr>
                <w:rFonts w:hint="eastAsia" w:ascii="Times New Roman" w:hAnsi="Times New Roman" w:eastAsia="仿宋_GB2312" w:cs="仿宋_GB2312"/>
                <w:sz w:val="21"/>
                <w:szCs w:val="21"/>
                <w:highlight w:val="none"/>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8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违法事实★</w:t>
            </w:r>
          </w:p>
        </w:tc>
        <w:tc>
          <w:tcPr>
            <w:tcW w:w="5213" w:type="dxa"/>
            <w:vAlign w:val="center"/>
          </w:tcPr>
          <w:p>
            <w:pPr>
              <w:snapToGrid w:val="0"/>
              <w:spacing w:line="288" w:lineRule="auto"/>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建立废弃电器电子产品的数据信息管理系统，报送基本数据和有关情况或者报送基本数据，保存基本数据的，但不规范的</w:t>
            </w:r>
          </w:p>
        </w:tc>
        <w:tc>
          <w:tcPr>
            <w:tcW w:w="2689" w:type="dxa"/>
            <w:vAlign w:val="center"/>
          </w:tcPr>
          <w:p>
            <w:pPr>
              <w:snapToGrid w:val="0"/>
              <w:spacing w:line="288" w:lineRule="auto"/>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建立废弃电器电子产品的数据信息管理系统，报送基本数据和有关情况或者报送基本数据，保存基本数据的，但不完整的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未建立废弃电器电子产品的数据信息管理系统，未按规定报送基本数据和有关情况或者报送基本数据、有关情况不真实，或者未按规定期限保存基本数据的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涉及废弃电器电子产品数量</w:t>
            </w: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10</w:t>
            </w:r>
            <w:r>
              <w:rPr>
                <w:rFonts w:hint="eastAsia" w:ascii="Times New Roman" w:hAnsi="Times New Roman" w:eastAsia="仿宋_GB2312" w:cs="仿宋_GB2312"/>
                <w:highlight w:val="none"/>
              </w:rPr>
              <w:t>件以内的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10</w:t>
            </w:r>
            <w:r>
              <w:rPr>
                <w:rFonts w:hint="eastAsia" w:ascii="Times New Roman" w:hAnsi="Times New Roman" w:eastAsia="仿宋_GB2312" w:cs="仿宋_GB2312"/>
                <w:highlight w:val="none"/>
              </w:rPr>
              <w:t>件以上</w:t>
            </w:r>
            <w:r>
              <w:rPr>
                <w:rFonts w:ascii="Times New Roman" w:hAnsi="Times New Roman" w:eastAsia="仿宋_GB2312" w:cs="Times New Roman"/>
                <w:highlight w:val="none"/>
              </w:rPr>
              <w:t>20</w:t>
            </w:r>
            <w:r>
              <w:rPr>
                <w:rFonts w:hint="eastAsia" w:ascii="Times New Roman" w:hAnsi="Times New Roman" w:eastAsia="仿宋_GB2312" w:cs="仿宋_GB2312"/>
                <w:highlight w:val="none"/>
              </w:rPr>
              <w:t>件以内的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20</w:t>
            </w:r>
            <w:r>
              <w:rPr>
                <w:rFonts w:hint="eastAsia" w:ascii="Times New Roman" w:hAnsi="Times New Roman" w:eastAsia="仿宋_GB2312" w:cs="仿宋_GB2312"/>
                <w:highlight w:val="none"/>
              </w:rPr>
              <w:t>件以上的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保存时限</w:t>
            </w: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r>
              <w:rPr>
                <w:rFonts w:hint="eastAsia" w:ascii="Times New Roman" w:hAnsi="Times New Roman" w:eastAsia="仿宋_GB2312" w:cs="仿宋_GB2312"/>
                <w:highlight w:val="none"/>
              </w:rPr>
              <w:t>年以上</w:t>
            </w:r>
            <w:r>
              <w:rPr>
                <w:rFonts w:ascii="Times New Roman" w:hAnsi="Times New Roman" w:eastAsia="仿宋_GB2312" w:cs="Times New Roman"/>
                <w:highlight w:val="none"/>
              </w:rPr>
              <w:t>3</w:t>
            </w:r>
            <w:r>
              <w:rPr>
                <w:rFonts w:hint="eastAsia" w:ascii="Times New Roman" w:hAnsi="Times New Roman" w:eastAsia="仿宋_GB2312" w:cs="仿宋_GB2312"/>
                <w:highlight w:val="none"/>
              </w:rPr>
              <w:t>年以内的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r>
              <w:rPr>
                <w:rFonts w:hint="eastAsia" w:ascii="Times New Roman" w:hAnsi="Times New Roman" w:eastAsia="仿宋_GB2312" w:cs="仿宋_GB2312"/>
                <w:highlight w:val="none"/>
              </w:rPr>
              <w:t>年以上</w:t>
            </w:r>
            <w:r>
              <w:rPr>
                <w:rFonts w:ascii="Times New Roman" w:hAnsi="Times New Roman" w:eastAsia="仿宋_GB2312" w:cs="Times New Roman"/>
                <w:highlight w:val="none"/>
              </w:rPr>
              <w:t>2</w:t>
            </w:r>
            <w:r>
              <w:rPr>
                <w:rFonts w:hint="eastAsia" w:ascii="Times New Roman" w:hAnsi="Times New Roman" w:eastAsia="仿宋_GB2312" w:cs="仿宋_GB2312"/>
                <w:highlight w:val="none"/>
              </w:rPr>
              <w:t>年以内的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不足</w:t>
            </w:r>
            <w:r>
              <w:rPr>
                <w:rFonts w:ascii="Times New Roman" w:hAnsi="Times New Roman" w:eastAsia="仿宋_GB2312" w:cs="Times New Roman"/>
                <w:highlight w:val="none"/>
              </w:rPr>
              <w:t>1</w:t>
            </w:r>
            <w:r>
              <w:rPr>
                <w:rFonts w:hint="eastAsia" w:ascii="Times New Roman" w:hAnsi="Times New Roman" w:eastAsia="仿宋_GB2312" w:cs="仿宋_GB2312"/>
                <w:highlight w:val="none"/>
              </w:rPr>
              <w:t>年的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持续时间</w:t>
            </w: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个月以内</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个月以上</w:t>
            </w: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个月以内</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个月以上</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tcPr>
          <w:p>
            <w:pPr>
              <w:snapToGrid w:val="0"/>
              <w:ind w:firstLine="420"/>
              <w:jc w:val="center"/>
              <w:rPr>
                <w:rFonts w:ascii="Times New Roman" w:hAnsi="Times New Roman" w:cs="Times New Roman"/>
                <w:highlight w:val="none"/>
              </w:rPr>
            </w:pPr>
          </w:p>
        </w:tc>
      </w:tr>
    </w:tbl>
    <w:p>
      <w:pPr>
        <w:snapToGrid w:val="0"/>
        <w:rPr>
          <w:rFonts w:ascii="Times New Roman" w:hAnsi="Times New Roman" w:eastAsia="仿宋_GB2312" w:cs="Times New Roman"/>
          <w:sz w:val="10"/>
          <w:szCs w:val="10"/>
          <w:highlight w:val="none"/>
        </w:rPr>
      </w:pPr>
      <w:r>
        <w:rPr>
          <w:rFonts w:ascii="Times New Roman" w:hAnsi="Times New Roman" w:eastAsia="仿宋_GB2312" w:cs="Times New Roman"/>
          <w:sz w:val="32"/>
          <w:szCs w:val="32"/>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（四）固体废物污染防治类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vAlign w:val="center"/>
          </w:tcPr>
          <w:p>
            <w:pPr>
              <w:pStyle w:val="11"/>
              <w:ind w:firstLine="42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处理企业未建立日常环境监测制度或者未开展日常环境监测的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《废弃电器电子产品回收处理管理条例》第十六条</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处理企业应当建立废弃电器电子产品处理的日常环境监测制度。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《废弃电器电子产品回收处理管理条例》第三十二条</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违反本条例规定，处理企业未建立日常环境监测制度或者未开展日常环境监测的，由县级以上人民政府生态环境主管部门责令限期改正，可以处</w:t>
            </w:r>
            <w:r>
              <w:rPr>
                <w:rFonts w:ascii="Times New Roman" w:hAnsi="Times New Roman" w:eastAsia="仿宋_GB2312" w:cs="Times New Roman"/>
                <w:sz w:val="21"/>
                <w:szCs w:val="21"/>
                <w:highlight w:val="none"/>
              </w:rPr>
              <w:t>5</w:t>
            </w:r>
            <w:r>
              <w:rPr>
                <w:rFonts w:hint="eastAsia" w:ascii="Times New Roman" w:hAnsi="Times New Roman" w:eastAsia="仿宋_GB2312" w:cs="仿宋_GB2312"/>
                <w:sz w:val="21"/>
                <w:szCs w:val="21"/>
                <w:highlight w:val="none"/>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8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highlight w:val="none"/>
              </w:rPr>
            </w:pPr>
            <w:r>
              <w:rPr>
                <w:rFonts w:hint="eastAsia" w:ascii="Times New Roman" w:hAnsi="Times New Roman" w:eastAsia="仿宋_GB2312" w:cs="仿宋_GB2312"/>
                <w:color w:val="000000"/>
                <w:sz w:val="21"/>
                <w:szCs w:val="21"/>
                <w:highlight w:val="none"/>
              </w:rPr>
              <w:t>建立日常环境监测制度或者开展日常环境监测，但是不规范的</w:t>
            </w:r>
          </w:p>
        </w:tc>
        <w:tc>
          <w:tcPr>
            <w:tcW w:w="2689" w:type="dxa"/>
            <w:vAlign w:val="center"/>
          </w:tcPr>
          <w:p>
            <w:pPr>
              <w:snapToGrid w:val="0"/>
              <w:jc w:val="center"/>
              <w:rPr>
                <w:rFonts w:ascii="Times New Roman" w:hAnsi="Times New Roman" w:cs="Times New Roman"/>
                <w:highlight w:val="none"/>
              </w:rPr>
            </w:pPr>
            <w:r>
              <w:rPr>
                <w:rFonts w:ascii="Times New Roman" w:hAnsi="Times New Roman" w:eastAsia="隶书"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highlight w:val="none"/>
              </w:rPr>
            </w:pPr>
            <w:r>
              <w:rPr>
                <w:rFonts w:hint="eastAsia" w:ascii="Times New Roman" w:hAnsi="Times New Roman" w:eastAsia="仿宋_GB2312" w:cs="仿宋_GB2312"/>
                <w:color w:val="000000"/>
                <w:sz w:val="21"/>
                <w:szCs w:val="21"/>
                <w:highlight w:val="none"/>
              </w:rPr>
              <w:t>未建立日常环境监测制度或者未开展日常环境监测的</w:t>
            </w:r>
          </w:p>
        </w:tc>
        <w:tc>
          <w:tcPr>
            <w:tcW w:w="2689" w:type="dxa"/>
            <w:vAlign w:val="center"/>
          </w:tcPr>
          <w:p>
            <w:pPr>
              <w:snapToGrid w:val="0"/>
              <w:jc w:val="center"/>
              <w:rPr>
                <w:rFonts w:ascii="Times New Roman" w:hAnsi="Times New Roman" w:eastAsia="隶书" w:cs="Times New Roman"/>
                <w:highlight w:val="none"/>
              </w:rPr>
            </w:pPr>
            <w:r>
              <w:rPr>
                <w:rFonts w:ascii="Times New Roman" w:hAnsi="Times New Roman" w:eastAsia="隶书"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highlight w:val="none"/>
              </w:rPr>
            </w:pPr>
            <w:r>
              <w:rPr>
                <w:rFonts w:hint="eastAsia" w:ascii="Times New Roman" w:hAnsi="Times New Roman" w:eastAsia="仿宋_GB2312" w:cs="仿宋_GB2312"/>
                <w:sz w:val="21"/>
                <w:szCs w:val="21"/>
                <w:highlight w:val="none"/>
              </w:rPr>
              <w:t>未建立日常环境监测制度且未开展日常环境监测的</w:t>
            </w:r>
          </w:p>
        </w:tc>
        <w:tc>
          <w:tcPr>
            <w:tcW w:w="2689" w:type="dxa"/>
            <w:vAlign w:val="center"/>
          </w:tcPr>
          <w:p>
            <w:pPr>
              <w:snapToGrid w:val="0"/>
              <w:jc w:val="center"/>
              <w:rPr>
                <w:rFonts w:ascii="Times New Roman" w:hAnsi="Times New Roman" w:eastAsia="隶书" w:cs="Times New Roman"/>
                <w:highlight w:val="none"/>
              </w:rPr>
            </w:pPr>
            <w:r>
              <w:rPr>
                <w:rFonts w:ascii="Times New Roman" w:hAnsi="Times New Roman" w:eastAsia="隶书"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持续时间</w:t>
            </w: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r>
              <w:rPr>
                <w:rFonts w:hint="eastAsia" w:ascii="Times New Roman" w:hAnsi="Times New Roman" w:eastAsia="仿宋_GB2312" w:cs="仿宋_GB2312"/>
                <w:highlight w:val="none"/>
              </w:rPr>
              <w:t>年以上，不满</w:t>
            </w:r>
            <w:r>
              <w:rPr>
                <w:rFonts w:ascii="Times New Roman" w:hAnsi="Times New Roman" w:eastAsia="仿宋_GB2312" w:cs="Times New Roman"/>
                <w:highlight w:val="none"/>
              </w:rPr>
              <w:t>2</w:t>
            </w:r>
            <w:r>
              <w:rPr>
                <w:rFonts w:hint="eastAsia" w:ascii="Times New Roman" w:hAnsi="Times New Roman" w:eastAsia="仿宋_GB2312" w:cs="仿宋_GB2312"/>
                <w:highlight w:val="none"/>
              </w:rPr>
              <w:t>年的</w:t>
            </w:r>
          </w:p>
        </w:tc>
        <w:tc>
          <w:tcPr>
            <w:tcW w:w="2689" w:type="dxa"/>
            <w:vAlign w:val="center"/>
          </w:tcPr>
          <w:p>
            <w:pPr>
              <w:snapToGrid w:val="0"/>
              <w:jc w:val="center"/>
              <w:rPr>
                <w:rFonts w:ascii="Times New Roman" w:hAnsi="Times New Roman" w:eastAsia="隶书" w:cs="Times New Roman"/>
                <w:highlight w:val="none"/>
              </w:rPr>
            </w:pPr>
            <w:r>
              <w:rPr>
                <w:rFonts w:ascii="Times New Roman" w:hAnsi="Times New Roman" w:eastAsia="隶书"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r>
              <w:rPr>
                <w:rFonts w:hint="eastAsia" w:ascii="Times New Roman" w:hAnsi="Times New Roman" w:eastAsia="仿宋_GB2312" w:cs="仿宋_GB2312"/>
                <w:highlight w:val="none"/>
              </w:rPr>
              <w:t>年以上，不满</w:t>
            </w:r>
            <w:r>
              <w:rPr>
                <w:rFonts w:ascii="Times New Roman" w:hAnsi="Times New Roman" w:eastAsia="仿宋_GB2312" w:cs="Times New Roman"/>
                <w:highlight w:val="none"/>
              </w:rPr>
              <w:t>3</w:t>
            </w:r>
            <w:r>
              <w:rPr>
                <w:rFonts w:hint="eastAsia" w:ascii="Times New Roman" w:hAnsi="Times New Roman" w:eastAsia="仿宋_GB2312" w:cs="仿宋_GB2312"/>
                <w:highlight w:val="none"/>
              </w:rPr>
              <w:t>年的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隶书"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r>
              <w:rPr>
                <w:rFonts w:hint="eastAsia" w:ascii="Times New Roman" w:hAnsi="Times New Roman" w:eastAsia="仿宋_GB2312" w:cs="仿宋_GB2312"/>
                <w:highlight w:val="none"/>
              </w:rPr>
              <w:t>年以上的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隶书"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eastAsia="仿宋_GB2312" w:cs="Times New Roman"/>
          <w:sz w:val="10"/>
          <w:szCs w:val="10"/>
          <w:highlight w:val="none"/>
        </w:rPr>
      </w:pPr>
      <w:r>
        <w:rPr>
          <w:rFonts w:ascii="Times New Roman" w:hAnsi="Times New Roman" w:eastAsia="仿宋_GB2312" w:cs="Times New Roman"/>
          <w:sz w:val="32"/>
          <w:szCs w:val="32"/>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4870"/>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（四）固体废物污染防治类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23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w:t>
            </w:r>
            <w:r>
              <w:rPr>
                <w:rFonts w:hint="eastAsia" w:ascii="Times New Roman" w:hAnsi="Times New Roman" w:eastAsia="微软雅黑" w:cs="微软雅黑"/>
                <w:b/>
                <w:bCs/>
                <w:highlight w:val="none"/>
              </w:rPr>
              <w:t>号</w:t>
            </w:r>
          </w:p>
        </w:tc>
        <w:tc>
          <w:tcPr>
            <w:tcW w:w="6975"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3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w:t>
            </w:r>
            <w:r>
              <w:rPr>
                <w:rFonts w:hint="eastAsia" w:ascii="Times New Roman" w:hAnsi="Times New Roman" w:eastAsia="微软雅黑" w:cs="微软雅黑"/>
                <w:b/>
                <w:bCs/>
                <w:highlight w:val="none"/>
              </w:rPr>
              <w:t>为</w:t>
            </w:r>
          </w:p>
        </w:tc>
        <w:tc>
          <w:tcPr>
            <w:tcW w:w="6975" w:type="dxa"/>
            <w:gridSpan w:val="2"/>
          </w:tcPr>
          <w:p>
            <w:pPr>
              <w:pStyle w:val="11"/>
              <w:snapToGrid w:val="0"/>
              <w:ind w:firstLine="420"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危险废物经营单位终止从事收集、贮存、处置危险废物经营活动，或者危险废物的经营设施在废弃或者改作其他用途前，或者填埋危险废物的经营设施服役期届满后，未按照规定采取污染防治设施，责令限期改正逾期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3"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highlight w:val="none"/>
              </w:rPr>
            </w:pPr>
            <w:r>
              <w:rPr>
                <w:rFonts w:hint="eastAsia" w:ascii="Times New Roman" w:hAnsi="Times New Roman" w:cs="宋体"/>
                <w:b/>
                <w:bCs/>
                <w:highlight w:val="none"/>
              </w:rPr>
              <w:t>违反条</w:t>
            </w:r>
            <w:r>
              <w:rPr>
                <w:rFonts w:hint="eastAsia" w:ascii="Times New Roman" w:hAnsi="Times New Roman" w:eastAsia="微软雅黑" w:cs="微软雅黑"/>
                <w:b/>
                <w:bCs/>
                <w:highlight w:val="none"/>
              </w:rPr>
              <w:t>款</w:t>
            </w:r>
          </w:p>
        </w:tc>
        <w:tc>
          <w:tcPr>
            <w:tcW w:w="6975" w:type="dxa"/>
            <w:gridSpan w:val="2"/>
          </w:tcPr>
          <w:p>
            <w:pPr>
              <w:pStyle w:val="11"/>
              <w:snapToGrid w:val="0"/>
              <w:ind w:firstLine="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《危险废物经营许可证管理办法》第十四条第一款</w:t>
            </w:r>
            <w:r>
              <w:rPr>
                <w:rFonts w:ascii="Times New Roman" w:hAnsi="Times New Roman" w:eastAsia="仿宋_GB2312" w:cs="Times New Roman"/>
                <w:b/>
                <w:bCs/>
                <w:kern w:val="2"/>
                <w:sz w:val="21"/>
                <w:szCs w:val="21"/>
                <w:highlight w:val="none"/>
              </w:rPr>
              <w:t xml:space="preserve"> </w:t>
            </w:r>
            <w:r>
              <w:rPr>
                <w:rFonts w:hint="eastAsia" w:ascii="Times New Roman" w:hAnsi="Times New Roman" w:eastAsia="仿宋_GB2312" w:cs="仿宋_GB2312"/>
                <w:kern w:val="2"/>
                <w:sz w:val="21"/>
                <w:szCs w:val="21"/>
                <w:highlight w:val="none"/>
              </w:rPr>
              <w:t>危险废物经营单位终止从事收集、贮存、处置危险废物经营活动的，应当对经营设施、场所采取污染防治措施，并对未处置的危险废物作出妥善处理。</w:t>
            </w:r>
          </w:p>
          <w:p>
            <w:pPr>
              <w:pStyle w:val="11"/>
              <w:snapToGrid w:val="0"/>
              <w:ind w:firstLine="422"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第二十一条</w:t>
            </w:r>
            <w:r>
              <w:rPr>
                <w:rFonts w:ascii="Times New Roman" w:hAnsi="Times New Roman" w:eastAsia="仿宋_GB2312" w:cs="Times New Roman"/>
                <w:b/>
                <w:bCs/>
                <w:kern w:val="2"/>
                <w:sz w:val="21"/>
                <w:szCs w:val="21"/>
                <w:highlight w:val="none"/>
              </w:rPr>
              <w:t xml:space="preserve"> </w:t>
            </w:r>
            <w:r>
              <w:rPr>
                <w:rFonts w:hint="eastAsia" w:ascii="Times New Roman" w:hAnsi="Times New Roman" w:eastAsia="仿宋_GB2312" w:cs="仿宋_GB2312"/>
                <w:kern w:val="2"/>
                <w:sz w:val="21"/>
                <w:szCs w:val="21"/>
                <w:highlight w:val="none"/>
              </w:rPr>
              <w:t>危险废物的经营设施在废弃或者改作其他用途前，应当进行无害化处理。</w:t>
            </w:r>
          </w:p>
          <w:p>
            <w:pPr>
              <w:pStyle w:val="11"/>
              <w:snapToGrid w:val="0"/>
              <w:ind w:firstLine="420"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填埋危险废物的经营设施服役期届满后，危险废物经营单位应当按照有关规定对填埋过危险废物的土地采取封闭措施，并在划定的封闭区域设置永久性标记。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highlight w:val="none"/>
              </w:rPr>
            </w:pPr>
            <w:r>
              <w:rPr>
                <w:rFonts w:hint="eastAsia" w:ascii="Times New Roman" w:hAnsi="Times New Roman" w:cs="宋体"/>
                <w:b/>
                <w:bCs/>
                <w:highlight w:val="none"/>
              </w:rPr>
              <w:t>处罚依</w:t>
            </w:r>
            <w:r>
              <w:rPr>
                <w:rFonts w:hint="eastAsia" w:ascii="Times New Roman" w:hAnsi="Times New Roman" w:eastAsia="微软雅黑" w:cs="微软雅黑"/>
                <w:b/>
                <w:bCs/>
                <w:highlight w:val="none"/>
              </w:rPr>
              <w:t>据</w:t>
            </w:r>
          </w:p>
        </w:tc>
        <w:tc>
          <w:tcPr>
            <w:tcW w:w="6975" w:type="dxa"/>
            <w:gridSpan w:val="2"/>
          </w:tcPr>
          <w:p>
            <w:pPr>
              <w:pStyle w:val="11"/>
              <w:snapToGrid w:val="0"/>
              <w:ind w:firstLine="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《危险废物经营许可证管理办法》第二十四条</w:t>
            </w:r>
            <w:r>
              <w:rPr>
                <w:rFonts w:ascii="Times New Roman" w:hAnsi="Times New Roman" w:eastAsia="仿宋_GB2312" w:cs="Times New Roman"/>
                <w:b/>
                <w:bCs/>
                <w:kern w:val="2"/>
                <w:sz w:val="21"/>
                <w:szCs w:val="21"/>
                <w:highlight w:val="none"/>
              </w:rPr>
              <w:t xml:space="preserve"> </w:t>
            </w:r>
            <w:r>
              <w:rPr>
                <w:rFonts w:hint="eastAsia" w:ascii="Times New Roman" w:hAnsi="Times New Roman" w:eastAsia="仿宋_GB2312" w:cs="仿宋_GB2312"/>
                <w:kern w:val="2"/>
                <w:sz w:val="21"/>
                <w:szCs w:val="21"/>
                <w:highlight w:val="none"/>
              </w:rPr>
              <w:t>违反本办法第十四条第一款、第二十一条规定的，由县级以上地方人民政府环境保护主管部门责令限期改正；逾期不改正的，处</w:t>
            </w:r>
            <w:r>
              <w:rPr>
                <w:rFonts w:ascii="Times New Roman" w:hAnsi="Times New Roman" w:eastAsia="仿宋_GB2312" w:cs="Times New Roman"/>
                <w:kern w:val="2"/>
                <w:sz w:val="21"/>
                <w:szCs w:val="21"/>
                <w:highlight w:val="none"/>
              </w:rPr>
              <w:t>5</w:t>
            </w:r>
            <w:r>
              <w:rPr>
                <w:rFonts w:hint="eastAsia" w:ascii="Times New Roman" w:hAnsi="Times New Roman" w:eastAsia="仿宋_GB2312" w:cs="仿宋_GB2312"/>
                <w:kern w:val="2"/>
                <w:sz w:val="21"/>
                <w:szCs w:val="21"/>
                <w:highlight w:val="none"/>
              </w:rPr>
              <w:t>万元以上</w:t>
            </w:r>
            <w:r>
              <w:rPr>
                <w:rFonts w:ascii="Times New Roman" w:hAnsi="Times New Roman" w:eastAsia="仿宋_GB2312" w:cs="Times New Roman"/>
                <w:kern w:val="2"/>
                <w:sz w:val="21"/>
                <w:szCs w:val="21"/>
                <w:highlight w:val="none"/>
              </w:rPr>
              <w:t>10</w:t>
            </w:r>
            <w:r>
              <w:rPr>
                <w:rFonts w:hint="eastAsia" w:ascii="Times New Roman" w:hAnsi="Times New Roman" w:eastAsia="仿宋_GB2312" w:cs="仿宋_GB2312"/>
                <w:kern w:val="2"/>
                <w:sz w:val="21"/>
                <w:szCs w:val="21"/>
                <w:highlight w:val="none"/>
              </w:rPr>
              <w:t>万元以下的罚款；造成污染事故，构成犯罪的，依法追究刑事责任。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23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4870"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10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233" w:type="dxa"/>
            <w:vMerge w:val="restart"/>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r>
              <w:rPr>
                <w:rFonts w:hint="eastAsia" w:ascii="Times New Roman" w:hAnsi="Times New Roman" w:cs="宋体"/>
                <w:b/>
                <w:bCs/>
                <w:highlight w:val="none"/>
              </w:rPr>
              <w:t>★</w:t>
            </w:r>
          </w:p>
        </w:tc>
        <w:tc>
          <w:tcPr>
            <w:tcW w:w="4870" w:type="dxa"/>
            <w:vAlign w:val="center"/>
          </w:tcPr>
          <w:p>
            <w:pPr>
              <w:pStyle w:val="11"/>
              <w:snapToGrid w:val="0"/>
              <w:jc w:val="center"/>
              <w:rPr>
                <w:rFonts w:ascii="Times New Roman" w:hAnsi="Times New Roman" w:eastAsia="仿宋_GB2312" w:cs="Times New Roman"/>
                <w:color w:val="000000"/>
                <w:kern w:val="2"/>
                <w:sz w:val="21"/>
                <w:szCs w:val="21"/>
                <w:highlight w:val="none"/>
              </w:rPr>
            </w:pPr>
            <w:r>
              <w:rPr>
                <w:rFonts w:hint="eastAsia" w:ascii="Times New Roman" w:hAnsi="Times New Roman" w:eastAsia="仿宋_GB2312" w:cs="仿宋_GB2312"/>
                <w:color w:val="000000"/>
                <w:kern w:val="2"/>
                <w:sz w:val="21"/>
                <w:szCs w:val="21"/>
                <w:highlight w:val="none"/>
              </w:rPr>
              <w:t>已采取污染防治设施，但不规范的</w:t>
            </w:r>
          </w:p>
        </w:tc>
        <w:tc>
          <w:tcPr>
            <w:tcW w:w="2105"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233" w:type="dxa"/>
            <w:vMerge w:val="continue"/>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color w:val="000000"/>
                <w:highlight w:val="none"/>
              </w:rPr>
            </w:pPr>
          </w:p>
        </w:tc>
        <w:tc>
          <w:tcPr>
            <w:tcW w:w="4870" w:type="dxa"/>
            <w:vAlign w:val="center"/>
          </w:tcPr>
          <w:p>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beforeAutospacing="0" w:after="0" w:afterAutospacing="0"/>
              <w:jc w:val="center"/>
              <w:rPr>
                <w:rFonts w:ascii="Times New Roman" w:hAnsi="Times New Roman" w:eastAsia="仿宋_GB2312" w:cs="Times New Roman"/>
                <w:color w:val="000000"/>
                <w:kern w:val="2"/>
                <w:sz w:val="21"/>
                <w:szCs w:val="21"/>
                <w:highlight w:val="none"/>
              </w:rPr>
            </w:pPr>
            <w:r>
              <w:rPr>
                <w:rFonts w:hint="eastAsia" w:ascii="Times New Roman" w:hAnsi="Times New Roman" w:eastAsia="仿宋_GB2312" w:cs="仿宋_GB2312"/>
                <w:color w:val="000000"/>
                <w:kern w:val="2"/>
                <w:sz w:val="21"/>
                <w:szCs w:val="21"/>
                <w:highlight w:val="none"/>
              </w:rPr>
              <w:t>部分采取污染防治设施的</w:t>
            </w:r>
          </w:p>
        </w:tc>
        <w:tc>
          <w:tcPr>
            <w:tcW w:w="2105"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2233" w:type="dxa"/>
            <w:vMerge w:val="continue"/>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color w:val="000000"/>
                <w:highlight w:val="none"/>
              </w:rPr>
            </w:pPr>
          </w:p>
        </w:tc>
        <w:tc>
          <w:tcPr>
            <w:tcW w:w="4870" w:type="dxa"/>
            <w:vAlign w:val="center"/>
          </w:tcPr>
          <w:p>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beforeAutospacing="0" w:after="0" w:afterAutospacing="0"/>
              <w:jc w:val="center"/>
              <w:rPr>
                <w:rFonts w:ascii="Times New Roman" w:hAnsi="Times New Roman" w:eastAsia="仿宋_GB2312" w:cs="Times New Roman"/>
                <w:color w:val="000000"/>
                <w:kern w:val="2"/>
                <w:sz w:val="21"/>
                <w:szCs w:val="21"/>
                <w:highlight w:val="none"/>
              </w:rPr>
            </w:pPr>
            <w:r>
              <w:rPr>
                <w:rFonts w:hint="eastAsia" w:ascii="Times New Roman" w:hAnsi="Times New Roman" w:eastAsia="仿宋_GB2312" w:cs="仿宋_GB2312"/>
                <w:color w:val="000000"/>
                <w:kern w:val="2"/>
                <w:sz w:val="21"/>
                <w:szCs w:val="21"/>
                <w:highlight w:val="none"/>
              </w:rPr>
              <w:t>未采取污染防治设施的</w:t>
            </w:r>
          </w:p>
        </w:tc>
        <w:tc>
          <w:tcPr>
            <w:tcW w:w="2105"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233"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贮存、处置、填埋能力</w:t>
            </w:r>
          </w:p>
        </w:tc>
        <w:tc>
          <w:tcPr>
            <w:tcW w:w="4870" w:type="dxa"/>
            <w:vAlign w:val="center"/>
          </w:tcPr>
          <w:p>
            <w:pPr>
              <w:pStyle w:val="12"/>
              <w:snapToGrid w:val="0"/>
              <w:spacing w:before="0" w:beforeAutospacing="0" w:after="0" w:afterAutospacing="0"/>
              <w:ind w:left="2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1000m</w:t>
            </w:r>
            <w:r>
              <w:rPr>
                <w:rFonts w:ascii="Times New Roman" w:hAnsi="Times New Roman" w:eastAsia="仿宋_GB2312" w:cs="Times New Roman"/>
                <w:color w:val="000000"/>
                <w:sz w:val="21"/>
                <w:szCs w:val="21"/>
                <w:highlight w:val="none"/>
                <w:vertAlign w:val="superscript"/>
              </w:rPr>
              <w:t>3</w:t>
            </w:r>
            <w:r>
              <w:rPr>
                <w:rFonts w:hint="eastAsia" w:ascii="Times New Roman" w:hAnsi="Times New Roman" w:eastAsia="仿宋_GB2312" w:cs="仿宋_GB2312"/>
                <w:color w:val="000000"/>
                <w:sz w:val="21"/>
                <w:szCs w:val="21"/>
                <w:highlight w:val="none"/>
              </w:rPr>
              <w:t>以下的</w:t>
            </w:r>
          </w:p>
        </w:tc>
        <w:tc>
          <w:tcPr>
            <w:tcW w:w="2105" w:type="dxa"/>
            <w:vAlign w:val="center"/>
          </w:tcPr>
          <w:p>
            <w:pPr>
              <w:pStyle w:val="12"/>
              <w:snapToGrid w:val="0"/>
              <w:spacing w:before="0" w:beforeAutospacing="0" w:after="0" w:afterAutospacing="0"/>
              <w:jc w:val="center"/>
              <w:rPr>
                <w:rFonts w:ascii="Times New Roman" w:hAnsi="Times New Roman" w:cs="Times New Roman"/>
                <w:color w:val="000000"/>
                <w:highlight w:val="none"/>
              </w:rPr>
            </w:pPr>
            <w:r>
              <w:rPr>
                <w:rFonts w:ascii="Times New Roman" w:hAnsi="Times New Roman" w:eastAsia="仿宋_GB2312" w:cs="Times New Roman"/>
                <w:color w:val="000000"/>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233" w:type="dxa"/>
            <w:vMerge w:val="continue"/>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color w:val="000000"/>
                <w:highlight w:val="none"/>
              </w:rPr>
            </w:pPr>
          </w:p>
        </w:tc>
        <w:tc>
          <w:tcPr>
            <w:tcW w:w="4870"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1000m</w:t>
            </w:r>
            <w:r>
              <w:rPr>
                <w:rFonts w:ascii="Times New Roman" w:hAnsi="Times New Roman" w:eastAsia="仿宋_GB2312" w:cs="Times New Roman"/>
                <w:color w:val="000000"/>
                <w:sz w:val="21"/>
                <w:szCs w:val="21"/>
                <w:highlight w:val="none"/>
                <w:vertAlign w:val="superscript"/>
              </w:rPr>
              <w:t>3</w:t>
            </w:r>
            <w:r>
              <w:rPr>
                <w:rFonts w:hint="eastAsia" w:ascii="Times New Roman" w:hAnsi="Times New Roman" w:eastAsia="仿宋_GB2312" w:cs="仿宋_GB2312"/>
                <w:color w:val="000000"/>
                <w:sz w:val="21"/>
                <w:szCs w:val="21"/>
                <w:highlight w:val="none"/>
              </w:rPr>
              <w:t>以上</w:t>
            </w:r>
            <w:r>
              <w:rPr>
                <w:rFonts w:ascii="Times New Roman" w:hAnsi="Times New Roman" w:eastAsia="仿宋_GB2312" w:cs="Times New Roman"/>
                <w:color w:val="000000"/>
                <w:sz w:val="21"/>
                <w:szCs w:val="21"/>
                <w:highlight w:val="none"/>
              </w:rPr>
              <w:t>5000m</w:t>
            </w:r>
            <w:r>
              <w:rPr>
                <w:rFonts w:ascii="Times New Roman" w:hAnsi="Times New Roman" w:eastAsia="仿宋_GB2312" w:cs="Times New Roman"/>
                <w:color w:val="000000"/>
                <w:sz w:val="21"/>
                <w:szCs w:val="21"/>
                <w:highlight w:val="none"/>
                <w:vertAlign w:val="superscript"/>
              </w:rPr>
              <w:t>3</w:t>
            </w:r>
            <w:r>
              <w:rPr>
                <w:rFonts w:hint="eastAsia" w:ascii="Times New Roman" w:hAnsi="Times New Roman" w:eastAsia="仿宋_GB2312" w:cs="仿宋_GB2312"/>
                <w:color w:val="000000"/>
                <w:sz w:val="21"/>
                <w:szCs w:val="21"/>
                <w:highlight w:val="none"/>
              </w:rPr>
              <w:t>以下的</w:t>
            </w:r>
          </w:p>
        </w:tc>
        <w:tc>
          <w:tcPr>
            <w:tcW w:w="2105"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kern w:val="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233" w:type="dxa"/>
            <w:vMerge w:val="continue"/>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color w:val="000000"/>
                <w:highlight w:val="none"/>
              </w:rPr>
            </w:pPr>
          </w:p>
        </w:tc>
        <w:tc>
          <w:tcPr>
            <w:tcW w:w="4870"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kern w:val="0"/>
                <w:highlight w:val="none"/>
              </w:rPr>
              <w:t>5000</w:t>
            </w:r>
            <w:r>
              <w:rPr>
                <w:rFonts w:ascii="Times New Roman" w:hAnsi="Times New Roman" w:eastAsia="仿宋_GB2312" w:cs="Times New Roman"/>
                <w:color w:val="000000"/>
                <w:highlight w:val="none"/>
              </w:rPr>
              <w:t>m</w:t>
            </w:r>
            <w:r>
              <w:rPr>
                <w:rFonts w:ascii="Times New Roman" w:hAnsi="Times New Roman" w:eastAsia="仿宋_GB2312" w:cs="Times New Roman"/>
                <w:color w:val="000000"/>
                <w:highlight w:val="none"/>
                <w:vertAlign w:val="superscript"/>
              </w:rPr>
              <w:t>3</w:t>
            </w:r>
            <w:r>
              <w:rPr>
                <w:rFonts w:hint="eastAsia" w:ascii="Times New Roman" w:hAnsi="Times New Roman" w:eastAsia="仿宋_GB2312" w:cs="仿宋_GB2312"/>
                <w:color w:val="000000"/>
                <w:kern w:val="0"/>
                <w:highlight w:val="none"/>
              </w:rPr>
              <w:t>以上</w:t>
            </w:r>
            <w:r>
              <w:rPr>
                <w:rFonts w:ascii="Times New Roman" w:hAnsi="Times New Roman" w:eastAsia="仿宋_GB2312" w:cs="Times New Roman"/>
                <w:color w:val="000000"/>
                <w:kern w:val="0"/>
                <w:highlight w:val="none"/>
              </w:rPr>
              <w:t>10000</w:t>
            </w:r>
            <w:r>
              <w:rPr>
                <w:rFonts w:ascii="Times New Roman" w:hAnsi="Times New Roman" w:eastAsia="仿宋_GB2312" w:cs="Times New Roman"/>
                <w:color w:val="000000"/>
                <w:highlight w:val="none"/>
              </w:rPr>
              <w:t>m</w:t>
            </w:r>
            <w:r>
              <w:rPr>
                <w:rFonts w:ascii="Times New Roman" w:hAnsi="Times New Roman" w:eastAsia="仿宋_GB2312" w:cs="Times New Roman"/>
                <w:color w:val="000000"/>
                <w:highlight w:val="none"/>
                <w:vertAlign w:val="superscript"/>
              </w:rPr>
              <w:t>3</w:t>
            </w:r>
            <w:r>
              <w:rPr>
                <w:rFonts w:hint="eastAsia" w:ascii="Times New Roman" w:hAnsi="Times New Roman" w:eastAsia="仿宋_GB2312" w:cs="仿宋_GB2312"/>
                <w:color w:val="000000"/>
                <w:kern w:val="0"/>
                <w:highlight w:val="none"/>
              </w:rPr>
              <w:t>以下的</w:t>
            </w:r>
          </w:p>
        </w:tc>
        <w:tc>
          <w:tcPr>
            <w:tcW w:w="2105"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kern w:val="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233" w:type="dxa"/>
            <w:vMerge w:val="continue"/>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color w:val="000000"/>
                <w:highlight w:val="none"/>
              </w:rPr>
            </w:pPr>
          </w:p>
        </w:tc>
        <w:tc>
          <w:tcPr>
            <w:tcW w:w="4870"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10000m</w:t>
            </w:r>
            <w:r>
              <w:rPr>
                <w:rFonts w:ascii="Times New Roman" w:hAnsi="Times New Roman" w:eastAsia="仿宋_GB2312" w:cs="Times New Roman"/>
                <w:color w:val="000000"/>
                <w:sz w:val="21"/>
                <w:szCs w:val="21"/>
                <w:highlight w:val="none"/>
                <w:vertAlign w:val="superscript"/>
              </w:rPr>
              <w:t>3</w:t>
            </w:r>
            <w:r>
              <w:rPr>
                <w:rFonts w:hint="eastAsia" w:ascii="Times New Roman" w:hAnsi="Times New Roman" w:eastAsia="仿宋_GB2312" w:cs="仿宋_GB2312"/>
                <w:color w:val="000000"/>
                <w:sz w:val="21"/>
                <w:szCs w:val="21"/>
                <w:highlight w:val="none"/>
              </w:rPr>
              <w:t>以上的</w:t>
            </w:r>
          </w:p>
        </w:tc>
        <w:tc>
          <w:tcPr>
            <w:tcW w:w="2105"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kern w:val="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2233" w:type="dxa"/>
            <w:vMerge w:val="restart"/>
            <w:vAlign w:val="center"/>
          </w:tcPr>
          <w:p>
            <w:pPr>
              <w:snapToGrid w:val="0"/>
              <w:jc w:val="center"/>
              <w:rPr>
                <w:rFonts w:ascii="Times New Roman" w:hAnsi="Times New Roman" w:cs="Times New Roman"/>
                <w:b/>
                <w:bCs/>
                <w:strike/>
                <w:color w:val="000000"/>
                <w:highlight w:val="none"/>
              </w:rPr>
            </w:pPr>
            <w:r>
              <w:rPr>
                <w:rFonts w:hint="eastAsia" w:ascii="Times New Roman" w:hAnsi="Times New Roman" w:cs="宋体"/>
                <w:b/>
                <w:bCs/>
                <w:color w:val="000000"/>
                <w:highlight w:val="none"/>
              </w:rPr>
              <w:t>违法行为持续时间</w:t>
            </w:r>
          </w:p>
        </w:tc>
        <w:tc>
          <w:tcPr>
            <w:tcW w:w="4870" w:type="dxa"/>
            <w:vAlign w:val="center"/>
          </w:tcPr>
          <w:p>
            <w:pPr>
              <w:snapToGrid w:val="0"/>
              <w:jc w:val="center"/>
              <w:rPr>
                <w:rFonts w:ascii="Times New Roman" w:hAnsi="Times New Roman" w:eastAsia="仿宋_GB2312" w:cs="Times New Roman"/>
                <w:strike/>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个月以内</w:t>
            </w:r>
          </w:p>
        </w:tc>
        <w:tc>
          <w:tcPr>
            <w:tcW w:w="2105" w:type="dxa"/>
            <w:vAlign w:val="center"/>
          </w:tcPr>
          <w:p>
            <w:pPr>
              <w:snapToGrid w:val="0"/>
              <w:jc w:val="center"/>
              <w:rPr>
                <w:rFonts w:ascii="Times New Roman" w:hAnsi="Times New Roman" w:cs="Times New Roman"/>
                <w:strike/>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233" w:type="dxa"/>
            <w:vMerge w:val="continue"/>
            <w:vAlign w:val="center"/>
          </w:tcPr>
          <w:p>
            <w:pPr>
              <w:snapToGrid w:val="0"/>
              <w:jc w:val="center"/>
              <w:rPr>
                <w:rFonts w:ascii="Times New Roman" w:hAnsi="Times New Roman" w:cs="Times New Roman"/>
                <w:b/>
                <w:bCs/>
                <w:color w:val="000000"/>
                <w:highlight w:val="none"/>
              </w:rPr>
            </w:pPr>
          </w:p>
        </w:tc>
        <w:tc>
          <w:tcPr>
            <w:tcW w:w="4870"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3</w:t>
            </w:r>
            <w:r>
              <w:rPr>
                <w:rFonts w:hint="eastAsia" w:ascii="Times New Roman" w:hAnsi="Times New Roman" w:eastAsia="仿宋_GB2312" w:cs="仿宋_GB2312"/>
                <w:color w:val="000000"/>
                <w:sz w:val="21"/>
                <w:szCs w:val="21"/>
                <w:highlight w:val="none"/>
              </w:rPr>
              <w:t>个月以上</w:t>
            </w:r>
            <w:r>
              <w:rPr>
                <w:rFonts w:ascii="Times New Roman" w:hAnsi="Times New Roman" w:eastAsia="仿宋_GB2312" w:cs="Times New Roman"/>
                <w:color w:val="000000"/>
                <w:sz w:val="21"/>
                <w:szCs w:val="21"/>
                <w:highlight w:val="none"/>
              </w:rPr>
              <w:t>6</w:t>
            </w:r>
            <w:r>
              <w:rPr>
                <w:rFonts w:hint="eastAsia" w:ascii="Times New Roman" w:hAnsi="Times New Roman" w:eastAsia="仿宋_GB2312" w:cs="仿宋_GB2312"/>
                <w:color w:val="000000"/>
                <w:sz w:val="21"/>
                <w:szCs w:val="21"/>
                <w:highlight w:val="none"/>
              </w:rPr>
              <w:t>个月以内</w:t>
            </w:r>
          </w:p>
        </w:tc>
        <w:tc>
          <w:tcPr>
            <w:tcW w:w="2105"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2233" w:type="dxa"/>
            <w:vMerge w:val="continue"/>
            <w:vAlign w:val="center"/>
          </w:tcPr>
          <w:p>
            <w:pPr>
              <w:snapToGrid w:val="0"/>
              <w:jc w:val="center"/>
              <w:rPr>
                <w:rFonts w:ascii="Times New Roman" w:hAnsi="Times New Roman" w:cs="Times New Roman"/>
                <w:b/>
                <w:bCs/>
                <w:color w:val="000000"/>
                <w:highlight w:val="none"/>
              </w:rPr>
            </w:pPr>
          </w:p>
        </w:tc>
        <w:tc>
          <w:tcPr>
            <w:tcW w:w="4870"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6</w:t>
            </w:r>
            <w:r>
              <w:rPr>
                <w:rFonts w:hint="eastAsia" w:ascii="Times New Roman" w:hAnsi="Times New Roman" w:eastAsia="仿宋_GB2312" w:cs="仿宋_GB2312"/>
                <w:color w:val="000000"/>
                <w:sz w:val="21"/>
                <w:szCs w:val="21"/>
                <w:highlight w:val="none"/>
              </w:rPr>
              <w:t>个月以上</w:t>
            </w:r>
          </w:p>
        </w:tc>
        <w:tc>
          <w:tcPr>
            <w:tcW w:w="2105"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233"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超过限期</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改正时间</w:t>
            </w:r>
          </w:p>
        </w:tc>
        <w:tc>
          <w:tcPr>
            <w:tcW w:w="4870"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w:t>
            </w:r>
          </w:p>
        </w:tc>
        <w:tc>
          <w:tcPr>
            <w:tcW w:w="2105"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233" w:type="dxa"/>
            <w:vMerge w:val="continue"/>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color w:val="000000"/>
                <w:highlight w:val="none"/>
              </w:rPr>
            </w:pPr>
          </w:p>
        </w:tc>
        <w:tc>
          <w:tcPr>
            <w:tcW w:w="4870"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天</w:t>
            </w:r>
          </w:p>
        </w:tc>
        <w:tc>
          <w:tcPr>
            <w:tcW w:w="2105"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233" w:type="dxa"/>
            <w:vMerge w:val="continue"/>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color w:val="000000"/>
                <w:highlight w:val="none"/>
              </w:rPr>
            </w:pPr>
          </w:p>
        </w:tc>
        <w:tc>
          <w:tcPr>
            <w:tcW w:w="4870"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天</w:t>
            </w:r>
          </w:p>
        </w:tc>
        <w:tc>
          <w:tcPr>
            <w:tcW w:w="2105"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2233" w:type="dxa"/>
            <w:vMerge w:val="continue"/>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color w:val="000000"/>
                <w:highlight w:val="none"/>
              </w:rPr>
            </w:pPr>
          </w:p>
        </w:tc>
        <w:tc>
          <w:tcPr>
            <w:tcW w:w="4870"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w:t>
            </w:r>
          </w:p>
        </w:tc>
        <w:tc>
          <w:tcPr>
            <w:tcW w:w="2105"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233" w:type="dxa"/>
            <w:vMerge w:val="continue"/>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color w:val="000000"/>
                <w:highlight w:val="none"/>
              </w:rPr>
            </w:pPr>
          </w:p>
        </w:tc>
        <w:tc>
          <w:tcPr>
            <w:tcW w:w="4870"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个月以上</w:t>
            </w:r>
          </w:p>
        </w:tc>
        <w:tc>
          <w:tcPr>
            <w:tcW w:w="2105"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33"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6975" w:type="dxa"/>
            <w:gridSpan w:val="2"/>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20"/>
              <w:jc w:val="center"/>
              <w:rPr>
                <w:rFonts w:ascii="Times New Roman" w:hAnsi="Times New Roman" w:cs="Times New Roman"/>
                <w:color w:val="000000"/>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（四）固体废物污染防治类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vAlign w:val="center"/>
          </w:tcPr>
          <w:p>
            <w:pPr>
              <w:pStyle w:val="11"/>
              <w:ind w:firstLine="420"/>
              <w:jc w:val="center"/>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伪造、变造、转让危险废物经营许可证的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Pr>
          <w:p>
            <w:pPr>
              <w:pStyle w:val="11"/>
              <w:ind w:firstLine="42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《危险废物经营许可证管理办法》第十五条第四款</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禁止伪造、变造、转让危险废物经营许可证。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Pr>
          <w:p>
            <w:pPr>
              <w:pStyle w:val="11"/>
              <w:ind w:firstLine="42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《危险废物经营许可证管理办法》第二十五条第二款</w:t>
            </w:r>
            <w:r>
              <w:rPr>
                <w:rFonts w:ascii="Times New Roman" w:hAnsi="Times New Roman" w:eastAsia="仿宋_GB2312" w:cs="Times New Roman"/>
                <w:b/>
                <w:bCs/>
                <w:kern w:val="2"/>
                <w:sz w:val="21"/>
                <w:szCs w:val="21"/>
                <w:highlight w:val="none"/>
              </w:rPr>
              <w:t xml:space="preserve"> </w:t>
            </w:r>
            <w:r>
              <w:rPr>
                <w:rFonts w:hint="eastAsia" w:ascii="Times New Roman" w:hAnsi="Times New Roman" w:eastAsia="仿宋_GB2312" w:cs="仿宋_GB2312"/>
                <w:kern w:val="2"/>
                <w:sz w:val="21"/>
                <w:szCs w:val="21"/>
                <w:highlight w:val="none"/>
              </w:rPr>
              <w:t>违反本办法第十五条第四款规定的，由县级以上地方人民政府环境保护主管部门收缴危险废物经营许可证或者由原发证机关吊销危险废物经营许可证，并处</w:t>
            </w:r>
            <w:r>
              <w:rPr>
                <w:rFonts w:ascii="Times New Roman" w:hAnsi="Times New Roman" w:eastAsia="仿宋_GB2312" w:cs="Times New Roman"/>
                <w:kern w:val="2"/>
                <w:sz w:val="21"/>
                <w:szCs w:val="21"/>
                <w:highlight w:val="none"/>
              </w:rPr>
              <w:t>5</w:t>
            </w:r>
            <w:r>
              <w:rPr>
                <w:rFonts w:hint="eastAsia" w:ascii="Times New Roman" w:hAnsi="Times New Roman" w:eastAsia="仿宋_GB2312" w:cs="仿宋_GB2312"/>
                <w:kern w:val="2"/>
                <w:sz w:val="21"/>
                <w:szCs w:val="21"/>
                <w:highlight w:val="none"/>
              </w:rPr>
              <w:t>万元以上</w:t>
            </w:r>
            <w:r>
              <w:rPr>
                <w:rFonts w:ascii="Times New Roman" w:hAnsi="Times New Roman" w:eastAsia="仿宋_GB2312" w:cs="Times New Roman"/>
                <w:kern w:val="2"/>
                <w:sz w:val="21"/>
                <w:szCs w:val="21"/>
                <w:highlight w:val="none"/>
              </w:rPr>
              <w:t>10</w:t>
            </w:r>
            <w:r>
              <w:rPr>
                <w:rFonts w:hint="eastAsia" w:ascii="Times New Roman" w:hAnsi="Times New Roman" w:eastAsia="仿宋_GB2312" w:cs="仿宋_GB2312"/>
                <w:kern w:val="2"/>
                <w:sz w:val="21"/>
                <w:szCs w:val="21"/>
                <w:highlight w:val="none"/>
              </w:rPr>
              <w:t>万元以下的罚款；构成犯罪的，依法追究刑事责任。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8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306" w:type="dxa"/>
            <w:vMerge w:val="restart"/>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违法事实★</w:t>
            </w: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转让许可证的，尚未使用的</w:t>
            </w:r>
          </w:p>
        </w:tc>
        <w:tc>
          <w:tcPr>
            <w:tcW w:w="2689" w:type="dxa"/>
            <w:vAlign w:val="center"/>
          </w:tcPr>
          <w:p>
            <w:pPr>
              <w:snapToGrid w:val="0"/>
              <w:spacing w:line="288" w:lineRule="auto"/>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highlight w:val="none"/>
              </w:rPr>
            </w:pPr>
          </w:p>
        </w:tc>
        <w:tc>
          <w:tcPr>
            <w:tcW w:w="5213" w:type="dxa"/>
            <w:vAlign w:val="center"/>
          </w:tcPr>
          <w:p>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beforeAutospacing="0" w:after="0" w:afterAutospacing="0"/>
              <w:jc w:val="center"/>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sz w:val="21"/>
                <w:szCs w:val="21"/>
                <w:highlight w:val="none"/>
              </w:rPr>
              <w:t>伪造、变造许可证，尚未使用的</w:t>
            </w:r>
          </w:p>
        </w:tc>
        <w:tc>
          <w:tcPr>
            <w:tcW w:w="2689"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highlight w:val="none"/>
              </w:rPr>
            </w:pPr>
          </w:p>
        </w:tc>
        <w:tc>
          <w:tcPr>
            <w:tcW w:w="5213" w:type="dxa"/>
            <w:vAlign w:val="center"/>
          </w:tcPr>
          <w:p>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beforeAutospacing="0" w:after="0" w:afterAutospacing="0"/>
              <w:jc w:val="center"/>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sz w:val="21"/>
                <w:szCs w:val="21"/>
                <w:highlight w:val="none"/>
              </w:rPr>
              <w:t>转让、伪造、变造许可证，正常使用的</w:t>
            </w:r>
          </w:p>
        </w:tc>
        <w:tc>
          <w:tcPr>
            <w:tcW w:w="2689"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6" w:type="dxa"/>
            <w:vMerge w:val="restart"/>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涉及危险废物数量</w:t>
            </w:r>
          </w:p>
        </w:tc>
        <w:tc>
          <w:tcPr>
            <w:tcW w:w="5213" w:type="dxa"/>
            <w:vAlign w:val="center"/>
          </w:tcPr>
          <w:p>
            <w:pPr>
              <w:pStyle w:val="12"/>
              <w:snapToGrid w:val="0"/>
              <w:spacing w:before="0" w:beforeAutospacing="0" w:after="0" w:afterAutospacing="0"/>
              <w:ind w:firstLine="482"/>
              <w:jc w:val="center"/>
              <w:rPr>
                <w:rFonts w:ascii="Times New Roman" w:hAnsi="Times New Roman" w:eastAsia="仿宋_GB2312" w:cs="Times New Roman"/>
                <w:color w:val="000000"/>
                <w:kern w:val="2"/>
                <w:sz w:val="21"/>
                <w:szCs w:val="21"/>
                <w:highlight w:val="none"/>
              </w:rPr>
            </w:pPr>
            <w:r>
              <w:rPr>
                <w:rFonts w:ascii="Times New Roman" w:hAnsi="Times New Roman" w:eastAsia="仿宋_GB2312" w:cs="Times New Roman"/>
                <w:color w:val="000000"/>
                <w:kern w:val="2"/>
                <w:sz w:val="21"/>
                <w:szCs w:val="21"/>
                <w:highlight w:val="none"/>
              </w:rPr>
              <w:t>0.2</w:t>
            </w:r>
            <w:r>
              <w:rPr>
                <w:rFonts w:hint="eastAsia" w:ascii="Times New Roman" w:hAnsi="Times New Roman" w:eastAsia="仿宋_GB2312" w:cs="Times New Roman"/>
                <w:color w:val="000000"/>
                <w:kern w:val="2"/>
                <w:sz w:val="21"/>
                <w:szCs w:val="21"/>
                <w:highlight w:val="none"/>
              </w:rPr>
              <w:t>吨以下的</w:t>
            </w:r>
          </w:p>
        </w:tc>
        <w:tc>
          <w:tcPr>
            <w:tcW w:w="2689" w:type="dxa"/>
            <w:vAlign w:val="center"/>
          </w:tcPr>
          <w:p>
            <w:pPr>
              <w:snapToGrid w:val="0"/>
              <w:spacing w:line="288" w:lineRule="auto"/>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ind w:firstLine="482"/>
              <w:jc w:val="center"/>
              <w:rPr>
                <w:rFonts w:ascii="Times New Roman" w:hAnsi="Times New Roman" w:eastAsia="仿宋_GB2312" w:cs="Times New Roman"/>
                <w:color w:val="000000"/>
                <w:kern w:val="2"/>
                <w:sz w:val="21"/>
                <w:szCs w:val="21"/>
                <w:highlight w:val="none"/>
              </w:rPr>
            </w:pPr>
            <w:r>
              <w:rPr>
                <w:rFonts w:ascii="Times New Roman" w:hAnsi="Times New Roman" w:eastAsia="仿宋_GB2312" w:cs="Times New Roman"/>
                <w:color w:val="000000"/>
                <w:kern w:val="2"/>
                <w:sz w:val="21"/>
                <w:szCs w:val="21"/>
                <w:highlight w:val="none"/>
              </w:rPr>
              <w:t>0.2</w:t>
            </w:r>
            <w:r>
              <w:rPr>
                <w:rFonts w:hint="eastAsia" w:ascii="Times New Roman" w:hAnsi="Times New Roman" w:eastAsia="仿宋_GB2312" w:cs="Times New Roman"/>
                <w:color w:val="000000"/>
                <w:kern w:val="2"/>
                <w:sz w:val="21"/>
                <w:szCs w:val="21"/>
                <w:highlight w:val="none"/>
              </w:rPr>
              <w:t>吨以上不足</w:t>
            </w:r>
            <w:r>
              <w:rPr>
                <w:rFonts w:ascii="Times New Roman" w:hAnsi="Times New Roman" w:eastAsia="仿宋_GB2312" w:cs="Times New Roman"/>
                <w:color w:val="000000"/>
                <w:kern w:val="2"/>
                <w:sz w:val="21"/>
                <w:szCs w:val="21"/>
                <w:highlight w:val="none"/>
              </w:rPr>
              <w:t>0.5</w:t>
            </w:r>
            <w:r>
              <w:rPr>
                <w:rFonts w:hint="eastAsia" w:ascii="Times New Roman" w:hAnsi="Times New Roman" w:eastAsia="仿宋_GB2312" w:cs="Times New Roman"/>
                <w:color w:val="000000"/>
                <w:kern w:val="2"/>
                <w:sz w:val="21"/>
                <w:szCs w:val="21"/>
                <w:highlight w:val="none"/>
              </w:rPr>
              <w:t>吨的</w:t>
            </w:r>
          </w:p>
        </w:tc>
        <w:tc>
          <w:tcPr>
            <w:tcW w:w="2689" w:type="dxa"/>
            <w:vAlign w:val="center"/>
          </w:tcPr>
          <w:p>
            <w:pPr>
              <w:snapToGrid w:val="0"/>
              <w:spacing w:line="288" w:lineRule="auto"/>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ind w:firstLine="482"/>
              <w:jc w:val="center"/>
              <w:rPr>
                <w:rFonts w:ascii="Times New Roman" w:hAnsi="Times New Roman" w:eastAsia="仿宋_GB2312" w:cs="Times New Roman"/>
                <w:color w:val="000000"/>
                <w:kern w:val="2"/>
                <w:sz w:val="21"/>
                <w:szCs w:val="21"/>
                <w:highlight w:val="none"/>
              </w:rPr>
            </w:pPr>
            <w:r>
              <w:rPr>
                <w:rFonts w:ascii="Times New Roman" w:hAnsi="Times New Roman" w:eastAsia="仿宋_GB2312" w:cs="Times New Roman"/>
                <w:color w:val="000000"/>
                <w:kern w:val="2"/>
                <w:sz w:val="21"/>
                <w:szCs w:val="21"/>
                <w:highlight w:val="none"/>
              </w:rPr>
              <w:t>0.5</w:t>
            </w:r>
            <w:r>
              <w:rPr>
                <w:rFonts w:hint="eastAsia" w:ascii="Times New Roman" w:hAnsi="Times New Roman" w:eastAsia="仿宋_GB2312" w:cs="Times New Roman"/>
                <w:color w:val="000000"/>
                <w:kern w:val="2"/>
                <w:sz w:val="21"/>
                <w:szCs w:val="21"/>
                <w:highlight w:val="none"/>
              </w:rPr>
              <w:t>吨以上不足</w:t>
            </w:r>
            <w:r>
              <w:rPr>
                <w:rFonts w:ascii="Times New Roman" w:hAnsi="Times New Roman" w:eastAsia="仿宋_GB2312" w:cs="Times New Roman"/>
                <w:color w:val="000000"/>
                <w:kern w:val="2"/>
                <w:sz w:val="21"/>
                <w:szCs w:val="21"/>
                <w:highlight w:val="none"/>
              </w:rPr>
              <w:t>1</w:t>
            </w:r>
            <w:r>
              <w:rPr>
                <w:rFonts w:hint="eastAsia" w:ascii="Times New Roman" w:hAnsi="Times New Roman" w:eastAsia="仿宋_GB2312" w:cs="Times New Roman"/>
                <w:color w:val="000000"/>
                <w:kern w:val="2"/>
                <w:sz w:val="21"/>
                <w:szCs w:val="21"/>
                <w:highlight w:val="none"/>
              </w:rPr>
              <w:t>吨的</w:t>
            </w:r>
          </w:p>
        </w:tc>
        <w:tc>
          <w:tcPr>
            <w:tcW w:w="2689" w:type="dxa"/>
            <w:vAlign w:val="center"/>
          </w:tcPr>
          <w:p>
            <w:pPr>
              <w:snapToGrid w:val="0"/>
              <w:spacing w:line="288" w:lineRule="auto"/>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ind w:firstLine="482"/>
              <w:jc w:val="center"/>
              <w:rPr>
                <w:rFonts w:ascii="Times New Roman" w:hAnsi="Times New Roman" w:eastAsia="仿宋_GB2312" w:cs="Times New Roman"/>
                <w:color w:val="000000"/>
                <w:kern w:val="2"/>
                <w:sz w:val="21"/>
                <w:szCs w:val="21"/>
                <w:highlight w:val="none"/>
              </w:rPr>
            </w:pPr>
            <w:r>
              <w:rPr>
                <w:rFonts w:ascii="Times New Roman" w:hAnsi="Times New Roman" w:eastAsia="仿宋_GB2312" w:cs="Times New Roman"/>
                <w:color w:val="000000"/>
                <w:kern w:val="2"/>
                <w:sz w:val="21"/>
                <w:szCs w:val="21"/>
                <w:highlight w:val="none"/>
              </w:rPr>
              <w:t>1</w:t>
            </w:r>
            <w:r>
              <w:rPr>
                <w:rFonts w:hint="eastAsia" w:ascii="Times New Roman" w:hAnsi="Times New Roman" w:eastAsia="仿宋_GB2312" w:cs="Times New Roman"/>
                <w:color w:val="000000"/>
                <w:kern w:val="2"/>
                <w:sz w:val="21"/>
                <w:szCs w:val="21"/>
                <w:highlight w:val="none"/>
              </w:rPr>
              <w:t>吨以上不足</w:t>
            </w:r>
            <w:r>
              <w:rPr>
                <w:rFonts w:ascii="Times New Roman" w:hAnsi="Times New Roman" w:eastAsia="仿宋_GB2312" w:cs="Times New Roman"/>
                <w:color w:val="000000"/>
                <w:kern w:val="2"/>
                <w:sz w:val="21"/>
                <w:szCs w:val="21"/>
                <w:highlight w:val="none"/>
              </w:rPr>
              <w:t>2</w:t>
            </w:r>
            <w:r>
              <w:rPr>
                <w:rFonts w:hint="eastAsia" w:ascii="Times New Roman" w:hAnsi="Times New Roman" w:eastAsia="仿宋_GB2312" w:cs="Times New Roman"/>
                <w:color w:val="000000"/>
                <w:kern w:val="2"/>
                <w:sz w:val="21"/>
                <w:szCs w:val="21"/>
                <w:highlight w:val="none"/>
              </w:rPr>
              <w:t>吨的</w:t>
            </w:r>
          </w:p>
        </w:tc>
        <w:tc>
          <w:tcPr>
            <w:tcW w:w="2689" w:type="dxa"/>
            <w:vAlign w:val="center"/>
          </w:tcPr>
          <w:p>
            <w:pPr>
              <w:snapToGrid w:val="0"/>
              <w:spacing w:line="288" w:lineRule="auto"/>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0" w:type="auto"/>
            <w:vMerge w:val="continue"/>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ind w:firstLine="482"/>
              <w:jc w:val="center"/>
              <w:rPr>
                <w:rFonts w:ascii="Times New Roman" w:hAnsi="Times New Roman" w:eastAsia="仿宋_GB2312" w:cs="Times New Roman"/>
                <w:color w:val="000000"/>
                <w:kern w:val="2"/>
                <w:sz w:val="21"/>
                <w:szCs w:val="21"/>
                <w:highlight w:val="none"/>
              </w:rPr>
            </w:pPr>
            <w:r>
              <w:rPr>
                <w:rFonts w:ascii="Times New Roman" w:hAnsi="Times New Roman" w:eastAsia="仿宋_GB2312" w:cs="Times New Roman"/>
                <w:color w:val="000000"/>
                <w:kern w:val="2"/>
                <w:sz w:val="21"/>
                <w:szCs w:val="21"/>
                <w:highlight w:val="none"/>
              </w:rPr>
              <w:t>2</w:t>
            </w:r>
            <w:r>
              <w:rPr>
                <w:rFonts w:hint="eastAsia" w:ascii="Times New Roman" w:hAnsi="Times New Roman" w:eastAsia="仿宋_GB2312" w:cs="Times New Roman"/>
                <w:color w:val="000000"/>
                <w:kern w:val="2"/>
                <w:sz w:val="21"/>
                <w:szCs w:val="21"/>
                <w:highlight w:val="none"/>
              </w:rPr>
              <w:t>吨以上的</w:t>
            </w:r>
          </w:p>
        </w:tc>
        <w:tc>
          <w:tcPr>
            <w:tcW w:w="2689" w:type="dxa"/>
            <w:vAlign w:val="center"/>
          </w:tcPr>
          <w:p>
            <w:pPr>
              <w:snapToGrid w:val="0"/>
              <w:spacing w:line="288" w:lineRule="auto"/>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违法持续</w:t>
            </w:r>
          </w:p>
          <w:p>
            <w:pPr>
              <w:snapToGrid w:val="0"/>
              <w:jc w:val="center"/>
              <w:rPr>
                <w:rFonts w:ascii="Times New Roman" w:hAnsi="Times New Roman" w:cs="Times New Roman"/>
                <w:b/>
                <w:bCs/>
                <w:highlight w:val="none"/>
              </w:rPr>
            </w:pPr>
            <w:r>
              <w:rPr>
                <w:rFonts w:hint="eastAsia" w:ascii="Times New Roman" w:hAnsi="Times New Roman" w:cs="宋体"/>
                <w:b/>
                <w:bCs/>
                <w:color w:val="000000"/>
                <w:highlight w:val="none"/>
              </w:rPr>
              <w:t>时间</w:t>
            </w:r>
          </w:p>
        </w:tc>
        <w:tc>
          <w:tcPr>
            <w:tcW w:w="5213"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个月以内的</w:t>
            </w:r>
          </w:p>
        </w:tc>
        <w:tc>
          <w:tcPr>
            <w:tcW w:w="2689"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0" w:type="auto"/>
            <w:vMerge w:val="continue"/>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highlight w:val="none"/>
              </w:rPr>
            </w:pPr>
          </w:p>
        </w:tc>
        <w:tc>
          <w:tcPr>
            <w:tcW w:w="5213"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超过</w:t>
            </w: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个月并且在</w:t>
            </w: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个月以内的</w:t>
            </w:r>
          </w:p>
        </w:tc>
        <w:tc>
          <w:tcPr>
            <w:tcW w:w="2689"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0" w:type="auto"/>
            <w:vMerge w:val="continue"/>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超过</w:t>
            </w: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个月并且在</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年以内的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0" w:type="auto"/>
            <w:vMerge w:val="continue"/>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highlight w:val="none"/>
              </w:rPr>
            </w:pPr>
          </w:p>
        </w:tc>
        <w:tc>
          <w:tcPr>
            <w:tcW w:w="5213"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超过</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年并且在</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年以内的</w:t>
            </w:r>
          </w:p>
        </w:tc>
        <w:tc>
          <w:tcPr>
            <w:tcW w:w="2689"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highlight w:val="none"/>
              </w:rPr>
            </w:pPr>
          </w:p>
        </w:tc>
        <w:tc>
          <w:tcPr>
            <w:tcW w:w="5213"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年以上</w:t>
            </w:r>
          </w:p>
        </w:tc>
        <w:tc>
          <w:tcPr>
            <w:tcW w:w="2689"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vAlign w:val="center"/>
          </w:tcPr>
          <w:p>
            <w:pPr>
              <w:snapToGrid w:val="0"/>
              <w:jc w:val="center"/>
              <w:rPr>
                <w:rFonts w:ascii="Times New Roman" w:hAnsi="Times New Roman" w:cs="Times New Roman"/>
                <w:b/>
                <w:bCs/>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7"/>
        <w:gridCol w:w="5267"/>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（四）固体废物污染防治类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401"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401" w:type="dxa"/>
            <w:gridSpan w:val="2"/>
          </w:tcPr>
          <w:p>
            <w:pPr>
              <w:pStyle w:val="11"/>
              <w:ind w:firstLine="42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领取危险废物收集经营许可证的单位，未与处置单位签订接收合同，或者未将收集的废矿物油和废镉镍电池在</w:t>
            </w:r>
            <w:r>
              <w:rPr>
                <w:rFonts w:ascii="Times New Roman" w:hAnsi="Times New Roman" w:eastAsia="仿宋_GB2312" w:cs="Times New Roman"/>
                <w:kern w:val="2"/>
                <w:sz w:val="21"/>
                <w:szCs w:val="21"/>
                <w:highlight w:val="none"/>
              </w:rPr>
              <w:t>90</w:t>
            </w:r>
            <w:r>
              <w:rPr>
                <w:rFonts w:hint="eastAsia" w:ascii="Times New Roman" w:hAnsi="Times New Roman" w:eastAsia="仿宋_GB2312" w:cs="仿宋_GB2312"/>
                <w:kern w:val="2"/>
                <w:sz w:val="21"/>
                <w:szCs w:val="21"/>
                <w:highlight w:val="none"/>
              </w:rPr>
              <w:t>个工作日内提供或者委托给处置单位进行处置，责令限期改正逾期不改正的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401" w:type="dxa"/>
            <w:gridSpan w:val="2"/>
          </w:tcPr>
          <w:p>
            <w:pPr>
              <w:pStyle w:val="11"/>
              <w:ind w:firstLine="42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《危险废物经营许可证管理办法》第二十条</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领取危险废物收集经营许可证的单位，应当与处置单位签订接收合同，并将收集的废矿物油和废镉镍电池在</w:t>
            </w:r>
            <w:r>
              <w:rPr>
                <w:rFonts w:ascii="Times New Roman" w:hAnsi="Times New Roman" w:eastAsia="仿宋_GB2312" w:cs="Times New Roman"/>
                <w:kern w:val="2"/>
                <w:sz w:val="21"/>
                <w:szCs w:val="21"/>
                <w:highlight w:val="none"/>
              </w:rPr>
              <w:t>90</w:t>
            </w:r>
            <w:r>
              <w:rPr>
                <w:rFonts w:hint="eastAsia" w:ascii="Times New Roman" w:hAnsi="Times New Roman" w:eastAsia="仿宋_GB2312" w:cs="仿宋_GB2312"/>
                <w:kern w:val="2"/>
                <w:sz w:val="21"/>
                <w:szCs w:val="21"/>
                <w:highlight w:val="none"/>
              </w:rPr>
              <w:t>个工作日内提供或者委托给处置单位进行处置。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401" w:type="dxa"/>
            <w:gridSpan w:val="2"/>
          </w:tcPr>
          <w:p>
            <w:pPr>
              <w:pStyle w:val="11"/>
              <w:ind w:firstLine="42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《危险废物经营许可证管理办法》第二十七条</w:t>
            </w:r>
            <w:r>
              <w:rPr>
                <w:rFonts w:ascii="Times New Roman" w:hAnsi="Times New Roman" w:eastAsia="仿宋_GB2312" w:cs="Times New Roman"/>
                <w:b/>
                <w:bCs/>
                <w:kern w:val="2"/>
                <w:sz w:val="21"/>
                <w:szCs w:val="21"/>
                <w:highlight w:val="none"/>
              </w:rPr>
              <w:t xml:space="preserve">  </w:t>
            </w:r>
            <w:r>
              <w:rPr>
                <w:rFonts w:hint="eastAsia" w:ascii="Times New Roman" w:hAnsi="Times New Roman" w:eastAsia="仿宋_GB2312" w:cs="仿宋_GB2312"/>
                <w:kern w:val="2"/>
                <w:sz w:val="21"/>
                <w:szCs w:val="21"/>
                <w:highlight w:val="none"/>
              </w:rPr>
              <w:t>违反本办法第二十条规定的，由县级以上地方人民政府环境保护主管部门责令限期改正，给予警告；逾期不改正的，处</w:t>
            </w:r>
            <w:r>
              <w:rPr>
                <w:rFonts w:ascii="Times New Roman" w:hAnsi="Times New Roman" w:eastAsia="仿宋_GB2312" w:cs="Times New Roman"/>
                <w:kern w:val="2"/>
                <w:sz w:val="21"/>
                <w:szCs w:val="21"/>
                <w:highlight w:val="none"/>
              </w:rPr>
              <w:t>1</w:t>
            </w:r>
            <w:r>
              <w:rPr>
                <w:rFonts w:hint="eastAsia" w:ascii="Times New Roman" w:hAnsi="Times New Roman" w:eastAsia="仿宋_GB2312" w:cs="仿宋_GB2312"/>
                <w:kern w:val="2"/>
                <w:sz w:val="21"/>
                <w:szCs w:val="21"/>
                <w:highlight w:val="none"/>
              </w:rPr>
              <w:t>万元以上</w:t>
            </w:r>
            <w:r>
              <w:rPr>
                <w:rFonts w:ascii="Times New Roman" w:hAnsi="Times New Roman" w:eastAsia="仿宋_GB2312" w:cs="Times New Roman"/>
                <w:kern w:val="2"/>
                <w:sz w:val="21"/>
                <w:szCs w:val="21"/>
                <w:highlight w:val="none"/>
              </w:rPr>
              <w:t>5</w:t>
            </w:r>
            <w:r>
              <w:rPr>
                <w:rFonts w:hint="eastAsia" w:ascii="Times New Roman" w:hAnsi="Times New Roman" w:eastAsia="仿宋_GB2312" w:cs="仿宋_GB2312"/>
                <w:kern w:val="2"/>
                <w:sz w:val="21"/>
                <w:szCs w:val="21"/>
                <w:highlight w:val="none"/>
              </w:rPr>
              <w:t>万元以下的罚款，并可以由原发证机关暂扣或者吊销危险废物经营许可证。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134"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7" w:type="dxa"/>
            <w:vMerge w:val="restart"/>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highlight w:val="none"/>
              </w:rPr>
            </w:pPr>
            <w:r>
              <w:rPr>
                <w:rFonts w:hint="eastAsia" w:ascii="Times New Roman" w:hAnsi="Times New Roman" w:cs="宋体"/>
                <w:b/>
                <w:bCs/>
                <w:highlight w:val="none"/>
              </w:rPr>
              <w:t>废矿物油或者废镉镍电池数量★</w:t>
            </w:r>
          </w:p>
        </w:tc>
        <w:tc>
          <w:tcPr>
            <w:tcW w:w="5267" w:type="dxa"/>
            <w:vAlign w:val="center"/>
          </w:tcPr>
          <w:p>
            <w:pPr>
              <w:pStyle w:val="12"/>
              <w:snapToGrid w:val="0"/>
              <w:spacing w:before="0" w:beforeAutospacing="0" w:after="0" w:afterAutospacing="0"/>
              <w:ind w:firstLine="480"/>
              <w:jc w:val="center"/>
              <w:rPr>
                <w:rFonts w:ascii="Times New Roman" w:hAnsi="Times New Roman" w:eastAsia="仿宋_GB2312" w:cs="Times New Roman"/>
                <w:color w:val="000000"/>
                <w:kern w:val="2"/>
                <w:sz w:val="21"/>
                <w:szCs w:val="21"/>
                <w:highlight w:val="none"/>
              </w:rPr>
            </w:pPr>
            <w:r>
              <w:rPr>
                <w:rFonts w:ascii="Times New Roman" w:hAnsi="Times New Roman" w:eastAsia="仿宋_GB2312" w:cs="Times New Roman"/>
                <w:color w:val="000000"/>
                <w:kern w:val="2"/>
                <w:sz w:val="21"/>
                <w:szCs w:val="21"/>
                <w:highlight w:val="none"/>
              </w:rPr>
              <w:t>0.2</w:t>
            </w:r>
            <w:r>
              <w:rPr>
                <w:rFonts w:hint="eastAsia" w:ascii="Times New Roman" w:hAnsi="Times New Roman" w:eastAsia="仿宋_GB2312" w:cs="仿宋_GB2312"/>
                <w:color w:val="000000"/>
                <w:kern w:val="2"/>
                <w:sz w:val="21"/>
                <w:szCs w:val="21"/>
                <w:highlight w:val="none"/>
              </w:rPr>
              <w:t>吨以下的</w:t>
            </w:r>
          </w:p>
        </w:tc>
        <w:tc>
          <w:tcPr>
            <w:tcW w:w="2134"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7" w:type="dxa"/>
            <w:vMerge w:val="continue"/>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highlight w:val="none"/>
              </w:rPr>
            </w:pPr>
          </w:p>
        </w:tc>
        <w:tc>
          <w:tcPr>
            <w:tcW w:w="5267" w:type="dxa"/>
            <w:vAlign w:val="center"/>
          </w:tcPr>
          <w:p>
            <w:pPr>
              <w:pStyle w:val="12"/>
              <w:snapToGrid w:val="0"/>
              <w:spacing w:before="0" w:beforeAutospacing="0" w:after="0" w:afterAutospacing="0"/>
              <w:ind w:firstLine="480"/>
              <w:jc w:val="center"/>
              <w:rPr>
                <w:rFonts w:ascii="Times New Roman" w:hAnsi="Times New Roman" w:eastAsia="仿宋_GB2312" w:cs="Times New Roman"/>
                <w:color w:val="000000"/>
                <w:kern w:val="2"/>
                <w:sz w:val="21"/>
                <w:szCs w:val="21"/>
                <w:highlight w:val="none"/>
              </w:rPr>
            </w:pPr>
            <w:r>
              <w:rPr>
                <w:rFonts w:ascii="Times New Roman" w:hAnsi="Times New Roman" w:eastAsia="仿宋_GB2312" w:cs="Times New Roman"/>
                <w:color w:val="000000"/>
                <w:kern w:val="2"/>
                <w:sz w:val="21"/>
                <w:szCs w:val="21"/>
                <w:highlight w:val="none"/>
              </w:rPr>
              <w:t>0.2</w:t>
            </w:r>
            <w:r>
              <w:rPr>
                <w:rFonts w:hint="eastAsia" w:ascii="Times New Roman" w:hAnsi="Times New Roman" w:eastAsia="仿宋_GB2312" w:cs="仿宋_GB2312"/>
                <w:color w:val="000000"/>
                <w:kern w:val="2"/>
                <w:sz w:val="21"/>
                <w:szCs w:val="21"/>
                <w:highlight w:val="none"/>
              </w:rPr>
              <w:t>吨以上不足</w:t>
            </w:r>
            <w:r>
              <w:rPr>
                <w:rFonts w:ascii="Times New Roman" w:hAnsi="Times New Roman" w:eastAsia="仿宋_GB2312" w:cs="Times New Roman"/>
                <w:color w:val="000000"/>
                <w:kern w:val="2"/>
                <w:sz w:val="21"/>
                <w:szCs w:val="21"/>
                <w:highlight w:val="none"/>
              </w:rPr>
              <w:t>0.5</w:t>
            </w:r>
            <w:r>
              <w:rPr>
                <w:rFonts w:hint="eastAsia" w:ascii="Times New Roman" w:hAnsi="Times New Roman" w:eastAsia="仿宋_GB2312" w:cs="仿宋_GB2312"/>
                <w:color w:val="000000"/>
                <w:kern w:val="2"/>
                <w:sz w:val="21"/>
                <w:szCs w:val="21"/>
                <w:highlight w:val="none"/>
              </w:rPr>
              <w:t>吨的</w:t>
            </w:r>
          </w:p>
        </w:tc>
        <w:tc>
          <w:tcPr>
            <w:tcW w:w="2134"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7" w:type="dxa"/>
            <w:vMerge w:val="continue"/>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highlight w:val="none"/>
              </w:rPr>
            </w:pPr>
          </w:p>
        </w:tc>
        <w:tc>
          <w:tcPr>
            <w:tcW w:w="5267" w:type="dxa"/>
            <w:vAlign w:val="center"/>
          </w:tcPr>
          <w:p>
            <w:pPr>
              <w:pStyle w:val="12"/>
              <w:snapToGrid w:val="0"/>
              <w:spacing w:before="0" w:beforeAutospacing="0" w:after="0" w:afterAutospacing="0"/>
              <w:ind w:firstLine="480"/>
              <w:jc w:val="center"/>
              <w:rPr>
                <w:rFonts w:ascii="Times New Roman" w:hAnsi="Times New Roman" w:eastAsia="仿宋_GB2312" w:cs="Times New Roman"/>
                <w:color w:val="000000"/>
                <w:kern w:val="2"/>
                <w:sz w:val="21"/>
                <w:szCs w:val="21"/>
                <w:highlight w:val="none"/>
              </w:rPr>
            </w:pPr>
            <w:r>
              <w:rPr>
                <w:rFonts w:ascii="Times New Roman" w:hAnsi="Times New Roman" w:eastAsia="仿宋_GB2312" w:cs="Times New Roman"/>
                <w:color w:val="000000"/>
                <w:kern w:val="2"/>
                <w:sz w:val="21"/>
                <w:szCs w:val="21"/>
                <w:highlight w:val="none"/>
              </w:rPr>
              <w:t>0.5</w:t>
            </w:r>
            <w:r>
              <w:rPr>
                <w:rFonts w:hint="eastAsia" w:ascii="Times New Roman" w:hAnsi="Times New Roman" w:eastAsia="仿宋_GB2312" w:cs="仿宋_GB2312"/>
                <w:color w:val="000000"/>
                <w:kern w:val="2"/>
                <w:sz w:val="21"/>
                <w:szCs w:val="21"/>
                <w:highlight w:val="none"/>
              </w:rPr>
              <w:t>吨以上不足</w:t>
            </w:r>
            <w:r>
              <w:rPr>
                <w:rFonts w:ascii="Times New Roman" w:hAnsi="Times New Roman" w:eastAsia="仿宋_GB2312" w:cs="Times New Roman"/>
                <w:color w:val="000000"/>
                <w:kern w:val="2"/>
                <w:sz w:val="21"/>
                <w:szCs w:val="21"/>
                <w:highlight w:val="none"/>
              </w:rPr>
              <w:t>1</w:t>
            </w:r>
            <w:r>
              <w:rPr>
                <w:rFonts w:hint="eastAsia" w:ascii="Times New Roman" w:hAnsi="Times New Roman" w:eastAsia="仿宋_GB2312" w:cs="仿宋_GB2312"/>
                <w:color w:val="000000"/>
                <w:kern w:val="2"/>
                <w:sz w:val="21"/>
                <w:szCs w:val="21"/>
                <w:highlight w:val="none"/>
              </w:rPr>
              <w:t>吨的</w:t>
            </w:r>
          </w:p>
        </w:tc>
        <w:tc>
          <w:tcPr>
            <w:tcW w:w="2134"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7" w:type="dxa"/>
            <w:vMerge w:val="continue"/>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highlight w:val="none"/>
              </w:rPr>
            </w:pPr>
          </w:p>
        </w:tc>
        <w:tc>
          <w:tcPr>
            <w:tcW w:w="5267" w:type="dxa"/>
            <w:vAlign w:val="center"/>
          </w:tcPr>
          <w:p>
            <w:pPr>
              <w:pStyle w:val="12"/>
              <w:snapToGrid w:val="0"/>
              <w:spacing w:before="0" w:beforeAutospacing="0" w:after="0" w:afterAutospacing="0"/>
              <w:ind w:firstLine="480"/>
              <w:jc w:val="center"/>
              <w:rPr>
                <w:rFonts w:ascii="Times New Roman" w:hAnsi="Times New Roman" w:eastAsia="仿宋_GB2312" w:cs="Times New Roman"/>
                <w:color w:val="000000"/>
                <w:kern w:val="2"/>
                <w:sz w:val="21"/>
                <w:szCs w:val="21"/>
                <w:highlight w:val="none"/>
              </w:rPr>
            </w:pPr>
            <w:r>
              <w:rPr>
                <w:rFonts w:ascii="Times New Roman" w:hAnsi="Times New Roman" w:eastAsia="仿宋_GB2312" w:cs="Times New Roman"/>
                <w:color w:val="000000"/>
                <w:kern w:val="2"/>
                <w:sz w:val="21"/>
                <w:szCs w:val="21"/>
                <w:highlight w:val="none"/>
              </w:rPr>
              <w:t>1</w:t>
            </w:r>
            <w:r>
              <w:rPr>
                <w:rFonts w:hint="eastAsia" w:ascii="Times New Roman" w:hAnsi="Times New Roman" w:eastAsia="仿宋_GB2312" w:cs="仿宋_GB2312"/>
                <w:color w:val="000000"/>
                <w:kern w:val="2"/>
                <w:sz w:val="21"/>
                <w:szCs w:val="21"/>
                <w:highlight w:val="none"/>
              </w:rPr>
              <w:t>吨以上不足</w:t>
            </w:r>
            <w:r>
              <w:rPr>
                <w:rFonts w:ascii="Times New Roman" w:hAnsi="Times New Roman" w:eastAsia="仿宋_GB2312" w:cs="Times New Roman"/>
                <w:color w:val="000000"/>
                <w:kern w:val="2"/>
                <w:sz w:val="21"/>
                <w:szCs w:val="21"/>
                <w:highlight w:val="none"/>
              </w:rPr>
              <w:t>2</w:t>
            </w:r>
            <w:r>
              <w:rPr>
                <w:rFonts w:hint="eastAsia" w:ascii="Times New Roman" w:hAnsi="Times New Roman" w:eastAsia="仿宋_GB2312" w:cs="仿宋_GB2312"/>
                <w:color w:val="000000"/>
                <w:kern w:val="2"/>
                <w:sz w:val="21"/>
                <w:szCs w:val="21"/>
                <w:highlight w:val="none"/>
              </w:rPr>
              <w:t>吨的</w:t>
            </w:r>
          </w:p>
        </w:tc>
        <w:tc>
          <w:tcPr>
            <w:tcW w:w="2134"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7" w:type="dxa"/>
            <w:vMerge w:val="continue"/>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highlight w:val="none"/>
              </w:rPr>
            </w:pPr>
          </w:p>
        </w:tc>
        <w:tc>
          <w:tcPr>
            <w:tcW w:w="5267" w:type="dxa"/>
            <w:vAlign w:val="center"/>
          </w:tcPr>
          <w:p>
            <w:pPr>
              <w:pStyle w:val="12"/>
              <w:snapToGrid w:val="0"/>
              <w:spacing w:before="0" w:beforeAutospacing="0" w:after="0" w:afterAutospacing="0"/>
              <w:ind w:firstLine="480"/>
              <w:jc w:val="center"/>
              <w:rPr>
                <w:rFonts w:ascii="Times New Roman" w:hAnsi="Times New Roman" w:eastAsia="仿宋_GB2312" w:cs="Times New Roman"/>
                <w:color w:val="000000"/>
                <w:kern w:val="2"/>
                <w:sz w:val="21"/>
                <w:szCs w:val="21"/>
                <w:highlight w:val="none"/>
              </w:rPr>
            </w:pPr>
            <w:r>
              <w:rPr>
                <w:rFonts w:ascii="Times New Roman" w:hAnsi="Times New Roman" w:eastAsia="仿宋_GB2312" w:cs="Times New Roman"/>
                <w:color w:val="000000"/>
                <w:kern w:val="2"/>
                <w:sz w:val="21"/>
                <w:szCs w:val="21"/>
                <w:highlight w:val="none"/>
              </w:rPr>
              <w:t>2</w:t>
            </w:r>
            <w:r>
              <w:rPr>
                <w:rFonts w:hint="eastAsia" w:ascii="Times New Roman" w:hAnsi="Times New Roman" w:eastAsia="仿宋_GB2312" w:cs="仿宋_GB2312"/>
                <w:color w:val="000000"/>
                <w:kern w:val="2"/>
                <w:sz w:val="21"/>
                <w:szCs w:val="21"/>
                <w:highlight w:val="none"/>
              </w:rPr>
              <w:t>吨以上的</w:t>
            </w:r>
          </w:p>
        </w:tc>
        <w:tc>
          <w:tcPr>
            <w:tcW w:w="2134"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超过限期</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改正时间</w:t>
            </w:r>
          </w:p>
        </w:tc>
        <w:tc>
          <w:tcPr>
            <w:tcW w:w="5267"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w:t>
            </w:r>
          </w:p>
        </w:tc>
        <w:tc>
          <w:tcPr>
            <w:tcW w:w="2134"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7" w:type="dxa"/>
            <w:vMerge w:val="continue"/>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highlight w:val="none"/>
              </w:rPr>
            </w:pPr>
          </w:p>
        </w:tc>
        <w:tc>
          <w:tcPr>
            <w:tcW w:w="5267"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天</w:t>
            </w:r>
          </w:p>
        </w:tc>
        <w:tc>
          <w:tcPr>
            <w:tcW w:w="2134"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7" w:type="dxa"/>
            <w:vMerge w:val="continue"/>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highlight w:val="none"/>
              </w:rPr>
            </w:pPr>
          </w:p>
        </w:tc>
        <w:tc>
          <w:tcPr>
            <w:tcW w:w="5267"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天</w:t>
            </w:r>
          </w:p>
        </w:tc>
        <w:tc>
          <w:tcPr>
            <w:tcW w:w="2134"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7" w:type="dxa"/>
            <w:vMerge w:val="continue"/>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highlight w:val="none"/>
              </w:rPr>
            </w:pPr>
          </w:p>
        </w:tc>
        <w:tc>
          <w:tcPr>
            <w:tcW w:w="5267"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w:t>
            </w:r>
          </w:p>
        </w:tc>
        <w:tc>
          <w:tcPr>
            <w:tcW w:w="2134"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7" w:type="dxa"/>
            <w:vMerge w:val="continue"/>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highlight w:val="none"/>
              </w:rPr>
            </w:pPr>
          </w:p>
        </w:tc>
        <w:tc>
          <w:tcPr>
            <w:tcW w:w="5267"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个月以上</w:t>
            </w:r>
          </w:p>
        </w:tc>
        <w:tc>
          <w:tcPr>
            <w:tcW w:w="2134"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401" w:type="dxa"/>
            <w:gridSpan w:val="2"/>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20"/>
              <w:jc w:val="center"/>
              <w:rPr>
                <w:rFonts w:ascii="Times New Roman" w:hAnsi="Times New Roman" w:cs="Times New Roman"/>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5103"/>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09" w:type="dxa"/>
            <w:gridSpan w:val="3"/>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仿宋_GB2312"/>
                <w:b/>
                <w:bCs/>
                <w:sz w:val="32"/>
                <w:szCs w:val="32"/>
                <w:highlight w:val="none"/>
              </w:rPr>
              <w:t>（四）固体废物污染防治类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796" w:type="dxa"/>
            <w:gridSpan w:val="2"/>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796" w:type="dxa"/>
            <w:gridSpan w:val="2"/>
            <w:vAlign w:val="center"/>
          </w:tcPr>
          <w:p>
            <w:pPr>
              <w:spacing w:line="288" w:lineRule="auto"/>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固体废物污染环境防治设施不正常运行或者排放指标不符合国家规定的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违反条款</w:t>
            </w:r>
          </w:p>
        </w:tc>
        <w:tc>
          <w:tcPr>
            <w:tcW w:w="7796" w:type="dxa"/>
            <w:gridSpan w:val="2"/>
            <w:vAlign w:val="center"/>
          </w:tcPr>
          <w:p>
            <w:pPr>
              <w:ind w:firstLine="420"/>
              <w:rPr>
                <w:rFonts w:ascii="Times New Roman" w:hAnsi="Times New Roman" w:eastAsia="仿宋_GB2312" w:cs="Times New Roman"/>
                <w:color w:val="000000"/>
                <w:highlight w:val="none"/>
              </w:rPr>
            </w:pPr>
            <w:r>
              <w:rPr>
                <w:rFonts w:hint="eastAsia" w:ascii="Times New Roman" w:hAnsi="Times New Roman" w:eastAsia="仿宋_GB2312" w:cs="仿宋_GB2312"/>
                <w:b/>
                <w:bCs/>
                <w:color w:val="000000"/>
                <w:highlight w:val="none"/>
              </w:rPr>
              <w:t>《山东省实施</w:t>
            </w:r>
            <w:r>
              <w:rPr>
                <w:rFonts w:ascii="Times New Roman" w:hAnsi="Times New Roman" w:eastAsia="仿宋_GB2312" w:cs="Times New Roman"/>
                <w:b/>
                <w:bCs/>
                <w:color w:val="000000"/>
                <w:highlight w:val="none"/>
              </w:rPr>
              <w:t>&lt;</w:t>
            </w:r>
            <w:r>
              <w:rPr>
                <w:rFonts w:hint="eastAsia" w:ascii="Times New Roman" w:hAnsi="Times New Roman" w:eastAsia="仿宋_GB2312" w:cs="仿宋_GB2312"/>
                <w:b/>
                <w:bCs/>
                <w:color w:val="000000"/>
                <w:highlight w:val="none"/>
              </w:rPr>
              <w:t>中华人民共和国固体废物污染环境防治法</w:t>
            </w:r>
            <w:r>
              <w:rPr>
                <w:rFonts w:ascii="Times New Roman" w:hAnsi="Times New Roman" w:eastAsia="仿宋_GB2312" w:cs="Times New Roman"/>
                <w:b/>
                <w:bCs/>
                <w:color w:val="000000"/>
                <w:highlight w:val="none"/>
              </w:rPr>
              <w:t>&gt;</w:t>
            </w:r>
            <w:r>
              <w:rPr>
                <w:rFonts w:hint="eastAsia" w:ascii="Times New Roman" w:hAnsi="Times New Roman" w:eastAsia="仿宋_GB2312" w:cs="仿宋_GB2312"/>
                <w:b/>
                <w:bCs/>
                <w:color w:val="000000"/>
                <w:highlight w:val="none"/>
              </w:rPr>
              <w:t>办法》第九条</w:t>
            </w:r>
            <w:r>
              <w:rPr>
                <w:rFonts w:ascii="Times New Roman" w:hAnsi="Times New Roman" w:eastAsia="仿宋_GB2312" w:cs="Times New Roman"/>
                <w:b/>
                <w:bCs/>
                <w:color w:val="000000"/>
                <w:highlight w:val="none"/>
              </w:rPr>
              <w:t xml:space="preserve"> </w:t>
            </w:r>
            <w:r>
              <w:rPr>
                <w:rFonts w:hint="eastAsia" w:ascii="Times New Roman" w:hAnsi="Times New Roman" w:eastAsia="仿宋_GB2312" w:cs="仿宋_GB2312"/>
                <w:color w:val="000000"/>
                <w:highlight w:val="none"/>
              </w:rPr>
              <w:t>固体废物处置设施、场所和排放指标必须符合国家有关规定。对处置设施、场所应当严格管理并定期维护，不得造成污染。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处罚依据</w:t>
            </w:r>
          </w:p>
        </w:tc>
        <w:tc>
          <w:tcPr>
            <w:tcW w:w="7796" w:type="dxa"/>
            <w:gridSpan w:val="2"/>
            <w:vAlign w:val="center"/>
          </w:tcPr>
          <w:p>
            <w:pPr>
              <w:spacing w:line="360" w:lineRule="atLeast"/>
              <w:ind w:firstLine="480"/>
              <w:rPr>
                <w:rFonts w:ascii="Times New Roman" w:hAnsi="Times New Roman" w:eastAsia="仿宋_GB2312" w:cs="Times New Roman"/>
                <w:color w:val="000000"/>
                <w:highlight w:val="none"/>
              </w:rPr>
            </w:pPr>
            <w:r>
              <w:rPr>
                <w:rFonts w:hint="eastAsia" w:ascii="Times New Roman" w:hAnsi="Times New Roman" w:eastAsia="仿宋_GB2312" w:cs="仿宋_GB2312"/>
                <w:b/>
                <w:bCs/>
                <w:color w:val="000000"/>
                <w:highlight w:val="none"/>
              </w:rPr>
              <w:t>《山东省实施</w:t>
            </w:r>
            <w:r>
              <w:rPr>
                <w:rFonts w:ascii="Times New Roman" w:hAnsi="Times New Roman" w:eastAsia="仿宋_GB2312" w:cs="Times New Roman"/>
                <w:b/>
                <w:bCs/>
                <w:color w:val="000000"/>
                <w:highlight w:val="none"/>
              </w:rPr>
              <w:t>&lt;</w:t>
            </w:r>
            <w:r>
              <w:rPr>
                <w:rFonts w:hint="eastAsia" w:ascii="Times New Roman" w:hAnsi="Times New Roman" w:eastAsia="仿宋_GB2312" w:cs="仿宋_GB2312"/>
                <w:b/>
                <w:bCs/>
                <w:color w:val="000000"/>
                <w:highlight w:val="none"/>
              </w:rPr>
              <w:t>中华人民共和国固体废物污染环境防治法</w:t>
            </w:r>
            <w:r>
              <w:rPr>
                <w:rFonts w:ascii="Times New Roman" w:hAnsi="Times New Roman" w:eastAsia="仿宋_GB2312" w:cs="Times New Roman"/>
                <w:b/>
                <w:bCs/>
                <w:color w:val="000000"/>
                <w:highlight w:val="none"/>
              </w:rPr>
              <w:t>&gt;</w:t>
            </w:r>
            <w:r>
              <w:rPr>
                <w:rFonts w:hint="eastAsia" w:ascii="Times New Roman" w:hAnsi="Times New Roman" w:eastAsia="仿宋_GB2312" w:cs="仿宋_GB2312"/>
                <w:b/>
                <w:bCs/>
                <w:color w:val="000000"/>
                <w:highlight w:val="none"/>
              </w:rPr>
              <w:t>办法》第三十一条</w:t>
            </w:r>
            <w:r>
              <w:rPr>
                <w:rFonts w:ascii="Times New Roman" w:hAnsi="Times New Roman" w:eastAsia="仿宋_GB2312" w:cs="Times New Roman"/>
                <w:b/>
                <w:bCs/>
                <w:color w:val="000000"/>
                <w:highlight w:val="none"/>
              </w:rPr>
              <w:t xml:space="preserve"> </w:t>
            </w:r>
            <w:r>
              <w:rPr>
                <w:rFonts w:hint="eastAsia" w:ascii="Times New Roman" w:hAnsi="Times New Roman" w:eastAsia="仿宋_GB2312" w:cs="仿宋_GB2312"/>
                <w:color w:val="000000"/>
                <w:highlight w:val="none"/>
              </w:rPr>
              <w:t>违反本办法规定，有下列行为之一的，由县级以上人民政府环境保护行政主管部门责令限期改正，并可处五万元以下的罚款：</w:t>
            </w:r>
          </w:p>
          <w:p>
            <w:pPr>
              <w:spacing w:line="360" w:lineRule="atLeast"/>
              <w:ind w:firstLine="480"/>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（二）固体废物污染环境防治设施不正常运行或者排放指标不符合国家规定的；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10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9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违法事实★</w:t>
            </w:r>
          </w:p>
        </w:tc>
        <w:tc>
          <w:tcPr>
            <w:tcW w:w="5103" w:type="dxa"/>
            <w:vAlign w:val="center"/>
          </w:tcPr>
          <w:p>
            <w:pPr>
              <w:pStyle w:val="11"/>
              <w:snapToGrid w:val="0"/>
              <w:jc w:val="center"/>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部分处理设施不能正常运行或停运</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Merge w:val="continue"/>
            <w:vAlign w:val="center"/>
          </w:tcPr>
          <w:p>
            <w:pPr>
              <w:snapToGrid w:val="0"/>
              <w:jc w:val="center"/>
              <w:rPr>
                <w:rFonts w:ascii="Times New Roman" w:hAnsi="Times New Roman" w:cs="Times New Roman"/>
                <w:b/>
                <w:bCs/>
                <w:highlight w:val="none"/>
              </w:rPr>
            </w:pP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kern w:val="2"/>
                <w:sz w:val="21"/>
                <w:szCs w:val="21"/>
                <w:highlight w:val="none"/>
              </w:rPr>
              <w:t>整体或关键处理设施不能正常运行</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Merge w:val="continue"/>
            <w:vAlign w:val="center"/>
          </w:tcPr>
          <w:p>
            <w:pPr>
              <w:snapToGrid w:val="0"/>
              <w:jc w:val="center"/>
              <w:rPr>
                <w:rFonts w:ascii="Times New Roman" w:hAnsi="Times New Roman" w:cs="Times New Roman"/>
                <w:b/>
                <w:bCs/>
                <w:highlight w:val="none"/>
              </w:rPr>
            </w:pP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kern w:val="2"/>
                <w:sz w:val="21"/>
                <w:szCs w:val="21"/>
                <w:highlight w:val="none"/>
              </w:rPr>
              <w:t>整体或关键处理设施停运</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Merge w:val="continue"/>
            <w:vAlign w:val="center"/>
          </w:tcPr>
          <w:p>
            <w:pPr>
              <w:snapToGrid w:val="0"/>
              <w:jc w:val="center"/>
              <w:rPr>
                <w:rFonts w:ascii="Times New Roman" w:hAnsi="Times New Roman" w:cs="Times New Roman"/>
                <w:b/>
                <w:bCs/>
                <w:highlight w:val="none"/>
              </w:rPr>
            </w:pP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kern w:val="2"/>
                <w:sz w:val="21"/>
                <w:szCs w:val="21"/>
                <w:highlight w:val="none"/>
              </w:rPr>
              <w:t>正常生产时不通过处理设施利用其他方式直接排放</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固体废物</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排放量</w:t>
            </w: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处置数量不足</w:t>
            </w: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吨</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Merge w:val="continue"/>
            <w:vAlign w:val="center"/>
          </w:tcPr>
          <w:p>
            <w:pPr>
              <w:snapToGrid w:val="0"/>
              <w:jc w:val="center"/>
              <w:rPr>
                <w:rFonts w:ascii="Times New Roman" w:hAnsi="Times New Roman" w:cs="Times New Roman"/>
                <w:b/>
                <w:bCs/>
                <w:color w:val="000000"/>
                <w:highlight w:val="none"/>
              </w:rPr>
            </w:pP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处置数量</w:t>
            </w: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吨以上不足</w:t>
            </w:r>
            <w:r>
              <w:rPr>
                <w:rFonts w:ascii="Times New Roman" w:hAnsi="Times New Roman" w:eastAsia="仿宋_GB2312" w:cs="Times New Roman"/>
                <w:color w:val="000000"/>
                <w:sz w:val="21"/>
                <w:szCs w:val="21"/>
                <w:highlight w:val="none"/>
              </w:rPr>
              <w:t>5</w:t>
            </w:r>
            <w:r>
              <w:rPr>
                <w:rFonts w:hint="eastAsia" w:ascii="Times New Roman" w:hAnsi="Times New Roman" w:eastAsia="仿宋_GB2312" w:cs="仿宋_GB2312"/>
                <w:color w:val="000000"/>
                <w:sz w:val="21"/>
                <w:szCs w:val="21"/>
                <w:highlight w:val="none"/>
              </w:rPr>
              <w:t>吨</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Merge w:val="continue"/>
            <w:vAlign w:val="center"/>
          </w:tcPr>
          <w:p>
            <w:pPr>
              <w:snapToGrid w:val="0"/>
              <w:jc w:val="center"/>
              <w:rPr>
                <w:rFonts w:ascii="Times New Roman" w:hAnsi="Times New Roman" w:cs="Times New Roman"/>
                <w:b/>
                <w:bCs/>
                <w:color w:val="000000"/>
                <w:highlight w:val="none"/>
              </w:rPr>
            </w:pP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处置数量</w:t>
            </w:r>
            <w:r>
              <w:rPr>
                <w:rFonts w:ascii="Times New Roman" w:hAnsi="Times New Roman" w:eastAsia="仿宋_GB2312" w:cs="Times New Roman"/>
                <w:color w:val="000000"/>
                <w:sz w:val="21"/>
                <w:szCs w:val="21"/>
                <w:highlight w:val="none"/>
              </w:rPr>
              <w:t>5</w:t>
            </w:r>
            <w:r>
              <w:rPr>
                <w:rFonts w:hint="eastAsia" w:ascii="Times New Roman" w:hAnsi="Times New Roman" w:eastAsia="仿宋_GB2312" w:cs="仿宋_GB2312"/>
                <w:color w:val="000000"/>
                <w:sz w:val="21"/>
                <w:szCs w:val="21"/>
                <w:highlight w:val="none"/>
              </w:rPr>
              <w:t>吨以上不足</w:t>
            </w: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吨</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Merge w:val="continue"/>
            <w:vAlign w:val="center"/>
          </w:tcPr>
          <w:p>
            <w:pPr>
              <w:snapToGrid w:val="0"/>
              <w:jc w:val="center"/>
              <w:rPr>
                <w:rFonts w:ascii="Times New Roman" w:hAnsi="Times New Roman" w:cs="Times New Roman"/>
                <w:b/>
                <w:bCs/>
                <w:color w:val="000000"/>
                <w:highlight w:val="none"/>
              </w:rPr>
            </w:pP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处置数量</w:t>
            </w: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吨以上</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固体废物</w:t>
            </w:r>
          </w:p>
          <w:p>
            <w:pPr>
              <w:snapToGrid w:val="0"/>
              <w:jc w:val="center"/>
              <w:rPr>
                <w:rFonts w:ascii="Times New Roman" w:hAnsi="Times New Roman" w:cs="宋体"/>
                <w:b/>
                <w:bCs/>
                <w:color w:val="000000"/>
                <w:highlight w:val="none"/>
              </w:rPr>
            </w:pPr>
            <w:r>
              <w:rPr>
                <w:rFonts w:hint="eastAsia" w:ascii="Times New Roman" w:hAnsi="Times New Roman" w:cs="宋体"/>
                <w:b/>
                <w:bCs/>
                <w:color w:val="000000"/>
                <w:highlight w:val="none"/>
              </w:rPr>
              <w:t>类型</w:t>
            </w:r>
          </w:p>
        </w:tc>
        <w:tc>
          <w:tcPr>
            <w:tcW w:w="5103" w:type="dxa"/>
            <w:vAlign w:val="center"/>
          </w:tcPr>
          <w:p>
            <w:pPr>
              <w:pStyle w:val="11"/>
              <w:snapToGrid w:val="0"/>
              <w:jc w:val="center"/>
              <w:rPr>
                <w:rFonts w:ascii="仿宋_GB2312" w:eastAsia="仿宋_GB2312"/>
                <w:color w:val="000000"/>
                <w:sz w:val="21"/>
                <w:szCs w:val="21"/>
                <w:highlight w:val="none"/>
              </w:rPr>
            </w:pPr>
            <w:r>
              <w:rPr>
                <w:rFonts w:hint="eastAsia" w:ascii="仿宋_GB2312" w:eastAsia="仿宋_GB2312"/>
                <w:color w:val="000000"/>
                <w:sz w:val="21"/>
                <w:szCs w:val="21"/>
                <w:highlight w:val="none"/>
              </w:rPr>
              <w:t>非工业固体废物</w:t>
            </w:r>
          </w:p>
        </w:tc>
        <w:tc>
          <w:tcPr>
            <w:tcW w:w="2693" w:type="dxa"/>
            <w:vAlign w:val="center"/>
          </w:tcPr>
          <w:p>
            <w:pPr>
              <w:pStyle w:val="11"/>
              <w:snapToGrid w:val="0"/>
              <w:jc w:val="center"/>
              <w:rPr>
                <w:rFonts w:ascii="Times New Roman" w:hAnsi="Times New Roman" w:cs="Times New Roman"/>
                <w:color w:val="000000"/>
                <w:sz w:val="21"/>
                <w:szCs w:val="21"/>
                <w:highlight w:val="none"/>
              </w:rPr>
            </w:pPr>
            <w:r>
              <w:rPr>
                <w:rFonts w:hint="eastAsia" w:ascii="Times New Roman" w:hAnsi="Times New Roman" w:cs="Times New Roman"/>
                <w:color w:val="000000"/>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Merge w:val="continue"/>
            <w:vAlign w:val="center"/>
          </w:tcPr>
          <w:p>
            <w:pPr>
              <w:snapToGrid w:val="0"/>
              <w:jc w:val="center"/>
              <w:rPr>
                <w:rFonts w:ascii="Times New Roman" w:hAnsi="Times New Roman" w:cs="Times New Roman"/>
                <w:b/>
                <w:bCs/>
                <w:color w:val="000000"/>
                <w:highlight w:val="none"/>
              </w:rPr>
            </w:pP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color w:val="000000"/>
                <w:sz w:val="21"/>
                <w:szCs w:val="21"/>
                <w:highlight w:val="none"/>
              </w:rPr>
              <w:t>Ⅰ</w:t>
            </w:r>
            <w:r>
              <w:rPr>
                <w:rFonts w:hint="eastAsia" w:ascii="Times New Roman" w:hAnsi="Times New Roman" w:eastAsia="仿宋_GB2312" w:cs="仿宋_GB2312"/>
                <w:color w:val="000000"/>
                <w:sz w:val="21"/>
                <w:szCs w:val="21"/>
                <w:highlight w:val="none"/>
              </w:rPr>
              <w:t>类一般工业固体废物</w:t>
            </w:r>
          </w:p>
        </w:tc>
        <w:tc>
          <w:tcPr>
            <w:tcW w:w="2693" w:type="dxa"/>
            <w:vAlign w:val="center"/>
          </w:tcPr>
          <w:p>
            <w:pPr>
              <w:pStyle w:val="11"/>
              <w:snapToGrid w:val="0"/>
              <w:jc w:val="center"/>
              <w:rPr>
                <w:rFonts w:ascii="Times New Roman" w:hAnsi="Times New Roman" w:cs="Times New Roman"/>
                <w:color w:val="000000"/>
                <w:sz w:val="21"/>
                <w:szCs w:val="21"/>
                <w:highlight w:val="none"/>
              </w:rPr>
            </w:pPr>
            <w:r>
              <w:rPr>
                <w:rFonts w:ascii="Times New Roman" w:hAnsi="Times New Roman" w:cs="Times New Roman"/>
                <w:color w:val="000000"/>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jc w:val="center"/>
              <w:rPr>
                <w:rFonts w:ascii="Times New Roman" w:hAnsi="Times New Roman" w:eastAsia="仿宋_GB2312" w:cs="Times New Roman"/>
                <w:highlight w:val="none"/>
              </w:rPr>
            </w:pPr>
            <w:r>
              <w:rPr>
                <w:rFonts w:hint="eastAsia"/>
                <w:color w:val="000000"/>
                <w:sz w:val="21"/>
                <w:szCs w:val="21"/>
                <w:highlight w:val="none"/>
              </w:rPr>
              <w:t>Ⅱ</w:t>
            </w:r>
            <w:r>
              <w:rPr>
                <w:rFonts w:hint="eastAsia" w:ascii="Times New Roman" w:hAnsi="Times New Roman" w:eastAsia="仿宋_GB2312" w:cs="仿宋_GB2312"/>
                <w:color w:val="000000"/>
                <w:sz w:val="21"/>
                <w:szCs w:val="21"/>
                <w:highlight w:val="none"/>
              </w:rPr>
              <w:t>类一般工业固体废物</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建设地点</w:t>
            </w:r>
          </w:p>
        </w:tc>
        <w:tc>
          <w:tcPr>
            <w:tcW w:w="510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城镇居民区、文化教育科学研究区等人口集中区域</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sz w:val="21"/>
                <w:szCs w:val="21"/>
                <w:highlight w:val="none"/>
              </w:rPr>
              <w:t>自然保护区的核心区和缓冲区</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sz w:val="21"/>
                <w:szCs w:val="21"/>
                <w:highlight w:val="none"/>
              </w:rPr>
              <w:t>饮用水水源保护区，风景名胜区</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796" w:type="dxa"/>
            <w:gridSpan w:val="2"/>
            <w:vAlign w:val="center"/>
          </w:tcPr>
          <w:p>
            <w:pPr>
              <w:snapToGrid w:val="0"/>
              <w:ind w:firstLine="420"/>
              <w:jc w:val="center"/>
              <w:rPr>
                <w:rFonts w:ascii="Times New Roman" w:hAnsi="Times New Roman" w:cs="Times New Roman"/>
                <w:color w:val="000000"/>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5103"/>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209" w:type="dxa"/>
            <w:gridSpan w:val="3"/>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仿宋_GB2312"/>
                <w:b/>
                <w:bCs/>
                <w:sz w:val="32"/>
                <w:szCs w:val="32"/>
                <w:highlight w:val="none"/>
              </w:rPr>
              <w:t>（四）固体废物污染防治类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796" w:type="dxa"/>
            <w:gridSpan w:val="2"/>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413"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796" w:type="dxa"/>
            <w:gridSpan w:val="2"/>
            <w:vAlign w:val="center"/>
          </w:tcPr>
          <w:p>
            <w:pPr>
              <w:ind w:firstLine="420" w:firstLineChars="200"/>
              <w:jc w:val="left"/>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开发利用业已停止使用、关闭的固体废物贮存、处置场所未进行环境影响评价或者环境影响评价未经批准而擅自开发利用的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违反条款</w:t>
            </w:r>
          </w:p>
        </w:tc>
        <w:tc>
          <w:tcPr>
            <w:tcW w:w="7796" w:type="dxa"/>
            <w:gridSpan w:val="2"/>
            <w:vAlign w:val="center"/>
          </w:tcPr>
          <w:p>
            <w:pPr>
              <w:ind w:firstLine="420"/>
              <w:rPr>
                <w:rFonts w:ascii="Times New Roman" w:hAnsi="Times New Roman" w:eastAsia="仿宋_GB2312" w:cs="Times New Roman"/>
                <w:color w:val="000000"/>
                <w:highlight w:val="none"/>
              </w:rPr>
            </w:pPr>
            <w:r>
              <w:rPr>
                <w:rFonts w:hint="eastAsia" w:ascii="Times New Roman" w:hAnsi="Times New Roman" w:eastAsia="仿宋_GB2312" w:cs="仿宋_GB2312"/>
                <w:b/>
                <w:bCs/>
                <w:color w:val="000000"/>
                <w:highlight w:val="none"/>
              </w:rPr>
              <w:t>《山东省实施</w:t>
            </w:r>
            <w:r>
              <w:rPr>
                <w:rFonts w:ascii="Times New Roman" w:hAnsi="Times New Roman" w:eastAsia="仿宋_GB2312" w:cs="Times New Roman"/>
                <w:b/>
                <w:bCs/>
                <w:color w:val="000000"/>
                <w:highlight w:val="none"/>
              </w:rPr>
              <w:t>&lt;</w:t>
            </w:r>
            <w:r>
              <w:rPr>
                <w:rFonts w:hint="eastAsia" w:ascii="Times New Roman" w:hAnsi="Times New Roman" w:eastAsia="仿宋_GB2312" w:cs="仿宋_GB2312"/>
                <w:b/>
                <w:bCs/>
                <w:color w:val="000000"/>
                <w:highlight w:val="none"/>
              </w:rPr>
              <w:t>中华人民共和国固体废物污染环境防治法</w:t>
            </w:r>
            <w:r>
              <w:rPr>
                <w:rFonts w:ascii="Times New Roman" w:hAnsi="Times New Roman" w:eastAsia="仿宋_GB2312" w:cs="Times New Roman"/>
                <w:b/>
                <w:bCs/>
                <w:color w:val="000000"/>
                <w:highlight w:val="none"/>
              </w:rPr>
              <w:t>&gt;</w:t>
            </w:r>
            <w:r>
              <w:rPr>
                <w:rFonts w:hint="eastAsia" w:ascii="Times New Roman" w:hAnsi="Times New Roman" w:eastAsia="仿宋_GB2312" w:cs="仿宋_GB2312"/>
                <w:b/>
                <w:bCs/>
                <w:color w:val="000000"/>
                <w:highlight w:val="none"/>
              </w:rPr>
              <w:t>办法》第十一条</w:t>
            </w:r>
            <w:r>
              <w:rPr>
                <w:rFonts w:ascii="Times New Roman" w:hAnsi="Times New Roman" w:eastAsia="仿宋_GB2312" w:cs="Times New Roman"/>
                <w:b/>
                <w:bCs/>
                <w:color w:val="000000"/>
                <w:highlight w:val="none"/>
              </w:rPr>
              <w:t xml:space="preserve"> </w:t>
            </w:r>
            <w:r>
              <w:rPr>
                <w:rFonts w:hint="eastAsia" w:ascii="Times New Roman" w:hAnsi="Times New Roman" w:eastAsia="仿宋_GB2312" w:cs="仿宋_GB2312"/>
                <w:color w:val="000000"/>
                <w:highlight w:val="none"/>
              </w:rPr>
              <w:t>固体废物贮存、处置设施和场所停止使用或者关闭的，必须对有关设备、残留废物和其他有毒有害物质进行妥善处理，消除污染。</w:t>
            </w:r>
            <w:r>
              <w:rPr>
                <w:rFonts w:ascii="Times New Roman" w:hAnsi="Times New Roman" w:eastAsia="仿宋_GB2312" w:cs="Times New Roman"/>
                <w:color w:val="000000"/>
                <w:highlight w:val="none"/>
              </w:rPr>
              <w:t xml:space="preserve"> </w:t>
            </w:r>
            <w:r>
              <w:rPr>
                <w:rFonts w:hint="eastAsia" w:ascii="Times New Roman" w:hAnsi="Times New Roman" w:eastAsia="仿宋_GB2312" w:cs="仿宋_GB2312"/>
                <w:color w:val="000000"/>
                <w:highlight w:val="none"/>
              </w:rPr>
              <w:t>开发利用已停止使用或者关闭的固体废物贮存、处置场所的，应当事先进行环境影响评价，并报原审批的环境保护行政主管部门审核同意。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处罚依据</w:t>
            </w:r>
          </w:p>
        </w:tc>
        <w:tc>
          <w:tcPr>
            <w:tcW w:w="7796" w:type="dxa"/>
            <w:gridSpan w:val="2"/>
            <w:vAlign w:val="center"/>
          </w:tcPr>
          <w:p>
            <w:pPr>
              <w:ind w:firstLine="480"/>
              <w:rPr>
                <w:rFonts w:ascii="Times New Roman" w:hAnsi="Times New Roman" w:eastAsia="仿宋_GB2312" w:cs="Times New Roman"/>
                <w:color w:val="000000"/>
                <w:highlight w:val="none"/>
              </w:rPr>
            </w:pPr>
            <w:r>
              <w:rPr>
                <w:rFonts w:hint="eastAsia" w:ascii="Times New Roman" w:hAnsi="Times New Roman" w:eastAsia="仿宋_GB2312" w:cs="仿宋_GB2312"/>
                <w:b/>
                <w:bCs/>
                <w:color w:val="000000"/>
                <w:highlight w:val="none"/>
              </w:rPr>
              <w:t>《山东省实施</w:t>
            </w:r>
            <w:r>
              <w:rPr>
                <w:rFonts w:ascii="Times New Roman" w:hAnsi="Times New Roman" w:eastAsia="仿宋_GB2312" w:cs="Times New Roman"/>
                <w:b/>
                <w:bCs/>
                <w:color w:val="000000"/>
                <w:highlight w:val="none"/>
              </w:rPr>
              <w:t>&lt;</w:t>
            </w:r>
            <w:r>
              <w:rPr>
                <w:rFonts w:hint="eastAsia" w:ascii="Times New Roman" w:hAnsi="Times New Roman" w:eastAsia="仿宋_GB2312" w:cs="仿宋_GB2312"/>
                <w:b/>
                <w:bCs/>
                <w:color w:val="000000"/>
                <w:highlight w:val="none"/>
              </w:rPr>
              <w:t>中华人民共和国固体废物污染环境防治法</w:t>
            </w:r>
            <w:r>
              <w:rPr>
                <w:rFonts w:ascii="Times New Roman" w:hAnsi="Times New Roman" w:eastAsia="仿宋_GB2312" w:cs="Times New Roman"/>
                <w:b/>
                <w:bCs/>
                <w:color w:val="000000"/>
                <w:highlight w:val="none"/>
              </w:rPr>
              <w:t>&gt;</w:t>
            </w:r>
            <w:r>
              <w:rPr>
                <w:rFonts w:hint="eastAsia" w:ascii="Times New Roman" w:hAnsi="Times New Roman" w:eastAsia="仿宋_GB2312" w:cs="仿宋_GB2312"/>
                <w:b/>
                <w:bCs/>
                <w:color w:val="000000"/>
                <w:highlight w:val="none"/>
              </w:rPr>
              <w:t>办法》第三十一条</w:t>
            </w:r>
            <w:r>
              <w:rPr>
                <w:rFonts w:ascii="Times New Roman" w:hAnsi="Times New Roman" w:eastAsia="仿宋_GB2312" w:cs="Times New Roman"/>
                <w:b/>
                <w:bCs/>
                <w:color w:val="000000"/>
                <w:highlight w:val="none"/>
              </w:rPr>
              <w:t xml:space="preserve"> </w:t>
            </w:r>
            <w:r>
              <w:rPr>
                <w:rFonts w:hint="eastAsia" w:ascii="Times New Roman" w:hAnsi="Times New Roman" w:eastAsia="仿宋_GB2312" w:cs="仿宋_GB2312"/>
                <w:color w:val="000000"/>
                <w:highlight w:val="none"/>
              </w:rPr>
              <w:t>违反本办法规定，有下列行为之一的，由县级以上人民政府环境保护行政主管部门责令限期改正，并可处五万元以下的罚款：</w:t>
            </w:r>
          </w:p>
          <w:p>
            <w:pPr>
              <w:ind w:firstLine="480"/>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（三）开发利用业已停止使用、关闭的固体废物贮存、处置场所未进行环境影响评价或者环境影响评价未经批准而擅自开发利用的；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10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9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3"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建设情况</w:t>
            </w:r>
            <w:r>
              <w:rPr>
                <w:rFonts w:hint="eastAsia" w:ascii="Times New Roman" w:hAnsi="Times New Roman" w:cs="宋体"/>
                <w:b/>
                <w:bCs/>
                <w:highlight w:val="none"/>
              </w:rPr>
              <w:t>★</w:t>
            </w: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处于基础建设阶段，但主体工程尚未开工</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建设项目主体工程已开工但未投入生产</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建设项目主体工程已投入生产的</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建设单位已投入生产，并排放污染物的</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413" w:type="dxa"/>
            <w:vMerge w:val="restart"/>
            <w:vAlign w:val="center"/>
          </w:tcPr>
          <w:p>
            <w:pPr>
              <w:snapToGrid w:val="0"/>
              <w:jc w:val="center"/>
              <w:rPr>
                <w:rFonts w:ascii="Times New Roman" w:hAnsi="Times New Roman" w:cs="Times New Roman"/>
                <w:color w:val="000000"/>
                <w:highlight w:val="none"/>
              </w:rPr>
            </w:pPr>
            <w:r>
              <w:rPr>
                <w:rFonts w:hint="eastAsia" w:ascii="Times New Roman" w:hAnsi="Times New Roman" w:cs="宋体"/>
                <w:b/>
                <w:bCs/>
                <w:color w:val="000000"/>
                <w:highlight w:val="none"/>
              </w:rPr>
              <w:t>项目应报批的环评文件类别</w:t>
            </w: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报告表</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报告书</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报告书（化工、电镀、皮革、造纸、制浆、冶炼、放射性、印染、染料、炼焦、炼油项目）</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3"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项目建设</w:t>
            </w:r>
          </w:p>
          <w:p>
            <w:pPr>
              <w:snapToGrid w:val="0"/>
              <w:jc w:val="center"/>
              <w:rPr>
                <w:rFonts w:ascii="Times New Roman" w:hAnsi="Times New Roman" w:cs="Times New Roman"/>
                <w:b/>
                <w:bCs/>
                <w:highlight w:val="none"/>
              </w:rPr>
            </w:pPr>
            <w:r>
              <w:rPr>
                <w:rFonts w:hint="eastAsia" w:ascii="Times New Roman" w:hAnsi="Times New Roman" w:cs="宋体"/>
                <w:b/>
                <w:bCs/>
                <w:color w:val="000000"/>
                <w:highlight w:val="none"/>
              </w:rPr>
              <w:t>地点</w:t>
            </w: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符合环境功能规划（或无环境功能规划）</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不符合环境功能规划，但不在保护区内</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位于自然保护区实验区</w:t>
            </w:r>
            <w:r>
              <w:rPr>
                <w:rFonts w:ascii="Times New Roman" w:hAnsi="Times New Roman" w:eastAsia="仿宋_GB2312" w:cs="Times New Roman"/>
                <w:color w:val="000000"/>
                <w:sz w:val="21"/>
                <w:szCs w:val="21"/>
                <w:highlight w:val="none"/>
              </w:rPr>
              <w:t>/</w:t>
            </w:r>
            <w:r>
              <w:rPr>
                <w:rFonts w:hint="eastAsia" w:ascii="Times New Roman" w:hAnsi="Times New Roman" w:eastAsia="仿宋_GB2312" w:cs="仿宋_GB2312"/>
                <w:color w:val="000000"/>
                <w:sz w:val="21"/>
                <w:szCs w:val="21"/>
                <w:highlight w:val="none"/>
              </w:rPr>
              <w:t>饮用水水源准保护区</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位于自然保护区缓冲区</w:t>
            </w:r>
            <w:r>
              <w:rPr>
                <w:rFonts w:ascii="Times New Roman" w:hAnsi="Times New Roman" w:eastAsia="仿宋_GB2312" w:cs="Times New Roman"/>
                <w:color w:val="000000"/>
                <w:sz w:val="21"/>
                <w:szCs w:val="21"/>
                <w:highlight w:val="none"/>
              </w:rPr>
              <w:t>/</w:t>
            </w:r>
            <w:r>
              <w:rPr>
                <w:rFonts w:hint="eastAsia" w:ascii="Times New Roman" w:hAnsi="Times New Roman" w:eastAsia="仿宋_GB2312" w:cs="仿宋_GB2312"/>
                <w:color w:val="000000"/>
                <w:sz w:val="21"/>
                <w:szCs w:val="21"/>
                <w:highlight w:val="none"/>
              </w:rPr>
              <w:t>饮用水水源二级保护区</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位于自然保护区核心区</w:t>
            </w:r>
            <w:r>
              <w:rPr>
                <w:rFonts w:ascii="Times New Roman" w:hAnsi="Times New Roman" w:eastAsia="仿宋_GB2312" w:cs="Times New Roman"/>
                <w:color w:val="000000"/>
                <w:sz w:val="21"/>
                <w:szCs w:val="21"/>
                <w:highlight w:val="none"/>
              </w:rPr>
              <w:t>/</w:t>
            </w:r>
            <w:r>
              <w:rPr>
                <w:rFonts w:hint="eastAsia" w:ascii="Times New Roman" w:hAnsi="Times New Roman" w:eastAsia="仿宋_GB2312" w:cs="仿宋_GB2312"/>
                <w:color w:val="000000"/>
                <w:sz w:val="21"/>
                <w:szCs w:val="21"/>
                <w:highlight w:val="none"/>
              </w:rPr>
              <w:t>饮用水水源一级保护区</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3"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违法持续</w:t>
            </w:r>
          </w:p>
          <w:p>
            <w:pPr>
              <w:snapToGrid w:val="0"/>
              <w:jc w:val="center"/>
              <w:rPr>
                <w:rFonts w:ascii="Times New Roman" w:hAnsi="Times New Roman" w:cs="Times New Roman"/>
                <w:b/>
                <w:bCs/>
                <w:highlight w:val="none"/>
              </w:rPr>
            </w:pPr>
            <w:r>
              <w:rPr>
                <w:rFonts w:hint="eastAsia" w:ascii="Times New Roman" w:hAnsi="Times New Roman" w:cs="宋体"/>
                <w:b/>
                <w:bCs/>
                <w:color w:val="000000"/>
                <w:highlight w:val="none"/>
              </w:rPr>
              <w:t>时间</w:t>
            </w: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3</w:t>
            </w:r>
            <w:r>
              <w:rPr>
                <w:rFonts w:hint="eastAsia" w:ascii="Times New Roman" w:hAnsi="Times New Roman" w:eastAsia="仿宋_GB2312" w:cs="仿宋_GB2312"/>
                <w:color w:val="000000"/>
                <w:sz w:val="21"/>
                <w:szCs w:val="21"/>
                <w:highlight w:val="none"/>
              </w:rPr>
              <w:t>个月以内的</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超过</w:t>
            </w:r>
            <w:r>
              <w:rPr>
                <w:rFonts w:ascii="Times New Roman" w:hAnsi="Times New Roman" w:eastAsia="仿宋_GB2312" w:cs="Times New Roman"/>
                <w:color w:val="000000"/>
                <w:sz w:val="21"/>
                <w:szCs w:val="21"/>
                <w:highlight w:val="none"/>
              </w:rPr>
              <w:t>3</w:t>
            </w:r>
            <w:r>
              <w:rPr>
                <w:rFonts w:hint="eastAsia" w:ascii="Times New Roman" w:hAnsi="Times New Roman" w:eastAsia="仿宋_GB2312" w:cs="仿宋_GB2312"/>
                <w:color w:val="000000"/>
                <w:sz w:val="21"/>
                <w:szCs w:val="21"/>
                <w:highlight w:val="none"/>
              </w:rPr>
              <w:t>个月并且在</w:t>
            </w:r>
            <w:r>
              <w:rPr>
                <w:rFonts w:ascii="Times New Roman" w:hAnsi="Times New Roman" w:eastAsia="仿宋_GB2312" w:cs="Times New Roman"/>
                <w:color w:val="000000"/>
                <w:sz w:val="21"/>
                <w:szCs w:val="21"/>
                <w:highlight w:val="none"/>
              </w:rPr>
              <w:t>6</w:t>
            </w:r>
            <w:r>
              <w:rPr>
                <w:rFonts w:hint="eastAsia" w:ascii="Times New Roman" w:hAnsi="Times New Roman" w:eastAsia="仿宋_GB2312" w:cs="仿宋_GB2312"/>
                <w:color w:val="000000"/>
                <w:sz w:val="21"/>
                <w:szCs w:val="21"/>
                <w:highlight w:val="none"/>
              </w:rPr>
              <w:t>个月以内的</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超过</w:t>
            </w:r>
            <w:r>
              <w:rPr>
                <w:rFonts w:ascii="Times New Roman" w:hAnsi="Times New Roman" w:eastAsia="仿宋_GB2312" w:cs="Times New Roman"/>
                <w:color w:val="000000"/>
                <w:sz w:val="21"/>
                <w:szCs w:val="21"/>
                <w:highlight w:val="none"/>
              </w:rPr>
              <w:t>6</w:t>
            </w:r>
            <w:r>
              <w:rPr>
                <w:rFonts w:hint="eastAsia" w:ascii="Times New Roman" w:hAnsi="Times New Roman" w:eastAsia="仿宋_GB2312" w:cs="仿宋_GB2312"/>
                <w:color w:val="000000"/>
                <w:sz w:val="21"/>
                <w:szCs w:val="21"/>
                <w:highlight w:val="none"/>
              </w:rPr>
              <w:t>个月并且在</w:t>
            </w: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年以内的</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超过</w:t>
            </w: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年并且在</w:t>
            </w:r>
            <w:r>
              <w:rPr>
                <w:rFonts w:ascii="Times New Roman" w:hAnsi="Times New Roman" w:eastAsia="仿宋_GB2312" w:cs="Times New Roman"/>
                <w:color w:val="000000"/>
                <w:sz w:val="21"/>
                <w:szCs w:val="21"/>
                <w:highlight w:val="none"/>
              </w:rPr>
              <w:t>2</w:t>
            </w:r>
            <w:r>
              <w:rPr>
                <w:rFonts w:hint="eastAsia" w:ascii="Times New Roman" w:hAnsi="Times New Roman" w:eastAsia="仿宋_GB2312" w:cs="仿宋_GB2312"/>
                <w:color w:val="000000"/>
                <w:sz w:val="21"/>
                <w:szCs w:val="21"/>
                <w:highlight w:val="none"/>
              </w:rPr>
              <w:t>年以内的</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2</w:t>
            </w:r>
            <w:r>
              <w:rPr>
                <w:rFonts w:hint="eastAsia" w:ascii="Times New Roman" w:hAnsi="Times New Roman" w:eastAsia="仿宋_GB2312" w:cs="仿宋_GB2312"/>
                <w:color w:val="000000"/>
                <w:sz w:val="21"/>
                <w:szCs w:val="21"/>
                <w:highlight w:val="none"/>
              </w:rPr>
              <w:t>年以上的</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4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796" w:type="dxa"/>
            <w:gridSpan w:val="2"/>
            <w:vAlign w:val="center"/>
          </w:tcPr>
          <w:p>
            <w:pPr>
              <w:snapToGrid w:val="0"/>
              <w:ind w:firstLine="420"/>
              <w:jc w:val="center"/>
              <w:rPr>
                <w:rFonts w:ascii="Times New Roman" w:hAnsi="Times New Roman" w:cs="Times New Roman"/>
                <w:color w:val="000000"/>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5103"/>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09" w:type="dxa"/>
            <w:gridSpan w:val="3"/>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仿宋_GB2312"/>
                <w:b/>
                <w:bCs/>
                <w:sz w:val="32"/>
                <w:szCs w:val="32"/>
                <w:highlight w:val="none"/>
              </w:rPr>
              <w:t>（四）固体废物污染防治类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4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796" w:type="dxa"/>
            <w:gridSpan w:val="2"/>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796" w:type="dxa"/>
            <w:gridSpan w:val="2"/>
            <w:vAlign w:val="center"/>
          </w:tcPr>
          <w:p>
            <w:pPr>
              <w:spacing w:line="288" w:lineRule="auto"/>
              <w:ind w:firstLine="420" w:firstLineChars="200"/>
              <w:jc w:val="left"/>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未经环境保护行政主管部门批准，转移固体废物或者将固体废物转移给没有处理能力的单位和个人处置的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违反条款</w:t>
            </w:r>
          </w:p>
        </w:tc>
        <w:tc>
          <w:tcPr>
            <w:tcW w:w="7796" w:type="dxa"/>
            <w:gridSpan w:val="2"/>
            <w:vAlign w:val="center"/>
          </w:tcPr>
          <w:p>
            <w:pPr>
              <w:ind w:firstLine="420"/>
              <w:rPr>
                <w:rFonts w:ascii="Times New Roman" w:hAnsi="Times New Roman" w:eastAsia="仿宋_GB2312" w:cs="Times New Roman"/>
                <w:color w:val="000000"/>
                <w:highlight w:val="none"/>
              </w:rPr>
            </w:pPr>
            <w:r>
              <w:rPr>
                <w:rFonts w:hint="eastAsia" w:ascii="Times New Roman" w:hAnsi="Times New Roman" w:eastAsia="仿宋_GB2312" w:cs="仿宋_GB2312"/>
                <w:b/>
                <w:bCs/>
                <w:color w:val="000000"/>
                <w:highlight w:val="none"/>
              </w:rPr>
              <w:t>《山东省实施</w:t>
            </w:r>
            <w:r>
              <w:rPr>
                <w:rFonts w:ascii="Times New Roman" w:hAnsi="Times New Roman" w:eastAsia="仿宋_GB2312" w:cs="Times New Roman"/>
                <w:b/>
                <w:bCs/>
                <w:color w:val="000000"/>
                <w:highlight w:val="none"/>
              </w:rPr>
              <w:t>&lt;</w:t>
            </w:r>
            <w:r>
              <w:rPr>
                <w:rFonts w:hint="eastAsia" w:ascii="Times New Roman" w:hAnsi="Times New Roman" w:eastAsia="仿宋_GB2312" w:cs="仿宋_GB2312"/>
                <w:b/>
                <w:bCs/>
                <w:color w:val="000000"/>
                <w:highlight w:val="none"/>
              </w:rPr>
              <w:t>中华人民共和国固体废物污染环境防治法</w:t>
            </w:r>
            <w:r>
              <w:rPr>
                <w:rFonts w:ascii="Times New Roman" w:hAnsi="Times New Roman" w:eastAsia="仿宋_GB2312" w:cs="Times New Roman"/>
                <w:b/>
                <w:bCs/>
                <w:color w:val="000000"/>
                <w:highlight w:val="none"/>
              </w:rPr>
              <w:t>&gt;</w:t>
            </w:r>
            <w:r>
              <w:rPr>
                <w:rFonts w:hint="eastAsia" w:ascii="Times New Roman" w:hAnsi="Times New Roman" w:eastAsia="仿宋_GB2312" w:cs="仿宋_GB2312"/>
                <w:b/>
                <w:bCs/>
                <w:color w:val="000000"/>
                <w:highlight w:val="none"/>
              </w:rPr>
              <w:t>办法》第二十七条</w:t>
            </w:r>
            <w:r>
              <w:rPr>
                <w:rFonts w:ascii="Times New Roman" w:hAnsi="Times New Roman" w:eastAsia="仿宋_GB2312" w:cs="Times New Roman"/>
                <w:b/>
                <w:bCs/>
                <w:color w:val="000000"/>
                <w:highlight w:val="none"/>
              </w:rPr>
              <w:t xml:space="preserve"> </w:t>
            </w:r>
            <w:r>
              <w:rPr>
                <w:rFonts w:hint="eastAsia" w:ascii="Times New Roman" w:hAnsi="Times New Roman" w:eastAsia="仿宋_GB2312" w:cs="仿宋_GB2312"/>
                <w:color w:val="000000"/>
                <w:highlight w:val="none"/>
              </w:rPr>
              <w:t>转移固体废物出本省行政区域贮存、处置的，应当向省人民政府环境保护行政主管部门提出申请。省人民政府环境保护行政主管部门应当商经接受地的省、自治区、直辖市人民政府环境保护行政主管部门同意后，方可批准转移该固体废物。未经批准的，不得转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3" w:type="dxa"/>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处罚依据</w:t>
            </w:r>
          </w:p>
        </w:tc>
        <w:tc>
          <w:tcPr>
            <w:tcW w:w="7796" w:type="dxa"/>
            <w:gridSpan w:val="2"/>
            <w:vAlign w:val="center"/>
          </w:tcPr>
          <w:p>
            <w:pPr>
              <w:spacing w:line="360" w:lineRule="atLeast"/>
              <w:ind w:firstLine="480"/>
              <w:rPr>
                <w:rFonts w:ascii="Times New Roman" w:hAnsi="Times New Roman" w:eastAsia="仿宋_GB2312" w:cs="Times New Roman"/>
                <w:color w:val="000000"/>
                <w:highlight w:val="none"/>
              </w:rPr>
            </w:pPr>
            <w:r>
              <w:rPr>
                <w:rFonts w:hint="eastAsia" w:ascii="Times New Roman" w:hAnsi="Times New Roman" w:eastAsia="仿宋_GB2312" w:cs="仿宋_GB2312"/>
                <w:b/>
                <w:bCs/>
                <w:color w:val="000000"/>
                <w:highlight w:val="none"/>
              </w:rPr>
              <w:t>《山东省实施</w:t>
            </w:r>
            <w:r>
              <w:rPr>
                <w:rFonts w:ascii="Times New Roman" w:hAnsi="Times New Roman" w:eastAsia="仿宋_GB2312" w:cs="Times New Roman"/>
                <w:b/>
                <w:bCs/>
                <w:color w:val="000000"/>
                <w:highlight w:val="none"/>
              </w:rPr>
              <w:t>&lt;</w:t>
            </w:r>
            <w:r>
              <w:rPr>
                <w:rFonts w:hint="eastAsia" w:ascii="Times New Roman" w:hAnsi="Times New Roman" w:eastAsia="仿宋_GB2312" w:cs="仿宋_GB2312"/>
                <w:b/>
                <w:bCs/>
                <w:color w:val="000000"/>
                <w:highlight w:val="none"/>
              </w:rPr>
              <w:t>中华人民共和国固体废物污染环境防治法</w:t>
            </w:r>
            <w:r>
              <w:rPr>
                <w:rFonts w:ascii="Times New Roman" w:hAnsi="Times New Roman" w:eastAsia="仿宋_GB2312" w:cs="Times New Roman"/>
                <w:b/>
                <w:bCs/>
                <w:color w:val="000000"/>
                <w:highlight w:val="none"/>
              </w:rPr>
              <w:t>&gt;</w:t>
            </w:r>
            <w:r>
              <w:rPr>
                <w:rFonts w:hint="eastAsia" w:ascii="Times New Roman" w:hAnsi="Times New Roman" w:eastAsia="仿宋_GB2312" w:cs="仿宋_GB2312"/>
                <w:b/>
                <w:bCs/>
                <w:color w:val="000000"/>
                <w:highlight w:val="none"/>
              </w:rPr>
              <w:t>办法》第三十一条第（四）项</w:t>
            </w:r>
            <w:r>
              <w:rPr>
                <w:rFonts w:ascii="Times New Roman" w:hAnsi="Times New Roman" w:eastAsia="仿宋_GB2312" w:cs="Times New Roman"/>
                <w:b/>
                <w:bCs/>
                <w:color w:val="000000"/>
                <w:highlight w:val="none"/>
              </w:rPr>
              <w:t xml:space="preserve"> </w:t>
            </w:r>
            <w:r>
              <w:rPr>
                <w:rFonts w:hint="eastAsia" w:ascii="Times New Roman" w:hAnsi="Times New Roman" w:eastAsia="仿宋_GB2312" w:cs="仿宋_GB2312"/>
                <w:color w:val="000000"/>
                <w:highlight w:val="none"/>
              </w:rPr>
              <w:t>违反本办法规定，有下列行为之一的，由县级以上人民政府环境保护行政主管部门责令限期改正，并可处五万元以下的罚款：</w:t>
            </w:r>
          </w:p>
          <w:p>
            <w:pPr>
              <w:spacing w:line="360" w:lineRule="atLeast"/>
              <w:ind w:firstLine="480"/>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（四）未经环境保护行政主管部门批准，转移固体废物或者将固体废物转移给没有处理能力的单位和个人处置的；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10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9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413" w:type="dxa"/>
            <w:vMerge w:val="restart"/>
            <w:vAlign w:val="center"/>
          </w:tcPr>
          <w:p>
            <w:pPr>
              <w:snapToGrid w:val="0"/>
              <w:jc w:val="center"/>
              <w:rPr>
                <w:rFonts w:ascii="Times New Roman" w:hAnsi="Times New Roman" w:cs="宋体"/>
                <w:b/>
                <w:bCs/>
                <w:color w:val="000000"/>
                <w:highlight w:val="none"/>
              </w:rPr>
            </w:pPr>
            <w:r>
              <w:rPr>
                <w:rFonts w:hint="eastAsia" w:ascii="Times New Roman" w:hAnsi="Times New Roman" w:cs="宋体"/>
                <w:b/>
                <w:bCs/>
                <w:color w:val="000000"/>
                <w:highlight w:val="none"/>
              </w:rPr>
              <w:t>转移固体废物量★</w:t>
            </w:r>
          </w:p>
        </w:tc>
        <w:tc>
          <w:tcPr>
            <w:tcW w:w="5103" w:type="dxa"/>
            <w:vAlign w:val="center"/>
          </w:tcPr>
          <w:p>
            <w:pPr>
              <w:pStyle w:val="11"/>
              <w:snapToGrid w:val="0"/>
              <w:jc w:val="center"/>
              <w:rPr>
                <w:rFonts w:ascii="仿宋_GB2312" w:eastAsia="仿宋_GB2312"/>
                <w:color w:val="000000"/>
                <w:sz w:val="21"/>
                <w:szCs w:val="21"/>
                <w:highlight w:val="none"/>
              </w:rPr>
            </w:pPr>
            <w:r>
              <w:rPr>
                <w:rFonts w:hint="eastAsia" w:ascii="Times New Roman" w:hAnsi="Times New Roman" w:eastAsia="仿宋_GB2312" w:cs="仿宋_GB2312"/>
                <w:color w:val="000000"/>
                <w:sz w:val="21"/>
                <w:szCs w:val="21"/>
                <w:highlight w:val="none"/>
              </w:rPr>
              <w:t>不足</w:t>
            </w: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吨</w:t>
            </w:r>
          </w:p>
        </w:tc>
        <w:tc>
          <w:tcPr>
            <w:tcW w:w="2693" w:type="dxa"/>
            <w:vAlign w:val="center"/>
          </w:tcPr>
          <w:p>
            <w:pPr>
              <w:pStyle w:val="11"/>
              <w:snapToGrid w:val="0"/>
              <w:jc w:val="center"/>
              <w:rPr>
                <w:rFonts w:ascii="Times New Roman" w:hAnsi="Times New Roman" w:cs="Times New Roman"/>
                <w:color w:val="000000"/>
                <w:sz w:val="21"/>
                <w:szCs w:val="21"/>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Merge w:val="continue"/>
            <w:vAlign w:val="center"/>
          </w:tcPr>
          <w:p>
            <w:pPr>
              <w:snapToGrid w:val="0"/>
              <w:jc w:val="center"/>
              <w:rPr>
                <w:rFonts w:ascii="Times New Roman" w:hAnsi="Times New Roman" w:cs="宋体"/>
                <w:b/>
                <w:bCs/>
                <w:color w:val="000000"/>
                <w:highlight w:val="none"/>
              </w:rPr>
            </w:pPr>
          </w:p>
        </w:tc>
        <w:tc>
          <w:tcPr>
            <w:tcW w:w="5103" w:type="dxa"/>
            <w:vAlign w:val="center"/>
          </w:tcPr>
          <w:p>
            <w:pPr>
              <w:pStyle w:val="11"/>
              <w:snapToGrid w:val="0"/>
              <w:jc w:val="center"/>
              <w:rPr>
                <w:rFonts w:ascii="仿宋_GB2312" w:eastAsia="仿宋_GB2312"/>
                <w:color w:val="000000"/>
                <w:sz w:val="21"/>
                <w:szCs w:val="21"/>
                <w:highlight w:val="none"/>
              </w:rPr>
            </w:pP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吨以上不足</w:t>
            </w:r>
            <w:r>
              <w:rPr>
                <w:rFonts w:ascii="Times New Roman" w:hAnsi="Times New Roman" w:eastAsia="仿宋_GB2312" w:cs="Times New Roman"/>
                <w:color w:val="000000"/>
                <w:sz w:val="21"/>
                <w:szCs w:val="21"/>
                <w:highlight w:val="none"/>
              </w:rPr>
              <w:t>5</w:t>
            </w:r>
            <w:r>
              <w:rPr>
                <w:rFonts w:hint="eastAsia" w:ascii="Times New Roman" w:hAnsi="Times New Roman" w:eastAsia="仿宋_GB2312" w:cs="仿宋_GB2312"/>
                <w:color w:val="000000"/>
                <w:sz w:val="21"/>
                <w:szCs w:val="21"/>
                <w:highlight w:val="none"/>
              </w:rPr>
              <w:t>吨</w:t>
            </w:r>
          </w:p>
        </w:tc>
        <w:tc>
          <w:tcPr>
            <w:tcW w:w="2693" w:type="dxa"/>
            <w:vAlign w:val="center"/>
          </w:tcPr>
          <w:p>
            <w:pPr>
              <w:pStyle w:val="11"/>
              <w:snapToGrid w:val="0"/>
              <w:jc w:val="center"/>
              <w:rPr>
                <w:rFonts w:ascii="Times New Roman" w:hAnsi="Times New Roman" w:cs="Times New Roman"/>
                <w:color w:val="000000"/>
                <w:sz w:val="21"/>
                <w:szCs w:val="21"/>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Merge w:val="continue"/>
            <w:vAlign w:val="center"/>
          </w:tcPr>
          <w:p>
            <w:pPr>
              <w:snapToGrid w:val="0"/>
              <w:jc w:val="center"/>
              <w:rPr>
                <w:rFonts w:ascii="Times New Roman" w:hAnsi="Times New Roman" w:cs="宋体"/>
                <w:b/>
                <w:bCs/>
                <w:color w:val="000000"/>
                <w:highlight w:val="none"/>
              </w:rPr>
            </w:pPr>
          </w:p>
        </w:tc>
        <w:tc>
          <w:tcPr>
            <w:tcW w:w="5103" w:type="dxa"/>
            <w:vAlign w:val="center"/>
          </w:tcPr>
          <w:p>
            <w:pPr>
              <w:pStyle w:val="11"/>
              <w:snapToGrid w:val="0"/>
              <w:jc w:val="center"/>
              <w:rPr>
                <w:rFonts w:ascii="仿宋_GB2312" w:eastAsia="仿宋_GB2312"/>
                <w:color w:val="000000"/>
                <w:sz w:val="21"/>
                <w:szCs w:val="21"/>
                <w:highlight w:val="none"/>
              </w:rPr>
            </w:pPr>
            <w:r>
              <w:rPr>
                <w:rFonts w:ascii="Times New Roman" w:hAnsi="Times New Roman" w:eastAsia="仿宋_GB2312" w:cs="Times New Roman"/>
                <w:color w:val="000000"/>
                <w:sz w:val="21"/>
                <w:szCs w:val="21"/>
                <w:highlight w:val="none"/>
              </w:rPr>
              <w:t>5</w:t>
            </w:r>
            <w:r>
              <w:rPr>
                <w:rFonts w:hint="eastAsia" w:ascii="Times New Roman" w:hAnsi="Times New Roman" w:eastAsia="仿宋_GB2312" w:cs="仿宋_GB2312"/>
                <w:color w:val="000000"/>
                <w:sz w:val="21"/>
                <w:szCs w:val="21"/>
                <w:highlight w:val="none"/>
              </w:rPr>
              <w:t>吨以上不足</w:t>
            </w: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吨</w:t>
            </w:r>
          </w:p>
        </w:tc>
        <w:tc>
          <w:tcPr>
            <w:tcW w:w="2693" w:type="dxa"/>
            <w:vAlign w:val="center"/>
          </w:tcPr>
          <w:p>
            <w:pPr>
              <w:pStyle w:val="11"/>
              <w:snapToGrid w:val="0"/>
              <w:jc w:val="center"/>
              <w:rPr>
                <w:rFonts w:ascii="Times New Roman" w:hAnsi="Times New Roman" w:cs="Times New Roman"/>
                <w:color w:val="000000"/>
                <w:sz w:val="21"/>
                <w:szCs w:val="21"/>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Merge w:val="continue"/>
            <w:vAlign w:val="center"/>
          </w:tcPr>
          <w:p>
            <w:pPr>
              <w:snapToGrid w:val="0"/>
              <w:jc w:val="center"/>
              <w:rPr>
                <w:rFonts w:ascii="Times New Roman" w:hAnsi="Times New Roman" w:cs="宋体"/>
                <w:b/>
                <w:bCs/>
                <w:color w:val="000000"/>
                <w:highlight w:val="none"/>
              </w:rPr>
            </w:pPr>
          </w:p>
        </w:tc>
        <w:tc>
          <w:tcPr>
            <w:tcW w:w="5103" w:type="dxa"/>
            <w:vAlign w:val="center"/>
          </w:tcPr>
          <w:p>
            <w:pPr>
              <w:pStyle w:val="11"/>
              <w:snapToGrid w:val="0"/>
              <w:jc w:val="center"/>
              <w:rPr>
                <w:rFonts w:ascii="仿宋_GB2312" w:eastAsia="仿宋_GB2312"/>
                <w:color w:val="000000"/>
                <w:sz w:val="21"/>
                <w:szCs w:val="21"/>
                <w:highlight w:val="none"/>
              </w:rPr>
            </w:pP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吨以上</w:t>
            </w:r>
          </w:p>
        </w:tc>
        <w:tc>
          <w:tcPr>
            <w:tcW w:w="2693" w:type="dxa"/>
            <w:vAlign w:val="center"/>
          </w:tcPr>
          <w:p>
            <w:pPr>
              <w:pStyle w:val="11"/>
              <w:snapToGrid w:val="0"/>
              <w:jc w:val="center"/>
              <w:rPr>
                <w:rFonts w:ascii="Times New Roman" w:hAnsi="Times New Roman" w:cs="Times New Roman"/>
                <w:color w:val="000000"/>
                <w:sz w:val="21"/>
                <w:szCs w:val="21"/>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固体废物</w:t>
            </w:r>
          </w:p>
          <w:p>
            <w:pPr>
              <w:snapToGrid w:val="0"/>
              <w:jc w:val="center"/>
              <w:rPr>
                <w:rFonts w:ascii="Times New Roman" w:hAnsi="Times New Roman" w:cs="宋体"/>
                <w:b/>
                <w:bCs/>
                <w:color w:val="000000"/>
                <w:highlight w:val="none"/>
              </w:rPr>
            </w:pPr>
            <w:r>
              <w:rPr>
                <w:rFonts w:hint="eastAsia" w:ascii="Times New Roman" w:hAnsi="Times New Roman" w:cs="宋体"/>
                <w:b/>
                <w:bCs/>
                <w:color w:val="000000"/>
                <w:highlight w:val="none"/>
              </w:rPr>
              <w:t>类型</w:t>
            </w:r>
          </w:p>
        </w:tc>
        <w:tc>
          <w:tcPr>
            <w:tcW w:w="5103" w:type="dxa"/>
            <w:vAlign w:val="center"/>
          </w:tcPr>
          <w:p>
            <w:pPr>
              <w:pStyle w:val="11"/>
              <w:snapToGrid w:val="0"/>
              <w:jc w:val="center"/>
              <w:rPr>
                <w:color w:val="000000"/>
                <w:sz w:val="21"/>
                <w:szCs w:val="21"/>
                <w:highlight w:val="none"/>
              </w:rPr>
            </w:pPr>
            <w:r>
              <w:rPr>
                <w:rFonts w:hint="eastAsia" w:ascii="仿宋_GB2312" w:eastAsia="仿宋_GB2312"/>
                <w:color w:val="000000"/>
                <w:sz w:val="21"/>
                <w:szCs w:val="21"/>
                <w:highlight w:val="none"/>
              </w:rPr>
              <w:t>非工业固体废物</w:t>
            </w:r>
          </w:p>
        </w:tc>
        <w:tc>
          <w:tcPr>
            <w:tcW w:w="2693" w:type="dxa"/>
            <w:vAlign w:val="center"/>
          </w:tcPr>
          <w:p>
            <w:pPr>
              <w:pStyle w:val="11"/>
              <w:snapToGrid w:val="0"/>
              <w:jc w:val="center"/>
              <w:rPr>
                <w:rFonts w:ascii="Times New Roman" w:hAnsi="Times New Roman" w:cs="Times New Roman"/>
                <w:color w:val="000000"/>
                <w:sz w:val="21"/>
                <w:szCs w:val="21"/>
                <w:highlight w:val="none"/>
              </w:rPr>
            </w:pPr>
            <w:r>
              <w:rPr>
                <w:rFonts w:hint="eastAsia" w:ascii="Times New Roman" w:hAnsi="Times New Roman" w:cs="Times New Roman"/>
                <w:color w:val="000000"/>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Merge w:val="continue"/>
            <w:vAlign w:val="center"/>
          </w:tcPr>
          <w:p>
            <w:pPr>
              <w:snapToGrid w:val="0"/>
              <w:jc w:val="center"/>
              <w:rPr>
                <w:rFonts w:ascii="Times New Roman" w:hAnsi="Times New Roman" w:cs="Times New Roman"/>
                <w:b/>
                <w:bCs/>
                <w:color w:val="000000"/>
                <w:highlight w:val="none"/>
              </w:rPr>
            </w:pP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color w:val="000000"/>
                <w:sz w:val="21"/>
                <w:szCs w:val="21"/>
                <w:highlight w:val="none"/>
              </w:rPr>
              <w:t>Ⅰ</w:t>
            </w:r>
            <w:r>
              <w:rPr>
                <w:rFonts w:hint="eastAsia" w:ascii="Times New Roman" w:hAnsi="Times New Roman" w:eastAsia="仿宋_GB2312" w:cs="仿宋_GB2312"/>
                <w:color w:val="000000"/>
                <w:sz w:val="21"/>
                <w:szCs w:val="21"/>
                <w:highlight w:val="none"/>
              </w:rPr>
              <w:t>类一般工业固体废物</w:t>
            </w:r>
          </w:p>
        </w:tc>
        <w:tc>
          <w:tcPr>
            <w:tcW w:w="2693" w:type="dxa"/>
            <w:vAlign w:val="center"/>
          </w:tcPr>
          <w:p>
            <w:pPr>
              <w:pStyle w:val="11"/>
              <w:snapToGrid w:val="0"/>
              <w:jc w:val="center"/>
              <w:rPr>
                <w:rFonts w:ascii="Times New Roman" w:hAnsi="Times New Roman" w:cs="Times New Roman"/>
                <w:color w:val="000000"/>
                <w:sz w:val="21"/>
                <w:szCs w:val="21"/>
                <w:highlight w:val="none"/>
              </w:rPr>
            </w:pPr>
            <w:r>
              <w:rPr>
                <w:rFonts w:ascii="Times New Roman" w:hAnsi="Times New Roman" w:cs="Times New Roman"/>
                <w:color w:val="000000"/>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color w:val="000000"/>
                <w:sz w:val="21"/>
                <w:szCs w:val="21"/>
                <w:highlight w:val="none"/>
              </w:rPr>
              <w:t>Ⅱ</w:t>
            </w:r>
            <w:r>
              <w:rPr>
                <w:rFonts w:hint="eastAsia" w:ascii="Times New Roman" w:hAnsi="Times New Roman" w:eastAsia="仿宋_GB2312" w:cs="仿宋_GB2312"/>
                <w:color w:val="000000"/>
                <w:sz w:val="21"/>
                <w:szCs w:val="21"/>
                <w:highlight w:val="none"/>
              </w:rPr>
              <w:t>类一般工业固体废物</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413"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补救措施</w:t>
            </w: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积极采取补救措施；恢复原状，消除环境影响</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采取补救措施，环境影响无法完全消除</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未采取补救措施，环境影响持续恶化</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413"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持续时间或</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发生频次</w:t>
            </w:r>
          </w:p>
        </w:tc>
        <w:tc>
          <w:tcPr>
            <w:tcW w:w="510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个月以内或</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次以下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3</w:t>
            </w:r>
            <w:r>
              <w:rPr>
                <w:rFonts w:hint="eastAsia" w:ascii="Times New Roman" w:hAnsi="Times New Roman" w:eastAsia="仿宋_GB2312" w:cs="仿宋_GB2312"/>
                <w:color w:val="000000"/>
                <w:sz w:val="21"/>
                <w:szCs w:val="21"/>
                <w:highlight w:val="none"/>
              </w:rPr>
              <w:t>个月以上</w:t>
            </w:r>
            <w:r>
              <w:rPr>
                <w:rFonts w:ascii="Times New Roman" w:hAnsi="Times New Roman" w:eastAsia="仿宋_GB2312" w:cs="Times New Roman"/>
                <w:color w:val="000000"/>
                <w:sz w:val="21"/>
                <w:szCs w:val="21"/>
                <w:highlight w:val="none"/>
              </w:rPr>
              <w:t>6</w:t>
            </w:r>
            <w:r>
              <w:rPr>
                <w:rFonts w:hint="eastAsia" w:ascii="Times New Roman" w:hAnsi="Times New Roman" w:eastAsia="仿宋_GB2312" w:cs="仿宋_GB2312"/>
                <w:color w:val="000000"/>
                <w:sz w:val="21"/>
                <w:szCs w:val="21"/>
                <w:highlight w:val="none"/>
              </w:rPr>
              <w:t>个月以内或</w:t>
            </w:r>
            <w:r>
              <w:rPr>
                <w:rFonts w:ascii="Times New Roman" w:hAnsi="Times New Roman" w:eastAsia="仿宋_GB2312" w:cs="Times New Roman"/>
                <w:color w:val="000000"/>
                <w:sz w:val="21"/>
                <w:szCs w:val="21"/>
                <w:highlight w:val="none"/>
              </w:rPr>
              <w:t>2</w:t>
            </w:r>
            <w:r>
              <w:rPr>
                <w:rFonts w:hint="eastAsia" w:ascii="Times New Roman" w:hAnsi="Times New Roman" w:eastAsia="仿宋_GB2312" w:cs="仿宋_GB2312"/>
                <w:color w:val="000000"/>
                <w:sz w:val="21"/>
                <w:szCs w:val="21"/>
                <w:highlight w:val="none"/>
              </w:rPr>
              <w:t>次</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Merge w:val="continue"/>
            <w:vAlign w:val="center"/>
          </w:tcPr>
          <w:p>
            <w:pPr>
              <w:snapToGrid w:val="0"/>
              <w:jc w:val="center"/>
              <w:rPr>
                <w:rFonts w:ascii="Times New Roman" w:hAnsi="Times New Roman" w:cs="Times New Roman"/>
                <w:color w:val="000000"/>
                <w:highlight w:val="none"/>
              </w:rPr>
            </w:pPr>
          </w:p>
        </w:tc>
        <w:tc>
          <w:tcPr>
            <w:tcW w:w="510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6</w:t>
            </w:r>
            <w:r>
              <w:rPr>
                <w:rFonts w:hint="eastAsia" w:ascii="Times New Roman" w:hAnsi="Times New Roman" w:eastAsia="仿宋_GB2312" w:cs="仿宋_GB2312"/>
                <w:color w:val="000000"/>
                <w:sz w:val="21"/>
                <w:szCs w:val="21"/>
                <w:highlight w:val="none"/>
              </w:rPr>
              <w:t>个月以上或</w:t>
            </w:r>
            <w:r>
              <w:rPr>
                <w:rFonts w:ascii="Times New Roman" w:hAnsi="Times New Roman" w:eastAsia="仿宋_GB2312" w:cs="Times New Roman"/>
                <w:color w:val="000000"/>
                <w:sz w:val="21"/>
                <w:szCs w:val="21"/>
                <w:highlight w:val="none"/>
              </w:rPr>
              <w:t>3</w:t>
            </w:r>
            <w:r>
              <w:rPr>
                <w:rFonts w:hint="eastAsia" w:ascii="Times New Roman" w:hAnsi="Times New Roman" w:eastAsia="仿宋_GB2312" w:cs="仿宋_GB2312"/>
                <w:color w:val="000000"/>
                <w:sz w:val="21"/>
                <w:szCs w:val="21"/>
                <w:highlight w:val="none"/>
              </w:rPr>
              <w:t>次以上</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4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796" w:type="dxa"/>
            <w:gridSpan w:val="2"/>
            <w:vAlign w:val="center"/>
          </w:tcPr>
          <w:p>
            <w:pPr>
              <w:snapToGrid w:val="0"/>
              <w:ind w:firstLine="420"/>
              <w:jc w:val="center"/>
              <w:rPr>
                <w:rFonts w:ascii="Times New Roman" w:hAnsi="Times New Roman" w:cs="Times New Roman"/>
                <w:color w:val="000000"/>
                <w:highlight w:val="none"/>
              </w:rPr>
            </w:pPr>
          </w:p>
        </w:tc>
      </w:tr>
    </w:tbl>
    <w:p>
      <w:pPr>
        <w:spacing w:line="360" w:lineRule="auto"/>
        <w:jc w:val="center"/>
        <w:outlineLvl w:val="1"/>
        <w:rPr>
          <w:rFonts w:ascii="Times New Roman" w:hAnsi="Times New Roman" w:eastAsia="仿宋_GB2312" w:cs="Times New Roman"/>
          <w:b/>
          <w:bCs/>
          <w:sz w:val="32"/>
          <w:szCs w:val="32"/>
          <w:highlight w:val="none"/>
        </w:rPr>
      </w:pPr>
      <w:r>
        <w:rPr>
          <w:rFonts w:ascii="Times New Roman" w:hAnsi="Times New Roman" w:cs="Times New Roman"/>
          <w:highlight w:val="none"/>
        </w:rPr>
        <w:br w:type="page"/>
      </w:r>
      <w:bookmarkStart w:id="60" w:name="_Toc91081272"/>
      <w:r>
        <w:rPr>
          <w:rFonts w:hint="eastAsia" w:ascii="仿宋_GB2312" w:hAnsi="Times New Roman" w:eastAsia="仿宋_GB2312" w:cs="Times New Roman"/>
          <w:b/>
          <w:sz w:val="32"/>
          <w:szCs w:val="32"/>
          <w:highlight w:val="none"/>
        </w:rPr>
        <w:t>（五）</w:t>
      </w:r>
      <w:r>
        <w:rPr>
          <w:rFonts w:hint="eastAsia" w:ascii="Times New Roman" w:hAnsi="Times New Roman" w:eastAsia="仿宋_GB2312" w:cs="仿宋_GB2312"/>
          <w:b/>
          <w:bCs/>
          <w:sz w:val="32"/>
          <w:szCs w:val="32"/>
          <w:highlight w:val="none"/>
        </w:rPr>
        <w:t>土壤污染防治类</w:t>
      </w:r>
      <w:bookmarkEnd w:id="60"/>
    </w:p>
    <w:p>
      <w:pPr>
        <w:spacing w:line="360" w:lineRule="auto"/>
        <w:rPr>
          <w:rFonts w:ascii="Times New Roman" w:hAnsi="Times New Roman" w:eastAsia="仿宋_GB2312" w:cs="Times New Roman"/>
          <w:b/>
          <w:bCs/>
          <w:sz w:val="32"/>
          <w:szCs w:val="32"/>
          <w:highlight w:val="none"/>
        </w:rPr>
      </w:pPr>
    </w:p>
    <w:p>
      <w:pPr>
        <w:pStyle w:val="12"/>
        <w:snapToGrid w:val="0"/>
        <w:spacing w:before="0" w:beforeAutospacing="0" w:after="0" w:afterAutospacing="0" w:line="560" w:lineRule="exact"/>
        <w:ind w:firstLine="442"/>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w:t>
      </w:r>
      <w:r>
        <w:rPr>
          <w:rFonts w:hint="eastAsia" w:ascii="Times New Roman" w:hAnsi="Times New Roman" w:eastAsia="仿宋_GB2312" w:cs="仿宋_GB2312"/>
          <w:sz w:val="32"/>
          <w:szCs w:val="32"/>
          <w:highlight w:val="none"/>
        </w:rPr>
        <w:t>土壤污染重点监管单位未制定、实施自行监测方案，或者未将监测数据报生态环境主管部门的</w:t>
      </w:r>
    </w:p>
    <w:p>
      <w:pPr>
        <w:pStyle w:val="12"/>
        <w:snapToGrid w:val="0"/>
        <w:spacing w:before="0" w:beforeAutospacing="0" w:after="0" w:afterAutospacing="0" w:line="560" w:lineRule="exact"/>
        <w:ind w:firstLine="442"/>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w:t>
      </w:r>
      <w:r>
        <w:rPr>
          <w:rFonts w:hint="eastAsia" w:ascii="Times New Roman" w:hAnsi="Times New Roman" w:eastAsia="仿宋_GB2312" w:cs="仿宋_GB2312"/>
          <w:sz w:val="32"/>
          <w:szCs w:val="32"/>
          <w:highlight w:val="none"/>
        </w:rPr>
        <w:t>土壤污染重点监管单位篡改、伪造监测数据的</w:t>
      </w:r>
    </w:p>
    <w:p>
      <w:pPr>
        <w:pStyle w:val="12"/>
        <w:snapToGrid w:val="0"/>
        <w:spacing w:before="0" w:beforeAutospacing="0" w:after="0" w:afterAutospacing="0" w:line="560" w:lineRule="exact"/>
        <w:ind w:firstLine="442"/>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w:t>
      </w:r>
      <w:r>
        <w:rPr>
          <w:rFonts w:hint="eastAsia" w:ascii="Times New Roman" w:hAnsi="Times New Roman" w:eastAsia="仿宋_GB2312" w:cs="仿宋_GB2312"/>
          <w:sz w:val="32"/>
          <w:szCs w:val="32"/>
          <w:highlight w:val="none"/>
        </w:rPr>
        <w:t>土壤污染重点监管单位未按年度报告有毒有害物质排放情况，或者未建立土壤污染隐患排查制度的</w:t>
      </w:r>
    </w:p>
    <w:p>
      <w:pPr>
        <w:pStyle w:val="12"/>
        <w:snapToGrid w:val="0"/>
        <w:spacing w:before="0" w:beforeAutospacing="0" w:after="0" w:afterAutospacing="0" w:line="560" w:lineRule="exact"/>
        <w:ind w:firstLine="442"/>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w:t>
      </w:r>
      <w:r>
        <w:rPr>
          <w:rFonts w:hint="eastAsia" w:ascii="Times New Roman" w:hAnsi="Times New Roman" w:eastAsia="仿宋_GB2312" w:cs="仿宋_GB2312"/>
          <w:sz w:val="32"/>
          <w:szCs w:val="32"/>
          <w:highlight w:val="none"/>
        </w:rPr>
        <w:t>拆除设施、设备或者建筑物、构筑物，企业事业单位未采取相应的土壤污染防治措施或者土壤污染重点监管单位未制定、实施土壤污染防治工作方案的</w:t>
      </w:r>
    </w:p>
    <w:p>
      <w:pPr>
        <w:pStyle w:val="12"/>
        <w:snapToGrid w:val="0"/>
        <w:spacing w:before="0" w:beforeAutospacing="0" w:after="0" w:afterAutospacing="0" w:line="560" w:lineRule="exact"/>
        <w:ind w:firstLine="442"/>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5.</w:t>
      </w:r>
      <w:r>
        <w:rPr>
          <w:rFonts w:hint="eastAsia" w:ascii="Times New Roman" w:hAnsi="Times New Roman" w:eastAsia="仿宋_GB2312" w:cs="仿宋_GB2312"/>
          <w:sz w:val="32"/>
          <w:szCs w:val="32"/>
          <w:highlight w:val="none"/>
        </w:rPr>
        <w:t>尾矿库运营、管理单位未按照规定采取措施防止土壤污染的</w:t>
      </w:r>
    </w:p>
    <w:p>
      <w:pPr>
        <w:pStyle w:val="12"/>
        <w:snapToGrid w:val="0"/>
        <w:spacing w:before="0" w:beforeAutospacing="0" w:after="0" w:afterAutospacing="0" w:line="560" w:lineRule="exact"/>
        <w:ind w:firstLine="442"/>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6.</w:t>
      </w:r>
      <w:r>
        <w:rPr>
          <w:rFonts w:hint="eastAsia" w:ascii="Times New Roman" w:hAnsi="Times New Roman" w:eastAsia="仿宋_GB2312" w:cs="仿宋_GB2312"/>
          <w:sz w:val="32"/>
          <w:szCs w:val="32"/>
          <w:highlight w:val="none"/>
        </w:rPr>
        <w:t>尾矿库运营、管理单位未按照规定进行土壤污染状况监测的</w:t>
      </w:r>
    </w:p>
    <w:p>
      <w:pPr>
        <w:pStyle w:val="12"/>
        <w:snapToGrid w:val="0"/>
        <w:spacing w:before="0" w:beforeAutospacing="0" w:after="0" w:afterAutospacing="0" w:line="560" w:lineRule="exact"/>
        <w:ind w:firstLine="442"/>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7.</w:t>
      </w:r>
      <w:r>
        <w:rPr>
          <w:rFonts w:hint="eastAsia" w:ascii="Times New Roman" w:hAnsi="Times New Roman" w:eastAsia="仿宋_GB2312" w:cs="仿宋_GB2312"/>
          <w:sz w:val="32"/>
          <w:szCs w:val="32"/>
          <w:highlight w:val="none"/>
        </w:rPr>
        <w:t>建设和运行污水集中处理设施、固体废物处置设施，未依照法律法规和相关标准的要求采取措施防止土壤污染的</w:t>
      </w:r>
    </w:p>
    <w:p>
      <w:pPr>
        <w:pStyle w:val="12"/>
        <w:snapToGrid w:val="0"/>
        <w:spacing w:before="0" w:beforeAutospacing="0" w:after="0" w:afterAutospacing="0" w:line="560" w:lineRule="exact"/>
        <w:ind w:firstLine="442"/>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8.</w:t>
      </w:r>
      <w:r>
        <w:rPr>
          <w:rFonts w:hint="eastAsia" w:ascii="Times New Roman" w:hAnsi="Times New Roman" w:eastAsia="仿宋_GB2312" w:cs="仿宋_GB2312"/>
          <w:sz w:val="32"/>
          <w:szCs w:val="32"/>
          <w:highlight w:val="none"/>
        </w:rPr>
        <w:t>向农用地排放重金属或者其他有毒有害物质含量超标的污水、污泥，以及可能造成土壤污染的清淤底泥、尾矿、矿渣等的</w:t>
      </w:r>
    </w:p>
    <w:p>
      <w:pPr>
        <w:pStyle w:val="12"/>
        <w:snapToGrid w:val="0"/>
        <w:spacing w:before="0" w:beforeAutospacing="0" w:after="0" w:afterAutospacing="0" w:line="560" w:lineRule="exact"/>
        <w:ind w:firstLine="442"/>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9.</w:t>
      </w:r>
      <w:r>
        <w:rPr>
          <w:rFonts w:hint="eastAsia" w:ascii="Times New Roman" w:hAnsi="Times New Roman" w:eastAsia="仿宋_GB2312" w:cs="仿宋_GB2312"/>
          <w:sz w:val="32"/>
          <w:szCs w:val="32"/>
          <w:highlight w:val="none"/>
        </w:rPr>
        <w:t>将重金属或者其他有毒有害物质含量超标的工业固体废物、生活垃圾或者污染土壤用于土地复垦的</w:t>
      </w:r>
    </w:p>
    <w:p>
      <w:pPr>
        <w:pStyle w:val="12"/>
        <w:snapToGrid w:val="0"/>
        <w:spacing w:before="0" w:beforeAutospacing="0" w:after="0" w:afterAutospacing="0" w:line="560" w:lineRule="exact"/>
        <w:ind w:firstLine="442"/>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10.</w:t>
      </w:r>
      <w:r>
        <w:rPr>
          <w:rFonts w:hint="eastAsia" w:ascii="Times New Roman" w:hAnsi="Times New Roman" w:eastAsia="仿宋_GB2312" w:cs="仿宋_GB2312"/>
          <w:sz w:val="32"/>
          <w:szCs w:val="32"/>
          <w:highlight w:val="none"/>
        </w:rPr>
        <w:t>出具虚假调查报告、风险评估报告、风险管控效果评估报告、修复效果评估报告的</w:t>
      </w:r>
    </w:p>
    <w:p>
      <w:pPr>
        <w:pStyle w:val="12"/>
        <w:snapToGrid w:val="0"/>
        <w:spacing w:before="0" w:beforeAutospacing="0" w:after="0" w:afterAutospacing="0" w:line="560" w:lineRule="exact"/>
        <w:ind w:firstLine="442"/>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11.</w:t>
      </w:r>
      <w:r>
        <w:rPr>
          <w:rFonts w:hint="eastAsia" w:ascii="Times New Roman" w:hAnsi="Times New Roman" w:eastAsia="仿宋_GB2312" w:cs="仿宋_GB2312"/>
          <w:sz w:val="32"/>
          <w:szCs w:val="32"/>
          <w:highlight w:val="none"/>
        </w:rPr>
        <w:t>未单独收集、存放开发建设过程中剥离的表土的</w:t>
      </w:r>
    </w:p>
    <w:p>
      <w:pPr>
        <w:pStyle w:val="12"/>
        <w:snapToGrid w:val="0"/>
        <w:spacing w:before="0" w:beforeAutospacing="0" w:after="0" w:afterAutospacing="0" w:line="560" w:lineRule="exact"/>
        <w:ind w:firstLine="442"/>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12.</w:t>
      </w:r>
      <w:r>
        <w:rPr>
          <w:rFonts w:hint="eastAsia" w:ascii="Times New Roman" w:hAnsi="Times New Roman" w:eastAsia="仿宋_GB2312" w:cs="仿宋_GB2312"/>
          <w:sz w:val="32"/>
          <w:szCs w:val="32"/>
          <w:highlight w:val="none"/>
        </w:rPr>
        <w:t>实施风险管控、修复活动对土壤、周边环境造成新的污染的</w:t>
      </w:r>
    </w:p>
    <w:p>
      <w:pPr>
        <w:pStyle w:val="12"/>
        <w:snapToGrid w:val="0"/>
        <w:spacing w:before="0" w:beforeAutospacing="0" w:after="0" w:afterAutospacing="0" w:line="560" w:lineRule="exact"/>
        <w:ind w:firstLine="442"/>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13.</w:t>
      </w:r>
      <w:r>
        <w:rPr>
          <w:rFonts w:hint="eastAsia" w:ascii="Times New Roman" w:hAnsi="Times New Roman" w:eastAsia="仿宋_GB2312" w:cs="仿宋_GB2312"/>
          <w:sz w:val="32"/>
          <w:szCs w:val="32"/>
          <w:highlight w:val="none"/>
        </w:rPr>
        <w:t>转运污染土壤，未将运输时间、方式、线路和污染土壤数量、去向、最终处置措施等提前报所在地和接收地生态环境主管部门的</w:t>
      </w:r>
    </w:p>
    <w:p>
      <w:pPr>
        <w:pStyle w:val="12"/>
        <w:snapToGrid w:val="0"/>
        <w:spacing w:before="0" w:beforeAutospacing="0" w:after="0" w:afterAutospacing="0" w:line="560" w:lineRule="exact"/>
        <w:ind w:firstLine="442"/>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14.</w:t>
      </w:r>
      <w:r>
        <w:rPr>
          <w:rFonts w:hint="eastAsia" w:ascii="Times New Roman" w:hAnsi="Times New Roman" w:eastAsia="仿宋_GB2312" w:cs="仿宋_GB2312"/>
          <w:sz w:val="32"/>
          <w:szCs w:val="32"/>
          <w:highlight w:val="none"/>
        </w:rPr>
        <w:t>未达到土壤污染风险评估报告确定的风险管控、修复目标的建设用地地块，开工建设与风险管控、修复无关的项目的</w:t>
      </w:r>
    </w:p>
    <w:p>
      <w:pPr>
        <w:pStyle w:val="12"/>
        <w:snapToGrid w:val="0"/>
        <w:spacing w:before="0" w:beforeAutospacing="0" w:after="0" w:afterAutospacing="0" w:line="560" w:lineRule="exact"/>
        <w:ind w:firstLine="442"/>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15.</w:t>
      </w:r>
      <w:r>
        <w:rPr>
          <w:rFonts w:hint="eastAsia" w:ascii="Times New Roman" w:hAnsi="Times New Roman" w:eastAsia="仿宋_GB2312" w:cs="仿宋_GB2312"/>
          <w:sz w:val="32"/>
          <w:szCs w:val="32"/>
          <w:highlight w:val="none"/>
        </w:rPr>
        <w:t>土壤污染责任人或者土地使用权人未按照规定实施后期管理的</w:t>
      </w:r>
    </w:p>
    <w:p>
      <w:pPr>
        <w:pStyle w:val="12"/>
        <w:snapToGrid w:val="0"/>
        <w:spacing w:before="0" w:beforeAutospacing="0" w:after="0" w:afterAutospacing="0" w:line="560" w:lineRule="exact"/>
        <w:ind w:firstLine="442"/>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16.</w:t>
      </w:r>
      <w:r>
        <w:rPr>
          <w:rFonts w:hint="eastAsia" w:ascii="Times New Roman" w:hAnsi="Times New Roman" w:eastAsia="仿宋_GB2312" w:cs="仿宋_GB2312"/>
          <w:sz w:val="32"/>
          <w:szCs w:val="32"/>
          <w:highlight w:val="none"/>
        </w:rPr>
        <w:t>被检查者拒不配合检查，或者在接受检查时弄虚作假的</w:t>
      </w:r>
    </w:p>
    <w:p>
      <w:pPr>
        <w:pStyle w:val="12"/>
        <w:snapToGrid w:val="0"/>
        <w:spacing w:before="0" w:beforeAutospacing="0" w:after="0" w:afterAutospacing="0" w:line="560" w:lineRule="exact"/>
        <w:ind w:firstLine="442"/>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17.</w:t>
      </w:r>
      <w:r>
        <w:rPr>
          <w:rFonts w:hint="eastAsia" w:ascii="Times New Roman" w:hAnsi="Times New Roman" w:eastAsia="仿宋_GB2312" w:cs="仿宋_GB2312"/>
          <w:sz w:val="32"/>
          <w:szCs w:val="32"/>
          <w:highlight w:val="none"/>
        </w:rPr>
        <w:t>土壤污染责任人或者土地使用权人未按照规定进行土壤污染状况调查，或者未按照规定进行土壤污染风险评估的</w:t>
      </w:r>
    </w:p>
    <w:p>
      <w:pPr>
        <w:pStyle w:val="12"/>
        <w:snapToGrid w:val="0"/>
        <w:spacing w:before="0" w:beforeAutospacing="0" w:after="0" w:afterAutospacing="0" w:line="560" w:lineRule="exact"/>
        <w:ind w:firstLine="442"/>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18.</w:t>
      </w:r>
      <w:r>
        <w:rPr>
          <w:rFonts w:hint="eastAsia" w:ascii="Times New Roman" w:hAnsi="Times New Roman" w:eastAsia="仿宋_GB2312" w:cs="仿宋_GB2312"/>
          <w:sz w:val="32"/>
          <w:szCs w:val="32"/>
          <w:highlight w:val="none"/>
        </w:rPr>
        <w:t>土壤污染责任人或者土地使用权人未按照规定采取风险管控措施的</w:t>
      </w:r>
    </w:p>
    <w:p>
      <w:pPr>
        <w:pStyle w:val="12"/>
        <w:snapToGrid w:val="0"/>
        <w:spacing w:before="0" w:beforeAutospacing="0" w:after="0" w:afterAutospacing="0" w:line="560" w:lineRule="exact"/>
        <w:ind w:firstLine="442"/>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19.</w:t>
      </w:r>
      <w:r>
        <w:rPr>
          <w:rFonts w:hint="eastAsia" w:ascii="Times New Roman" w:hAnsi="Times New Roman" w:eastAsia="仿宋_GB2312" w:cs="仿宋_GB2312"/>
          <w:sz w:val="32"/>
          <w:szCs w:val="32"/>
          <w:highlight w:val="none"/>
        </w:rPr>
        <w:t>土壤污染责任人或者土地使用权人未按照规定实施修复的</w:t>
      </w:r>
    </w:p>
    <w:p>
      <w:pPr>
        <w:pStyle w:val="12"/>
        <w:snapToGrid w:val="0"/>
        <w:spacing w:before="0" w:beforeAutospacing="0" w:after="0" w:afterAutospacing="0" w:line="560" w:lineRule="exact"/>
        <w:ind w:firstLine="442"/>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w:t>
      </w:r>
      <w:r>
        <w:rPr>
          <w:rFonts w:hint="eastAsia" w:ascii="Times New Roman" w:hAnsi="Times New Roman" w:eastAsia="仿宋_GB2312" w:cs="仿宋_GB2312"/>
          <w:sz w:val="32"/>
          <w:szCs w:val="32"/>
          <w:highlight w:val="none"/>
        </w:rPr>
        <w:t>风险管控、修复活动完成后，土壤污染责任人或者土地使用权人未另行委托有关单位对风险管控效果、修复效果进行评估的</w:t>
      </w:r>
    </w:p>
    <w:p>
      <w:pPr>
        <w:pStyle w:val="12"/>
        <w:snapToGrid w:val="0"/>
        <w:spacing w:before="0" w:beforeAutospacing="0" w:after="0" w:afterAutospacing="0" w:line="560" w:lineRule="exact"/>
        <w:ind w:firstLine="442"/>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21.</w:t>
      </w:r>
      <w:r>
        <w:rPr>
          <w:rFonts w:hint="eastAsia" w:ascii="Times New Roman" w:hAnsi="Times New Roman" w:eastAsia="仿宋_GB2312" w:cs="仿宋_GB2312"/>
          <w:sz w:val="32"/>
          <w:szCs w:val="32"/>
          <w:highlight w:val="none"/>
        </w:rPr>
        <w:t>土壤污染重点监管单位未按照规定将土壤污染防治工作方案报地方人民政府生态环境主管部门备案，责令改正拒不改正的</w:t>
      </w:r>
    </w:p>
    <w:p>
      <w:pPr>
        <w:pStyle w:val="12"/>
        <w:snapToGrid w:val="0"/>
        <w:spacing w:before="0" w:beforeAutospacing="0" w:after="0" w:afterAutospacing="0" w:line="560" w:lineRule="exact"/>
        <w:ind w:firstLine="442"/>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22.</w:t>
      </w:r>
      <w:r>
        <w:rPr>
          <w:rFonts w:hint="eastAsia" w:ascii="Times New Roman" w:hAnsi="Times New Roman" w:eastAsia="仿宋_GB2312" w:cs="仿宋_GB2312"/>
          <w:sz w:val="32"/>
          <w:szCs w:val="32"/>
          <w:highlight w:val="none"/>
        </w:rPr>
        <w:t>土壤污染责任人或者土地使用权人未按照规定将修复方案、效果评估报告报地方人民政府生态环境主管部门备案，责令改正拒不改正的</w:t>
      </w:r>
    </w:p>
    <w:p>
      <w:pPr>
        <w:pStyle w:val="12"/>
        <w:snapToGrid w:val="0"/>
        <w:spacing w:before="0" w:beforeAutospacing="0" w:after="0" w:afterAutospacing="0" w:line="560" w:lineRule="exact"/>
        <w:ind w:firstLine="442"/>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23.</w:t>
      </w:r>
      <w:r>
        <w:rPr>
          <w:rFonts w:hint="eastAsia" w:ascii="Times New Roman" w:hAnsi="Times New Roman" w:eastAsia="仿宋_GB2312" w:cs="仿宋_GB2312"/>
          <w:sz w:val="32"/>
          <w:szCs w:val="32"/>
          <w:highlight w:val="none"/>
        </w:rPr>
        <w:t>土地使用权人未按照规定将土壤污染状况调查报告报地方人民政府生态环境主管部门备案的</w:t>
      </w:r>
    </w:p>
    <w:p>
      <w:pPr>
        <w:pStyle w:val="12"/>
        <w:snapToGrid w:val="0"/>
        <w:spacing w:before="0" w:beforeAutospacing="0" w:after="0" w:afterAutospacing="0" w:line="560" w:lineRule="exact"/>
        <w:ind w:firstLine="442"/>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24.</w:t>
      </w:r>
      <w:r>
        <w:rPr>
          <w:rFonts w:hint="eastAsia" w:ascii="Times New Roman" w:hAnsi="Times New Roman" w:eastAsia="仿宋_GB2312" w:cs="仿宋_GB2312"/>
          <w:sz w:val="32"/>
          <w:szCs w:val="32"/>
          <w:highlight w:val="none"/>
        </w:rPr>
        <w:t>土壤污染重点监管单位未按照规定和监测规范进行监测的</w:t>
      </w:r>
    </w:p>
    <w:p>
      <w:pPr>
        <w:pStyle w:val="12"/>
        <w:snapToGrid w:val="0"/>
        <w:spacing w:before="0" w:beforeAutospacing="0" w:after="0" w:afterAutospacing="0" w:line="560" w:lineRule="exact"/>
        <w:ind w:firstLine="442"/>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25.</w:t>
      </w:r>
      <w:r>
        <w:rPr>
          <w:rFonts w:hint="eastAsia" w:ascii="Times New Roman" w:hAnsi="Times New Roman" w:eastAsia="仿宋_GB2312" w:cs="仿宋_GB2312"/>
          <w:sz w:val="32"/>
          <w:szCs w:val="32"/>
          <w:highlight w:val="none"/>
        </w:rPr>
        <w:t>矿山企业在开采、选矿、运输、仓储等矿产资源开发活动中未按照规定采取措施防止土壤污染的</w:t>
      </w:r>
    </w:p>
    <w:p>
      <w:pPr>
        <w:pStyle w:val="12"/>
        <w:snapToGrid w:val="0"/>
        <w:spacing w:before="0" w:beforeAutospacing="0" w:after="0" w:afterAutospacing="0" w:line="560" w:lineRule="exact"/>
        <w:ind w:firstLine="442"/>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26.</w:t>
      </w:r>
      <w:r>
        <w:rPr>
          <w:rFonts w:hint="eastAsia" w:ascii="Times New Roman" w:hAnsi="Times New Roman" w:eastAsia="仿宋_GB2312" w:cs="仿宋_GB2312"/>
          <w:sz w:val="32"/>
          <w:szCs w:val="32"/>
          <w:highlight w:val="none"/>
        </w:rPr>
        <w:t>石油勘探开发单位未对钻井、采油、集输等环节实施全过程管理，或者未按照规定采取措施防止土壤污染的</w:t>
      </w:r>
    </w:p>
    <w:p>
      <w:pPr>
        <w:pStyle w:val="12"/>
        <w:snapToGrid w:val="0"/>
        <w:spacing w:before="0" w:beforeAutospacing="0" w:after="0" w:afterAutospacing="0" w:line="560" w:lineRule="exact"/>
        <w:ind w:firstLine="442"/>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27.</w:t>
      </w:r>
      <w:r>
        <w:rPr>
          <w:rFonts w:hint="eastAsia" w:ascii="Times New Roman" w:hAnsi="Times New Roman" w:eastAsia="仿宋_GB2312" w:cs="仿宋_GB2312"/>
          <w:sz w:val="32"/>
          <w:szCs w:val="32"/>
          <w:highlight w:val="none"/>
        </w:rPr>
        <w:t>输油管、储油罐、加油站的所有者或者运营者未按照规定采取措施防止土壤污染的</w:t>
      </w:r>
    </w:p>
    <w:p>
      <w:pPr>
        <w:widowControl/>
        <w:snapToGrid w:val="0"/>
        <w:jc w:val="left"/>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450"/>
        <w:gridCol w:w="2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（五）土壤污染防治类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tcPr>
          <w:p>
            <w:pPr>
              <w:pStyle w:val="11"/>
              <w:ind w:firstLine="420" w:firstLineChars="200"/>
              <w:jc w:val="both"/>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土壤污染重点监管单位未制定、实施自行监测方案，或者未将监测数据报生态环境主管部门的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1"/>
              <w:snapToGrid w:val="0"/>
              <w:spacing w:before="62" w:beforeLines="20"/>
              <w:ind w:firstLine="422" w:firstLineChars="200"/>
              <w:jc w:val="both"/>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《中华人民共和国土壤污染防治法》第二十一条第二款第（三）项</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土壤污染重点监管单位应当履行下列义务：</w:t>
            </w:r>
          </w:p>
          <w:p>
            <w:pPr>
              <w:pStyle w:val="11"/>
              <w:ind w:firstLine="420" w:firstLineChars="200"/>
              <w:jc w:val="both"/>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（三）制定、实施自行监测方案，并将监测数据报生态环境主管部门。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1"/>
              <w:adjustRightInd w:val="0"/>
              <w:snapToGrid w:val="0"/>
              <w:spacing w:before="62" w:beforeLines="20"/>
              <w:ind w:firstLine="422" w:firstLineChars="200"/>
              <w:jc w:val="both"/>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《中华人民共和国土壤污染防治法》第八十六条第一款第（一）项、第二款</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违反本法规定，有下列行为之一的，由地方人民政府生态环境主管部门或者其他负有土壤污染防治监督管理职责的部门责令改正，处以罚款；拒不改正的，责令停产整治：</w:t>
            </w:r>
          </w:p>
          <w:p>
            <w:pPr>
              <w:pStyle w:val="11"/>
              <w:adjustRightInd w:val="0"/>
              <w:ind w:firstLine="420" w:firstLineChars="200"/>
              <w:jc w:val="both"/>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（一）土壤污染重点监管单位未制定、实施自行监测方案，或者未将监测数据报生态环境主管部门的。</w:t>
            </w:r>
          </w:p>
          <w:p>
            <w:pPr>
              <w:pStyle w:val="11"/>
              <w:ind w:firstLine="420" w:firstLineChars="200"/>
              <w:jc w:val="both"/>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有前款规定行为之一的，处二万元以上二十万元以下的罚款；有前款第二项、第四项、第五项、第七项规定行为之一，造成严重后果的，处二十万元以上二百万元以下的罚款。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450"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488"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450"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土壤污染重点监管单位制定、实施了自行监测方案，但未将监测数据报生态环境主管部门的</w:t>
            </w:r>
          </w:p>
        </w:tc>
        <w:tc>
          <w:tcPr>
            <w:tcW w:w="2488"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450"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土壤污染重点监管单位制定自行监测方案，但未实施的</w:t>
            </w:r>
          </w:p>
        </w:tc>
        <w:tc>
          <w:tcPr>
            <w:tcW w:w="2488"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450"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土壤污染重点监管单位未制定自行监测方案的</w:t>
            </w:r>
          </w:p>
        </w:tc>
        <w:tc>
          <w:tcPr>
            <w:tcW w:w="2488"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监测频次</w:t>
            </w:r>
          </w:p>
        </w:tc>
        <w:tc>
          <w:tcPr>
            <w:tcW w:w="5450"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由于突发事件，未监测或者未将监测数据报生态环境主管部门的</w:t>
            </w:r>
          </w:p>
        </w:tc>
        <w:tc>
          <w:tcPr>
            <w:tcW w:w="2488"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450"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未定期监测或者将监测数据报生态环境主管部门的</w:t>
            </w:r>
          </w:p>
        </w:tc>
        <w:tc>
          <w:tcPr>
            <w:tcW w:w="2488"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450"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从未监测过或者将监测数据报生态环境主管部门的</w:t>
            </w:r>
          </w:p>
        </w:tc>
        <w:tc>
          <w:tcPr>
            <w:tcW w:w="2488"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排污类型</w:t>
            </w:r>
          </w:p>
        </w:tc>
        <w:tc>
          <w:tcPr>
            <w:tcW w:w="5450"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一般污染物</w:t>
            </w:r>
          </w:p>
        </w:tc>
        <w:tc>
          <w:tcPr>
            <w:tcW w:w="2488"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450"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一类污染物</w:t>
            </w:r>
          </w:p>
        </w:tc>
        <w:tc>
          <w:tcPr>
            <w:tcW w:w="2488"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450"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有毒有害物质</w:t>
            </w:r>
          </w:p>
        </w:tc>
        <w:tc>
          <w:tcPr>
            <w:tcW w:w="2488"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企业占地</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面积</w:t>
            </w:r>
          </w:p>
        </w:tc>
        <w:tc>
          <w:tcPr>
            <w:tcW w:w="5450"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w:t>
            </w:r>
          </w:p>
        </w:tc>
        <w:tc>
          <w:tcPr>
            <w:tcW w:w="2488"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450"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以上</w:t>
            </w:r>
            <w:r>
              <w:rPr>
                <w:rFonts w:ascii="Times New Roman" w:hAnsi="Times New Roman" w:eastAsia="仿宋_GB2312" w:cs="Times New Roman"/>
                <w:color w:val="000000"/>
                <w:sz w:val="21"/>
                <w:szCs w:val="21"/>
                <w:highlight w:val="none"/>
              </w:rPr>
              <w:t>5000m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w:t>
            </w:r>
          </w:p>
        </w:tc>
        <w:tc>
          <w:tcPr>
            <w:tcW w:w="2488"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450"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以上</w:t>
            </w:r>
            <w:r>
              <w:rPr>
                <w:rFonts w:ascii="Times New Roman" w:hAnsi="Times New Roman" w:eastAsia="仿宋_GB2312" w:cs="Times New Roman"/>
                <w:color w:val="000000"/>
                <w:sz w:val="21"/>
                <w:szCs w:val="21"/>
                <w:highlight w:val="none"/>
              </w:rPr>
              <w:t>10000m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w:t>
            </w:r>
          </w:p>
        </w:tc>
        <w:tc>
          <w:tcPr>
            <w:tcW w:w="2488"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450"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10000m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以上</w:t>
            </w:r>
            <w:r>
              <w:rPr>
                <w:rFonts w:ascii="Times New Roman" w:hAnsi="Times New Roman" w:eastAsia="仿宋_GB2312" w:cs="Times New Roman"/>
                <w:color w:val="000000"/>
                <w:sz w:val="21"/>
                <w:szCs w:val="21"/>
                <w:highlight w:val="none"/>
              </w:rPr>
              <w:t>20000m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w:t>
            </w:r>
          </w:p>
        </w:tc>
        <w:tc>
          <w:tcPr>
            <w:tcW w:w="2488"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450"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20000m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以上</w:t>
            </w:r>
          </w:p>
        </w:tc>
        <w:tc>
          <w:tcPr>
            <w:tcW w:w="2488"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cs="Times New Roman"/>
                <w:highlight w:val="none"/>
              </w:rPr>
            </w:pPr>
          </w:p>
        </w:tc>
      </w:tr>
    </w:tbl>
    <w:p>
      <w:pPr>
        <w:widowControl/>
        <w:snapToGrid w:val="0"/>
        <w:jc w:val="left"/>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9209" w:type="dxa"/>
            <w:gridSpan w:val="3"/>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（五）土壤污染防治类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土壤污染重点监管单位篡改、伪造监测数据的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2"/>
              <w:ind w:firstLine="420"/>
              <w:jc w:val="both"/>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《中华人民共和国土壤污染防治法》第二十一条第四款</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土壤污染重点监管单位应当对监测数据的真实性和准确性负责。生态环境主管部门发现土壤污染重点监管单位监测数据异常，应当及时进行调查。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snapToGrid w:val="0"/>
              <w:spacing w:before="62" w:beforeLines="20"/>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《中华人民共和国土壤污染防治法》第八十六条第一款第（二）项、第二款</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违反本法规定，有下列行为之一的，由地方人民政府生态环境主管部门或者其他负有土壤污染防治监督管理职责的部门责令改正，处以罚款；拒不改正的，责令停产整治：</w:t>
            </w:r>
          </w:p>
          <w:p>
            <w:pPr>
              <w:snapToGrid w:val="0"/>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（二）土壤污染重点监管单位篡改、伪造监测数据的。</w:t>
            </w:r>
          </w:p>
          <w:p>
            <w:pPr>
              <w:snapToGrid w:val="0"/>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有前款规定行为之一的，处二万元以上二十万元以下的罚款；有前款第二项、第四项、第五项、第七项规定行为之一，造成严重后果的，处二十万元以上二百万元以下的罚款。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未对监测因子是否达标情况造成影响的</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对监测因子是否达标情况造成影响的</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对监测因子是否达标情况造成严重影响，或造成恶劣社会影响的</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排污类型</w:t>
            </w: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一般污染物</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一类污染物</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有毒有害物质</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cs="Times New Roman"/>
                <w:highlight w:val="none"/>
              </w:rPr>
            </w:pPr>
          </w:p>
        </w:tc>
      </w:tr>
    </w:tbl>
    <w:p>
      <w:pPr>
        <w:widowControl/>
        <w:snapToGrid w:val="0"/>
        <w:jc w:val="left"/>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（五）土壤污染防治类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tcPr>
          <w:p>
            <w:pPr>
              <w:snapToGrid w:val="0"/>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土壤污染重点监管单位未按年度报告有毒有害物质排放情况，或者未建立土壤污染隐患排查制度的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2"/>
              <w:snapToGrid w:val="0"/>
              <w:spacing w:before="0" w:beforeAutospacing="0" w:after="0" w:afterAutospacing="0"/>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《中华人民共和国土壤污染防治法》第二十一条第二款第（一）项、第（二）项</w:t>
            </w:r>
            <w:r>
              <w:rPr>
                <w:rFonts w:hint="eastAsia" w:ascii="Times New Roman" w:hAnsi="Times New Roman" w:eastAsia="仿宋_GB2312" w:cs="仿宋_GB2312"/>
                <w:sz w:val="21"/>
                <w:szCs w:val="21"/>
                <w:highlight w:val="none"/>
              </w:rPr>
              <w:t>土壤污染重点监管单位应当履行下列义务：</w:t>
            </w:r>
          </w:p>
          <w:p>
            <w:pPr>
              <w:pStyle w:val="12"/>
              <w:snapToGrid w:val="0"/>
              <w:spacing w:before="0" w:beforeAutospacing="0" w:after="0" w:afterAutospacing="0"/>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（一）严格控制有毒有害物质排放，并按年度向生态环境主管部门报告排放情况；</w:t>
            </w:r>
            <w:r>
              <w:rPr>
                <w:rFonts w:ascii="Times New Roman" w:hAnsi="Times New Roman" w:eastAsia="仿宋_GB2312" w:cs="Times New Roman"/>
                <w:sz w:val="21"/>
                <w:szCs w:val="21"/>
                <w:highlight w:val="none"/>
              </w:rPr>
              <w:t xml:space="preserve"> </w:t>
            </w:r>
          </w:p>
          <w:p>
            <w:pPr>
              <w:pStyle w:val="12"/>
              <w:snapToGrid w:val="0"/>
              <w:spacing w:before="0" w:beforeAutospacing="0" w:after="0" w:afterAutospacing="0"/>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（二）建立土壤污染隐患排查制度，保证持续有效防止有毒有害物质渗漏、流失、扬散。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snapToGrid w:val="0"/>
              <w:ind w:firstLine="420"/>
              <w:jc w:val="left"/>
              <w:rPr>
                <w:rFonts w:ascii="Times New Roman" w:hAnsi="Times New Roman" w:eastAsia="仿宋_GB2312" w:cs="Times New Roman"/>
                <w:highlight w:val="none"/>
              </w:rPr>
            </w:pPr>
            <w:r>
              <w:rPr>
                <w:rFonts w:hint="eastAsia" w:ascii="Times New Roman" w:hAnsi="Times New Roman" w:eastAsia="仿宋_GB2312" w:cs="仿宋_GB2312"/>
                <w:b/>
                <w:bCs/>
                <w:highlight w:val="none"/>
              </w:rPr>
              <w:t>《中华人民共和国土壤污染防治法》第八十六条第一款第（三）项、第二款</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违反本法规定，有下列行为之一的，由地方人民政府生态环境主管部门或者其他负有土壤污染防治监督管理职责的部门责令改正，处以罚款；拒不改正的，责令停产整治：</w:t>
            </w:r>
          </w:p>
          <w:p>
            <w:pPr>
              <w:snapToGrid w:val="0"/>
              <w:ind w:firstLine="420"/>
              <w:jc w:val="left"/>
              <w:rPr>
                <w:rFonts w:ascii="Times New Roman" w:hAnsi="Times New Roman" w:eastAsia="仿宋_GB2312" w:cs="Times New Roman"/>
                <w:highlight w:val="none"/>
              </w:rPr>
            </w:pPr>
            <w:r>
              <w:rPr>
                <w:rFonts w:hint="eastAsia" w:ascii="Times New Roman" w:hAnsi="Times New Roman" w:eastAsia="仿宋_GB2312" w:cs="仿宋_GB2312"/>
                <w:highlight w:val="none"/>
              </w:rPr>
              <w:t>（三）土壤污染重点监管单位未按年度报告有毒有害物质排放情况，或者未建立土壤污染隐患排查制度的。</w:t>
            </w:r>
          </w:p>
          <w:p>
            <w:pPr>
              <w:snapToGrid w:val="0"/>
              <w:ind w:firstLine="420"/>
              <w:jc w:val="left"/>
              <w:rPr>
                <w:rFonts w:ascii="Times New Roman" w:hAnsi="Times New Roman" w:eastAsia="仿宋_GB2312" w:cs="Times New Roman"/>
                <w:highlight w:val="none"/>
              </w:rPr>
            </w:pPr>
            <w:r>
              <w:rPr>
                <w:rFonts w:hint="eastAsia" w:ascii="Times New Roman" w:hAnsi="Times New Roman" w:eastAsia="仿宋_GB2312" w:cs="仿宋_GB2312"/>
                <w:highlight w:val="none"/>
              </w:rPr>
              <w:t>有前款规定行为之一的，处二万元以上二十万元以下的罚款；有前款第二项、第四项、第五项、第七项规定行为之一，造成严重后果的，处二十万元以上二百万元以下的罚款。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未按年度规范报告有毒有害物质排放情况，或者未规范建立土壤污染隐患排查制度</w:t>
            </w:r>
          </w:p>
        </w:tc>
        <w:tc>
          <w:tcPr>
            <w:tcW w:w="2693" w:type="dxa"/>
            <w:vAlign w:val="center"/>
          </w:tcPr>
          <w:p>
            <w:pPr>
              <w:snapToGrid w:val="0"/>
              <w:jc w:val="center"/>
              <w:rPr>
                <w:rFonts w:ascii="Times New Roman" w:hAnsi="Times New Roman" w:eastAsia="隶书" w:cs="Times New Roman"/>
                <w:color w:val="000000"/>
                <w:highlight w:val="none"/>
              </w:rPr>
            </w:pPr>
            <w:r>
              <w:rPr>
                <w:rFonts w:ascii="Times New Roman" w:hAnsi="Times New Roman" w:eastAsia="隶书"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pStyle w:val="11"/>
              <w:snapToGrid w:val="0"/>
              <w:jc w:val="center"/>
              <w:rPr>
                <w:rFonts w:ascii="Times New Roman" w:hAnsi="Times New Roman" w:cs="Times New Roman"/>
                <w:color w:val="000000"/>
                <w:sz w:val="21"/>
                <w:szCs w:val="21"/>
                <w:highlight w:val="none"/>
              </w:rPr>
            </w:pPr>
          </w:p>
        </w:tc>
        <w:tc>
          <w:tcPr>
            <w:tcW w:w="5245"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按年度报告有毒有害物质排放情况，但是有缺漏项或者不准确的，或者建立土壤污染隐患排查制度，但不规范的</w:t>
            </w:r>
          </w:p>
        </w:tc>
        <w:tc>
          <w:tcPr>
            <w:tcW w:w="2693" w:type="dxa"/>
            <w:vAlign w:val="center"/>
          </w:tcPr>
          <w:p>
            <w:pPr>
              <w:snapToGrid w:val="0"/>
              <w:jc w:val="center"/>
              <w:rPr>
                <w:rFonts w:ascii="Times New Roman" w:hAnsi="Times New Roman" w:eastAsia="隶书" w:cs="Times New Roman"/>
                <w:color w:val="000000"/>
                <w:highlight w:val="none"/>
              </w:rPr>
            </w:pPr>
            <w:r>
              <w:rPr>
                <w:rFonts w:ascii="Times New Roman" w:hAnsi="Times New Roman" w:eastAsia="隶书"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未按年度报告有毒有害物质排放情况，或者未建立土壤污染隐患排查制度的</w:t>
            </w:r>
          </w:p>
        </w:tc>
        <w:tc>
          <w:tcPr>
            <w:tcW w:w="2693" w:type="dxa"/>
            <w:vAlign w:val="center"/>
          </w:tcPr>
          <w:p>
            <w:pPr>
              <w:snapToGrid w:val="0"/>
              <w:jc w:val="center"/>
              <w:rPr>
                <w:rFonts w:ascii="Times New Roman" w:hAnsi="Times New Roman" w:eastAsia="隶书" w:cs="Times New Roman"/>
                <w:color w:val="000000"/>
                <w:highlight w:val="none"/>
              </w:rPr>
            </w:pPr>
            <w:r>
              <w:rPr>
                <w:rFonts w:ascii="Times New Roman" w:hAnsi="Times New Roman" w:eastAsia="隶书"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持续时间</w:t>
            </w: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年以上，不满</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年的</w:t>
            </w:r>
          </w:p>
        </w:tc>
        <w:tc>
          <w:tcPr>
            <w:tcW w:w="2693" w:type="dxa"/>
            <w:vAlign w:val="center"/>
          </w:tcPr>
          <w:p>
            <w:pPr>
              <w:snapToGrid w:val="0"/>
              <w:jc w:val="center"/>
              <w:rPr>
                <w:rFonts w:ascii="Times New Roman" w:hAnsi="Times New Roman" w:eastAsia="隶书" w:cs="Times New Roman"/>
                <w:color w:val="000000"/>
                <w:highlight w:val="none"/>
              </w:rPr>
            </w:pPr>
            <w:r>
              <w:rPr>
                <w:rFonts w:ascii="Times New Roman" w:hAnsi="Times New Roman" w:eastAsia="隶书"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2</w:t>
            </w:r>
            <w:r>
              <w:rPr>
                <w:rFonts w:hint="eastAsia" w:ascii="Times New Roman" w:hAnsi="Times New Roman" w:eastAsia="仿宋_GB2312" w:cs="仿宋_GB2312"/>
                <w:color w:val="000000"/>
                <w:sz w:val="21"/>
                <w:szCs w:val="21"/>
                <w:highlight w:val="none"/>
              </w:rPr>
              <w:t>年以上，不满</w:t>
            </w:r>
            <w:r>
              <w:rPr>
                <w:rFonts w:ascii="Times New Roman" w:hAnsi="Times New Roman" w:eastAsia="仿宋_GB2312" w:cs="Times New Roman"/>
                <w:color w:val="000000"/>
                <w:sz w:val="21"/>
                <w:szCs w:val="21"/>
                <w:highlight w:val="none"/>
              </w:rPr>
              <w:t>3</w:t>
            </w:r>
            <w:r>
              <w:rPr>
                <w:rFonts w:hint="eastAsia" w:ascii="Times New Roman" w:hAnsi="Times New Roman" w:eastAsia="仿宋_GB2312" w:cs="仿宋_GB2312"/>
                <w:color w:val="000000"/>
                <w:sz w:val="21"/>
                <w:szCs w:val="21"/>
                <w:highlight w:val="none"/>
              </w:rPr>
              <w:t>年的</w:t>
            </w:r>
          </w:p>
        </w:tc>
        <w:tc>
          <w:tcPr>
            <w:tcW w:w="2693" w:type="dxa"/>
            <w:vAlign w:val="center"/>
          </w:tcPr>
          <w:p>
            <w:pPr>
              <w:snapToGrid w:val="0"/>
              <w:jc w:val="center"/>
              <w:rPr>
                <w:rFonts w:ascii="Times New Roman" w:hAnsi="Times New Roman" w:eastAsia="隶书" w:cs="Times New Roman"/>
                <w:color w:val="000000"/>
                <w:highlight w:val="none"/>
              </w:rPr>
            </w:pPr>
            <w:r>
              <w:rPr>
                <w:rFonts w:ascii="Times New Roman" w:hAnsi="Times New Roman" w:eastAsia="隶书"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3</w:t>
            </w:r>
            <w:r>
              <w:rPr>
                <w:rFonts w:hint="eastAsia" w:ascii="Times New Roman" w:hAnsi="Times New Roman" w:eastAsia="仿宋_GB2312" w:cs="仿宋_GB2312"/>
                <w:color w:val="000000"/>
                <w:sz w:val="21"/>
                <w:szCs w:val="21"/>
                <w:highlight w:val="none"/>
              </w:rPr>
              <w:t>年以上的</w:t>
            </w:r>
          </w:p>
        </w:tc>
        <w:tc>
          <w:tcPr>
            <w:tcW w:w="2693" w:type="dxa"/>
            <w:vAlign w:val="center"/>
          </w:tcPr>
          <w:p>
            <w:pPr>
              <w:snapToGrid w:val="0"/>
              <w:jc w:val="center"/>
              <w:rPr>
                <w:rFonts w:ascii="Times New Roman" w:hAnsi="Times New Roman" w:eastAsia="隶书" w:cs="Times New Roman"/>
                <w:color w:val="000000"/>
                <w:highlight w:val="none"/>
              </w:rPr>
            </w:pPr>
            <w:r>
              <w:rPr>
                <w:rFonts w:ascii="Times New Roman" w:hAnsi="Times New Roman" w:eastAsia="隶书"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宋体"/>
                <w:b/>
                <w:bCs/>
                <w:highlight w:val="none"/>
              </w:rPr>
            </w:pPr>
            <w:r>
              <w:rPr>
                <w:rFonts w:hint="eastAsia" w:ascii="Times New Roman" w:hAnsi="Times New Roman" w:cs="宋体"/>
                <w:b/>
                <w:bCs/>
                <w:highlight w:val="none"/>
              </w:rPr>
              <w:t>企业</w:t>
            </w:r>
            <w:r>
              <w:rPr>
                <w:rFonts w:ascii="Times New Roman" w:hAnsi="Times New Roman" w:cs="宋体"/>
                <w:b/>
                <w:bCs/>
                <w:highlight w:val="none"/>
              </w:rPr>
              <w:t>占地</w:t>
            </w:r>
          </w:p>
          <w:p>
            <w:pPr>
              <w:snapToGrid w:val="0"/>
              <w:jc w:val="center"/>
              <w:rPr>
                <w:rFonts w:ascii="Times New Roman" w:hAnsi="Times New Roman" w:cs="宋体"/>
                <w:b/>
                <w:bCs/>
                <w:highlight w:val="none"/>
              </w:rPr>
            </w:pPr>
            <w:r>
              <w:rPr>
                <w:rFonts w:ascii="Times New Roman" w:hAnsi="Times New Roman" w:cs="宋体"/>
                <w:b/>
                <w:bCs/>
                <w:highlight w:val="none"/>
              </w:rPr>
              <w:t>面积</w:t>
            </w:r>
          </w:p>
        </w:tc>
        <w:tc>
          <w:tcPr>
            <w:tcW w:w="5245" w:type="dxa"/>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500</w:t>
            </w:r>
            <w:r>
              <w:rPr>
                <w:rFonts w:ascii="Times New Roman" w:hAnsi="Times New Roman" w:eastAsia="仿宋_GB2312" w:cs="仿宋_GB2312"/>
                <w:highlight w:val="none"/>
              </w:rPr>
              <w:t>m</w:t>
            </w:r>
            <w:r>
              <w:rPr>
                <w:rFonts w:ascii="Times New Roman" w:hAnsi="Times New Roman" w:eastAsia="仿宋_GB2312" w:cs="仿宋_GB2312"/>
                <w:highlight w:val="none"/>
                <w:vertAlign w:val="superscript"/>
              </w:rPr>
              <w:t>2</w:t>
            </w:r>
            <w:r>
              <w:rPr>
                <w:rFonts w:hint="eastAsia" w:ascii="Times New Roman" w:hAnsi="Times New Roman" w:eastAsia="仿宋_GB2312" w:cs="仿宋_GB2312"/>
                <w:highlight w:val="none"/>
              </w:rPr>
              <w:t>以下</w:t>
            </w:r>
          </w:p>
        </w:tc>
        <w:tc>
          <w:tcPr>
            <w:tcW w:w="2693" w:type="dxa"/>
            <w:vAlign w:val="center"/>
          </w:tcPr>
          <w:p>
            <w:pPr>
              <w:snapToGrid w:val="0"/>
              <w:jc w:val="center"/>
              <w:rPr>
                <w:rFonts w:ascii="Times New Roman" w:hAnsi="Times New Roman" w:eastAsia="隶书" w:cs="Times New Roman"/>
                <w:highlight w:val="none"/>
              </w:rPr>
            </w:pPr>
            <w:r>
              <w:rPr>
                <w:rFonts w:hint="eastAsia" w:ascii="Times New Roman" w:hAnsi="Times New Roman" w:eastAsia="隶书"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宋体"/>
                <w:b/>
                <w:bCs/>
                <w:highlight w:val="none"/>
              </w:rPr>
            </w:pPr>
          </w:p>
        </w:tc>
        <w:tc>
          <w:tcPr>
            <w:tcW w:w="5245" w:type="dxa"/>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500</w:t>
            </w:r>
            <w:r>
              <w:rPr>
                <w:rFonts w:ascii="Times New Roman" w:hAnsi="Times New Roman" w:eastAsia="仿宋_GB2312" w:cs="仿宋_GB2312"/>
                <w:highlight w:val="none"/>
              </w:rPr>
              <w:t>m</w:t>
            </w:r>
            <w:r>
              <w:rPr>
                <w:rFonts w:ascii="Times New Roman" w:hAnsi="Times New Roman" w:eastAsia="仿宋_GB2312" w:cs="仿宋_GB2312"/>
                <w:highlight w:val="none"/>
                <w:vertAlign w:val="superscript"/>
              </w:rPr>
              <w:t>2</w:t>
            </w:r>
            <w:r>
              <w:rPr>
                <w:rFonts w:hint="eastAsia" w:ascii="Times New Roman" w:hAnsi="Times New Roman" w:eastAsia="仿宋_GB2312" w:cs="仿宋_GB2312"/>
                <w:highlight w:val="none"/>
              </w:rPr>
              <w:t>以上500</w:t>
            </w:r>
            <w:r>
              <w:rPr>
                <w:rFonts w:ascii="Times New Roman" w:hAnsi="Times New Roman" w:eastAsia="仿宋_GB2312" w:cs="仿宋_GB2312"/>
                <w:highlight w:val="none"/>
              </w:rPr>
              <w:t>0m</w:t>
            </w:r>
            <w:r>
              <w:rPr>
                <w:rFonts w:ascii="Times New Roman" w:hAnsi="Times New Roman" w:eastAsia="仿宋_GB2312" w:cs="仿宋_GB2312"/>
                <w:highlight w:val="none"/>
                <w:vertAlign w:val="superscript"/>
              </w:rPr>
              <w:t>2</w:t>
            </w:r>
            <w:r>
              <w:rPr>
                <w:rFonts w:hint="eastAsia" w:ascii="Times New Roman" w:hAnsi="Times New Roman" w:eastAsia="仿宋_GB2312" w:cs="仿宋_GB2312"/>
                <w:highlight w:val="none"/>
              </w:rPr>
              <w:t>以下</w:t>
            </w:r>
          </w:p>
        </w:tc>
        <w:tc>
          <w:tcPr>
            <w:tcW w:w="2693" w:type="dxa"/>
            <w:vAlign w:val="center"/>
          </w:tcPr>
          <w:p>
            <w:pPr>
              <w:snapToGrid w:val="0"/>
              <w:jc w:val="center"/>
              <w:rPr>
                <w:rFonts w:ascii="Times New Roman" w:hAnsi="Times New Roman" w:eastAsia="隶书" w:cs="Times New Roman"/>
                <w:highlight w:val="none"/>
              </w:rPr>
            </w:pPr>
            <w:r>
              <w:rPr>
                <w:rFonts w:hint="eastAsia" w:ascii="Times New Roman" w:hAnsi="Times New Roman" w:eastAsia="隶书"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宋体"/>
                <w:b/>
                <w:bCs/>
                <w:highlight w:val="none"/>
              </w:rPr>
            </w:pPr>
          </w:p>
        </w:tc>
        <w:tc>
          <w:tcPr>
            <w:tcW w:w="5245" w:type="dxa"/>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500</w:t>
            </w:r>
            <w:r>
              <w:rPr>
                <w:rFonts w:ascii="Times New Roman" w:hAnsi="Times New Roman" w:eastAsia="仿宋_GB2312" w:cs="仿宋_GB2312"/>
                <w:highlight w:val="none"/>
              </w:rPr>
              <w:t>0m</w:t>
            </w:r>
            <w:r>
              <w:rPr>
                <w:rFonts w:ascii="Times New Roman" w:hAnsi="Times New Roman" w:eastAsia="仿宋_GB2312" w:cs="仿宋_GB2312"/>
                <w:highlight w:val="none"/>
                <w:vertAlign w:val="superscript"/>
              </w:rPr>
              <w:t>2</w:t>
            </w:r>
            <w:r>
              <w:rPr>
                <w:rFonts w:hint="eastAsia" w:ascii="Times New Roman" w:hAnsi="Times New Roman" w:eastAsia="仿宋_GB2312" w:cs="仿宋_GB2312"/>
                <w:highlight w:val="none"/>
              </w:rPr>
              <w:t>以上</w:t>
            </w:r>
            <w:r>
              <w:rPr>
                <w:rFonts w:ascii="Times New Roman" w:hAnsi="Times New Roman" w:eastAsia="仿宋_GB2312" w:cs="仿宋_GB2312"/>
                <w:highlight w:val="none"/>
              </w:rPr>
              <w:t>10</w:t>
            </w:r>
            <w:r>
              <w:rPr>
                <w:rFonts w:hint="eastAsia" w:ascii="Times New Roman" w:hAnsi="Times New Roman" w:eastAsia="仿宋_GB2312" w:cs="仿宋_GB2312"/>
                <w:highlight w:val="none"/>
              </w:rPr>
              <w:t>00</w:t>
            </w:r>
            <w:r>
              <w:rPr>
                <w:rFonts w:ascii="Times New Roman" w:hAnsi="Times New Roman" w:eastAsia="仿宋_GB2312" w:cs="仿宋_GB2312"/>
                <w:highlight w:val="none"/>
              </w:rPr>
              <w:t>0m</w:t>
            </w:r>
            <w:r>
              <w:rPr>
                <w:rFonts w:ascii="Times New Roman" w:hAnsi="Times New Roman" w:eastAsia="仿宋_GB2312" w:cs="仿宋_GB2312"/>
                <w:highlight w:val="none"/>
                <w:vertAlign w:val="superscript"/>
              </w:rPr>
              <w:t>2</w:t>
            </w:r>
            <w:r>
              <w:rPr>
                <w:rFonts w:hint="eastAsia" w:ascii="Times New Roman" w:hAnsi="Times New Roman" w:eastAsia="仿宋_GB2312" w:cs="仿宋_GB2312"/>
                <w:highlight w:val="none"/>
              </w:rPr>
              <w:t>以下</w:t>
            </w:r>
          </w:p>
        </w:tc>
        <w:tc>
          <w:tcPr>
            <w:tcW w:w="2693" w:type="dxa"/>
            <w:vAlign w:val="center"/>
          </w:tcPr>
          <w:p>
            <w:pPr>
              <w:snapToGrid w:val="0"/>
              <w:jc w:val="center"/>
              <w:rPr>
                <w:rFonts w:ascii="Times New Roman" w:hAnsi="Times New Roman" w:eastAsia="隶书" w:cs="Times New Roman"/>
                <w:highlight w:val="none"/>
              </w:rPr>
            </w:pPr>
            <w:r>
              <w:rPr>
                <w:rFonts w:hint="eastAsia" w:ascii="Times New Roman" w:hAnsi="Times New Roman" w:eastAsia="隶书"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宋体"/>
                <w:b/>
                <w:bCs/>
                <w:highlight w:val="none"/>
              </w:rPr>
            </w:pPr>
          </w:p>
        </w:tc>
        <w:tc>
          <w:tcPr>
            <w:tcW w:w="5245" w:type="dxa"/>
            <w:vAlign w:val="center"/>
          </w:tcPr>
          <w:p>
            <w:pPr>
              <w:snapToGrid w:val="0"/>
              <w:jc w:val="center"/>
              <w:rPr>
                <w:rFonts w:ascii="Times New Roman" w:hAnsi="Times New Roman" w:eastAsia="仿宋_GB2312" w:cs="仿宋_GB2312"/>
                <w:highlight w:val="none"/>
              </w:rPr>
            </w:pPr>
            <w:r>
              <w:rPr>
                <w:rFonts w:ascii="Times New Roman" w:hAnsi="Times New Roman" w:eastAsia="仿宋_GB2312" w:cs="仿宋_GB2312"/>
                <w:highlight w:val="none"/>
              </w:rPr>
              <w:t>10</w:t>
            </w:r>
            <w:r>
              <w:rPr>
                <w:rFonts w:hint="eastAsia" w:ascii="Times New Roman" w:hAnsi="Times New Roman" w:eastAsia="仿宋_GB2312" w:cs="仿宋_GB2312"/>
                <w:highlight w:val="none"/>
              </w:rPr>
              <w:t>00</w:t>
            </w:r>
            <w:r>
              <w:rPr>
                <w:rFonts w:ascii="Times New Roman" w:hAnsi="Times New Roman" w:eastAsia="仿宋_GB2312" w:cs="仿宋_GB2312"/>
                <w:highlight w:val="none"/>
              </w:rPr>
              <w:t>0m</w:t>
            </w:r>
            <w:r>
              <w:rPr>
                <w:rFonts w:ascii="Times New Roman" w:hAnsi="Times New Roman" w:eastAsia="仿宋_GB2312" w:cs="仿宋_GB2312"/>
                <w:highlight w:val="none"/>
                <w:vertAlign w:val="superscript"/>
              </w:rPr>
              <w:t>2</w:t>
            </w:r>
            <w:r>
              <w:rPr>
                <w:rFonts w:hint="eastAsia" w:ascii="Times New Roman" w:hAnsi="Times New Roman" w:eastAsia="仿宋_GB2312" w:cs="仿宋_GB2312"/>
                <w:highlight w:val="none"/>
              </w:rPr>
              <w:t>以上</w:t>
            </w:r>
            <w:r>
              <w:rPr>
                <w:rFonts w:ascii="Times New Roman" w:hAnsi="Times New Roman" w:eastAsia="仿宋_GB2312" w:cs="仿宋_GB2312"/>
                <w:highlight w:val="none"/>
              </w:rPr>
              <w:t>20</w:t>
            </w:r>
            <w:r>
              <w:rPr>
                <w:rFonts w:hint="eastAsia" w:ascii="Times New Roman" w:hAnsi="Times New Roman" w:eastAsia="仿宋_GB2312" w:cs="仿宋_GB2312"/>
                <w:highlight w:val="none"/>
              </w:rPr>
              <w:t>00</w:t>
            </w:r>
            <w:r>
              <w:rPr>
                <w:rFonts w:ascii="Times New Roman" w:hAnsi="Times New Roman" w:eastAsia="仿宋_GB2312" w:cs="仿宋_GB2312"/>
                <w:highlight w:val="none"/>
              </w:rPr>
              <w:t>0m</w:t>
            </w:r>
            <w:r>
              <w:rPr>
                <w:rFonts w:ascii="Times New Roman" w:hAnsi="Times New Roman" w:eastAsia="仿宋_GB2312" w:cs="仿宋_GB2312"/>
                <w:highlight w:val="none"/>
                <w:vertAlign w:val="superscript"/>
              </w:rPr>
              <w:t>2</w:t>
            </w:r>
            <w:r>
              <w:rPr>
                <w:rFonts w:hint="eastAsia" w:ascii="Times New Roman" w:hAnsi="Times New Roman" w:eastAsia="仿宋_GB2312" w:cs="仿宋_GB2312"/>
                <w:highlight w:val="none"/>
              </w:rPr>
              <w:t>以下</w:t>
            </w:r>
          </w:p>
        </w:tc>
        <w:tc>
          <w:tcPr>
            <w:tcW w:w="2693" w:type="dxa"/>
            <w:vAlign w:val="center"/>
          </w:tcPr>
          <w:p>
            <w:pPr>
              <w:snapToGrid w:val="0"/>
              <w:jc w:val="center"/>
              <w:rPr>
                <w:rFonts w:ascii="Times New Roman" w:hAnsi="Times New Roman" w:eastAsia="隶书" w:cs="Times New Roman"/>
                <w:highlight w:val="none"/>
              </w:rPr>
            </w:pPr>
            <w:r>
              <w:rPr>
                <w:rFonts w:hint="eastAsia" w:ascii="Times New Roman" w:hAnsi="Times New Roman" w:eastAsia="隶书"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宋体"/>
                <w:b/>
                <w:bCs/>
                <w:highlight w:val="none"/>
              </w:rPr>
            </w:pPr>
          </w:p>
        </w:tc>
        <w:tc>
          <w:tcPr>
            <w:tcW w:w="5245" w:type="dxa"/>
            <w:vAlign w:val="center"/>
          </w:tcPr>
          <w:p>
            <w:pPr>
              <w:snapToGrid w:val="0"/>
              <w:jc w:val="center"/>
              <w:rPr>
                <w:rFonts w:ascii="Times New Roman" w:hAnsi="Times New Roman" w:eastAsia="仿宋_GB2312" w:cs="仿宋_GB2312"/>
                <w:highlight w:val="none"/>
              </w:rPr>
            </w:pPr>
            <w:r>
              <w:rPr>
                <w:rFonts w:ascii="Times New Roman" w:hAnsi="Times New Roman" w:eastAsia="仿宋_GB2312" w:cs="仿宋_GB2312"/>
                <w:highlight w:val="none"/>
              </w:rPr>
              <w:t>20</w:t>
            </w:r>
            <w:r>
              <w:rPr>
                <w:rFonts w:hint="eastAsia" w:ascii="Times New Roman" w:hAnsi="Times New Roman" w:eastAsia="仿宋_GB2312" w:cs="仿宋_GB2312"/>
                <w:highlight w:val="none"/>
              </w:rPr>
              <w:t>00</w:t>
            </w:r>
            <w:r>
              <w:rPr>
                <w:rFonts w:ascii="Times New Roman" w:hAnsi="Times New Roman" w:eastAsia="仿宋_GB2312" w:cs="仿宋_GB2312"/>
                <w:highlight w:val="none"/>
              </w:rPr>
              <w:t>0m</w:t>
            </w:r>
            <w:r>
              <w:rPr>
                <w:rFonts w:ascii="Times New Roman" w:hAnsi="Times New Roman" w:eastAsia="仿宋_GB2312" w:cs="仿宋_GB2312"/>
                <w:highlight w:val="none"/>
                <w:vertAlign w:val="superscript"/>
              </w:rPr>
              <w:t>2</w:t>
            </w:r>
            <w:r>
              <w:rPr>
                <w:rFonts w:hint="eastAsia" w:ascii="Times New Roman" w:hAnsi="Times New Roman" w:eastAsia="仿宋_GB2312" w:cs="仿宋_GB2312"/>
                <w:highlight w:val="none"/>
              </w:rPr>
              <w:t>以上</w:t>
            </w:r>
          </w:p>
        </w:tc>
        <w:tc>
          <w:tcPr>
            <w:tcW w:w="2693" w:type="dxa"/>
            <w:vAlign w:val="center"/>
          </w:tcPr>
          <w:p>
            <w:pPr>
              <w:snapToGrid w:val="0"/>
              <w:jc w:val="center"/>
              <w:rPr>
                <w:rFonts w:ascii="Times New Roman" w:hAnsi="Times New Roman" w:eastAsia="隶书" w:cs="Times New Roman"/>
                <w:highlight w:val="none"/>
              </w:rPr>
            </w:pPr>
            <w:r>
              <w:rPr>
                <w:rFonts w:hint="eastAsia" w:ascii="Times New Roman" w:hAnsi="Times New Roman" w:eastAsia="隶书"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cs="Times New Roman"/>
                <w:highlight w:val="none"/>
              </w:rPr>
            </w:pPr>
          </w:p>
        </w:tc>
      </w:tr>
    </w:tbl>
    <w:p>
      <w:pPr>
        <w:widowControl/>
        <w:snapToGrid w:val="0"/>
        <w:jc w:val="left"/>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639"/>
        <w:gridCol w:w="2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（五）土壤污染防治类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tcPr>
          <w:p>
            <w:pPr>
              <w:snapToGrid w:val="0"/>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拆除设施、设备或者建筑物、构筑物，企业事业单位未采取相应的土壤污染防治措施或者土壤污染重点监管单位未制定、实施土壤污染防治工作方案的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2"/>
              <w:snapToGrid w:val="0"/>
              <w:spacing w:before="62" w:beforeLines="20" w:beforeAutospacing="0" w:after="0" w:afterAutospacing="0"/>
              <w:ind w:firstLine="420"/>
              <w:jc w:val="both"/>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《中华人民共和国土壤污染防治法》第二十二条</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企业事业单位拆除设施、设备或者建筑物、构筑物的，应当采取相应的土壤污染防治措施。</w:t>
            </w:r>
          </w:p>
          <w:p>
            <w:pPr>
              <w:pStyle w:val="12"/>
              <w:snapToGrid w:val="0"/>
              <w:spacing w:before="0" w:beforeAutospacing="0" w:after="0" w:afterAutospacing="0"/>
              <w:ind w:firstLine="420"/>
              <w:jc w:val="both"/>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土壤污染重点监管单位拆除设施、设备或者建筑物、构筑物的，应当制定包括应急措施在内的土壤污染防治工作方案，报地方人民政府生态环境、工业和信息化主管部门备案并实施。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snapToGrid w:val="0"/>
              <w:spacing w:before="62" w:beforeLines="20"/>
              <w:ind w:firstLine="42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《中华人民共和国土壤污染防治法》第八十六条第一款第（四）项、第二款</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违反本法规定，有下列行为之一的，由地方人民政府生态环境主管部门或者其他负有土壤污染防治监督管理职责的部门责令改正，处以罚款；拒不改正的，责令停产整治：</w:t>
            </w:r>
          </w:p>
          <w:p>
            <w:pPr>
              <w:snapToGrid w:val="0"/>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（四）拆除设施、设备或者建筑物、构筑物，企业事业单位未采取相应的土壤污染防治措施或者土壤污染重点监管单位未制定、实施土壤污染防治工作方案的。</w:t>
            </w:r>
            <w:r>
              <w:rPr>
                <w:rFonts w:ascii="Times New Roman" w:hAnsi="Times New Roman" w:eastAsia="仿宋_GB2312" w:cs="Times New Roman"/>
                <w:highlight w:val="none"/>
              </w:rPr>
              <w:t xml:space="preserve"> </w:t>
            </w:r>
          </w:p>
          <w:p>
            <w:pPr>
              <w:snapToGrid w:val="0"/>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有前款规定行为之一的，处二万元以上二十万元以下的罚款；有前款第二项、第四项、第五项、第七项规定行为之一，造成严重后果的，处二十万元以上二百万元以下的罚款。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63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29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宋体"/>
                <w:b/>
                <w:bCs/>
                <w:color w:val="000000"/>
                <w:highlight w:val="none"/>
              </w:rPr>
            </w:pPr>
            <w:r>
              <w:rPr>
                <w:rFonts w:hint="eastAsia" w:ascii="Times New Roman" w:hAnsi="Times New Roman" w:cs="宋体"/>
                <w:b/>
                <w:bCs/>
                <w:color w:val="000000"/>
                <w:highlight w:val="none"/>
              </w:rPr>
              <w:t>违法事实★</w:t>
            </w:r>
          </w:p>
        </w:tc>
        <w:tc>
          <w:tcPr>
            <w:tcW w:w="5639" w:type="dxa"/>
            <w:vAlign w:val="center"/>
          </w:tcPr>
          <w:p>
            <w:pPr>
              <w:pStyle w:val="11"/>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土壤</w:t>
            </w:r>
            <w:r>
              <w:rPr>
                <w:rFonts w:ascii="Times New Roman" w:hAnsi="Times New Roman" w:eastAsia="仿宋_GB2312" w:cs="仿宋_GB2312"/>
                <w:sz w:val="21"/>
                <w:szCs w:val="21"/>
                <w:highlight w:val="none"/>
              </w:rPr>
              <w:t>污染重点监管单位</w:t>
            </w:r>
            <w:r>
              <w:rPr>
                <w:rFonts w:hint="eastAsia" w:ascii="Times New Roman" w:hAnsi="Times New Roman" w:eastAsia="仿宋_GB2312" w:cs="仿宋_GB2312"/>
                <w:sz w:val="21"/>
                <w:szCs w:val="21"/>
                <w:highlight w:val="none"/>
              </w:rPr>
              <w:t>拆除工作已开始，未制定土壤污染防治工作方案，但是采取了相应的土壤污染防治措施的</w:t>
            </w:r>
          </w:p>
        </w:tc>
        <w:tc>
          <w:tcPr>
            <w:tcW w:w="229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39" w:type="dxa"/>
            <w:vAlign w:val="center"/>
          </w:tcPr>
          <w:p>
            <w:pPr>
              <w:pStyle w:val="11"/>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企业事业单位拆除设施、设备或者建筑物、构筑物， 未</w:t>
            </w:r>
            <w:r>
              <w:rPr>
                <w:rFonts w:ascii="Times New Roman" w:hAnsi="Times New Roman" w:eastAsia="仿宋_GB2312" w:cs="仿宋_GB2312"/>
                <w:sz w:val="21"/>
                <w:szCs w:val="21"/>
                <w:highlight w:val="none"/>
              </w:rPr>
              <w:t>采取相应的土壤污染防治措施或土壤污染重点监管单位</w:t>
            </w:r>
            <w:r>
              <w:rPr>
                <w:rFonts w:hint="eastAsia" w:ascii="Times New Roman" w:hAnsi="Times New Roman" w:eastAsia="仿宋_GB2312" w:cs="仿宋_GB2312"/>
                <w:sz w:val="21"/>
                <w:szCs w:val="21"/>
                <w:highlight w:val="none"/>
              </w:rPr>
              <w:t>设施、设备或者建筑物、构筑物拆除工作尚未完成，未按照工作方案规定规范采取相应的土壤污染防治措施的</w:t>
            </w:r>
          </w:p>
        </w:tc>
        <w:tc>
          <w:tcPr>
            <w:tcW w:w="229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39" w:type="dxa"/>
            <w:vAlign w:val="center"/>
          </w:tcPr>
          <w:p>
            <w:pPr>
              <w:pStyle w:val="11"/>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土壤</w:t>
            </w:r>
            <w:r>
              <w:rPr>
                <w:rFonts w:ascii="Times New Roman" w:hAnsi="Times New Roman" w:eastAsia="仿宋_GB2312" w:cs="仿宋_GB2312"/>
                <w:sz w:val="21"/>
                <w:szCs w:val="21"/>
                <w:highlight w:val="none"/>
              </w:rPr>
              <w:t>污染重点监管单位</w:t>
            </w:r>
            <w:r>
              <w:rPr>
                <w:rFonts w:hint="eastAsia" w:ascii="Times New Roman" w:hAnsi="Times New Roman" w:eastAsia="仿宋_GB2312" w:cs="仿宋_GB2312"/>
                <w:sz w:val="21"/>
                <w:szCs w:val="21"/>
                <w:highlight w:val="none"/>
              </w:rPr>
              <w:t>设施、设备或者建筑物、构筑物拆除工作尚未完成，未采取相应的土壤污染防治措施的</w:t>
            </w:r>
          </w:p>
        </w:tc>
        <w:tc>
          <w:tcPr>
            <w:tcW w:w="229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39" w:type="dxa"/>
            <w:vAlign w:val="center"/>
          </w:tcPr>
          <w:p>
            <w:pPr>
              <w:pStyle w:val="11"/>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土壤</w:t>
            </w:r>
            <w:r>
              <w:rPr>
                <w:rFonts w:ascii="Times New Roman" w:hAnsi="Times New Roman" w:eastAsia="仿宋_GB2312" w:cs="仿宋_GB2312"/>
                <w:sz w:val="21"/>
                <w:szCs w:val="21"/>
                <w:highlight w:val="none"/>
              </w:rPr>
              <w:t>污染重点监管单位</w:t>
            </w:r>
            <w:r>
              <w:rPr>
                <w:rFonts w:hint="eastAsia" w:ascii="Times New Roman" w:hAnsi="Times New Roman" w:eastAsia="仿宋_GB2312" w:cs="仿宋_GB2312"/>
                <w:sz w:val="21"/>
                <w:szCs w:val="21"/>
                <w:highlight w:val="none"/>
              </w:rPr>
              <w:t>拆除工作已完成，未按照工作方案规定规范采取相应的土壤污染防治措施的</w:t>
            </w:r>
          </w:p>
        </w:tc>
        <w:tc>
          <w:tcPr>
            <w:tcW w:w="229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3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土壤</w:t>
            </w:r>
            <w:r>
              <w:rPr>
                <w:rFonts w:ascii="Times New Roman" w:hAnsi="Times New Roman" w:eastAsia="仿宋_GB2312" w:cs="仿宋_GB2312"/>
                <w:highlight w:val="none"/>
              </w:rPr>
              <w:t>污染重点监管单位</w:t>
            </w:r>
            <w:r>
              <w:rPr>
                <w:rFonts w:hint="eastAsia" w:ascii="Times New Roman" w:hAnsi="Times New Roman" w:eastAsia="仿宋_GB2312" w:cs="仿宋_GB2312"/>
                <w:highlight w:val="none"/>
              </w:rPr>
              <w:t>拆除工作已完成，未采取相应的土壤污染防治措施的</w:t>
            </w:r>
          </w:p>
        </w:tc>
        <w:tc>
          <w:tcPr>
            <w:tcW w:w="229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拆除建筑</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面积</w:t>
            </w:r>
          </w:p>
        </w:tc>
        <w:tc>
          <w:tcPr>
            <w:tcW w:w="5639" w:type="dxa"/>
            <w:vAlign w:val="center"/>
          </w:tcPr>
          <w:p>
            <w:pPr>
              <w:pStyle w:val="11"/>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500m</w:t>
            </w:r>
            <w:r>
              <w:rPr>
                <w:rFonts w:ascii="Times New Roman" w:hAnsi="Times New Roman" w:eastAsia="仿宋_GB2312" w:cs="Times New Roman"/>
                <w:sz w:val="21"/>
                <w:szCs w:val="21"/>
                <w:highlight w:val="none"/>
                <w:vertAlign w:val="superscript"/>
              </w:rPr>
              <w:t>2</w:t>
            </w:r>
            <w:r>
              <w:rPr>
                <w:rFonts w:hint="eastAsia" w:ascii="Times New Roman" w:hAnsi="Times New Roman" w:eastAsia="仿宋_GB2312" w:cs="仿宋_GB2312"/>
                <w:sz w:val="21"/>
                <w:szCs w:val="21"/>
                <w:highlight w:val="none"/>
              </w:rPr>
              <w:t>以下</w:t>
            </w:r>
          </w:p>
        </w:tc>
        <w:tc>
          <w:tcPr>
            <w:tcW w:w="229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39" w:type="dxa"/>
            <w:vAlign w:val="center"/>
          </w:tcPr>
          <w:p>
            <w:pPr>
              <w:pStyle w:val="11"/>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500m</w:t>
            </w:r>
            <w:r>
              <w:rPr>
                <w:rFonts w:ascii="Times New Roman" w:hAnsi="Times New Roman" w:eastAsia="仿宋_GB2312" w:cs="Times New Roman"/>
                <w:sz w:val="21"/>
                <w:szCs w:val="21"/>
                <w:highlight w:val="none"/>
                <w:vertAlign w:val="superscript"/>
              </w:rPr>
              <w:t>2</w:t>
            </w:r>
            <w:r>
              <w:rPr>
                <w:rFonts w:hint="eastAsia" w:ascii="Times New Roman" w:hAnsi="Times New Roman" w:eastAsia="仿宋_GB2312" w:cs="仿宋_GB2312"/>
                <w:sz w:val="21"/>
                <w:szCs w:val="21"/>
                <w:highlight w:val="none"/>
              </w:rPr>
              <w:t>以上</w:t>
            </w:r>
            <w:r>
              <w:rPr>
                <w:rFonts w:ascii="Times New Roman" w:hAnsi="Times New Roman" w:eastAsia="仿宋_GB2312" w:cs="Times New Roman"/>
                <w:sz w:val="21"/>
                <w:szCs w:val="21"/>
                <w:highlight w:val="none"/>
              </w:rPr>
              <w:t>5000m</w:t>
            </w:r>
            <w:r>
              <w:rPr>
                <w:rFonts w:ascii="Times New Roman" w:hAnsi="Times New Roman" w:eastAsia="仿宋_GB2312" w:cs="Times New Roman"/>
                <w:sz w:val="21"/>
                <w:szCs w:val="21"/>
                <w:highlight w:val="none"/>
                <w:vertAlign w:val="superscript"/>
              </w:rPr>
              <w:t>2</w:t>
            </w:r>
            <w:r>
              <w:rPr>
                <w:rFonts w:hint="eastAsia" w:ascii="Times New Roman" w:hAnsi="Times New Roman" w:eastAsia="仿宋_GB2312" w:cs="仿宋_GB2312"/>
                <w:sz w:val="21"/>
                <w:szCs w:val="21"/>
                <w:highlight w:val="none"/>
              </w:rPr>
              <w:t>以下</w:t>
            </w:r>
          </w:p>
        </w:tc>
        <w:tc>
          <w:tcPr>
            <w:tcW w:w="229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3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5000m</w:t>
            </w:r>
            <w:r>
              <w:rPr>
                <w:rFonts w:ascii="Times New Roman" w:hAnsi="Times New Roman" w:eastAsia="仿宋_GB2312" w:cs="Times New Roman"/>
                <w:highlight w:val="none"/>
                <w:vertAlign w:val="superscript"/>
              </w:rPr>
              <w:t>2</w:t>
            </w:r>
            <w:r>
              <w:rPr>
                <w:rFonts w:hint="eastAsia" w:ascii="Times New Roman" w:hAnsi="Times New Roman" w:eastAsia="仿宋_GB2312" w:cs="仿宋_GB2312"/>
                <w:highlight w:val="none"/>
              </w:rPr>
              <w:t>以上</w:t>
            </w:r>
            <w:r>
              <w:rPr>
                <w:rFonts w:ascii="Times New Roman" w:hAnsi="Times New Roman" w:eastAsia="仿宋_GB2312" w:cs="Times New Roman"/>
                <w:highlight w:val="none"/>
              </w:rPr>
              <w:t>10000m</w:t>
            </w:r>
            <w:r>
              <w:rPr>
                <w:rFonts w:ascii="Times New Roman" w:hAnsi="Times New Roman" w:eastAsia="仿宋_GB2312" w:cs="Times New Roman"/>
                <w:highlight w:val="none"/>
                <w:vertAlign w:val="superscript"/>
              </w:rPr>
              <w:t>2</w:t>
            </w:r>
            <w:r>
              <w:rPr>
                <w:rFonts w:hint="eastAsia" w:ascii="Times New Roman" w:hAnsi="Times New Roman" w:eastAsia="仿宋_GB2312" w:cs="仿宋_GB2312"/>
                <w:highlight w:val="none"/>
              </w:rPr>
              <w:t>以下</w:t>
            </w:r>
          </w:p>
        </w:tc>
        <w:tc>
          <w:tcPr>
            <w:tcW w:w="229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39" w:type="dxa"/>
            <w:vAlign w:val="center"/>
          </w:tcPr>
          <w:p>
            <w:pPr>
              <w:pStyle w:val="11"/>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10000m</w:t>
            </w:r>
            <w:r>
              <w:rPr>
                <w:rFonts w:ascii="Times New Roman" w:hAnsi="Times New Roman" w:eastAsia="仿宋_GB2312" w:cs="Times New Roman"/>
                <w:sz w:val="21"/>
                <w:szCs w:val="21"/>
                <w:highlight w:val="none"/>
                <w:vertAlign w:val="superscript"/>
              </w:rPr>
              <w:t>2</w:t>
            </w:r>
            <w:r>
              <w:rPr>
                <w:rFonts w:hint="eastAsia" w:ascii="Times New Roman" w:hAnsi="Times New Roman" w:eastAsia="仿宋_GB2312" w:cs="仿宋_GB2312"/>
                <w:sz w:val="21"/>
                <w:szCs w:val="21"/>
                <w:highlight w:val="none"/>
              </w:rPr>
              <w:t>以上</w:t>
            </w:r>
            <w:r>
              <w:rPr>
                <w:rFonts w:ascii="Times New Roman" w:hAnsi="Times New Roman" w:eastAsia="仿宋_GB2312" w:cs="Times New Roman"/>
                <w:sz w:val="21"/>
                <w:szCs w:val="21"/>
                <w:highlight w:val="none"/>
              </w:rPr>
              <w:t>20000m</w:t>
            </w:r>
            <w:r>
              <w:rPr>
                <w:rFonts w:ascii="Times New Roman" w:hAnsi="Times New Roman" w:eastAsia="仿宋_GB2312" w:cs="Times New Roman"/>
                <w:sz w:val="21"/>
                <w:szCs w:val="21"/>
                <w:highlight w:val="none"/>
                <w:vertAlign w:val="superscript"/>
              </w:rPr>
              <w:t>2</w:t>
            </w:r>
            <w:r>
              <w:rPr>
                <w:rFonts w:hint="eastAsia" w:ascii="Times New Roman" w:hAnsi="Times New Roman" w:eastAsia="仿宋_GB2312" w:cs="仿宋_GB2312"/>
                <w:sz w:val="21"/>
                <w:szCs w:val="21"/>
                <w:highlight w:val="none"/>
              </w:rPr>
              <w:t>以下</w:t>
            </w:r>
          </w:p>
        </w:tc>
        <w:tc>
          <w:tcPr>
            <w:tcW w:w="229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39" w:type="dxa"/>
            <w:vAlign w:val="center"/>
          </w:tcPr>
          <w:p>
            <w:pPr>
              <w:pStyle w:val="11"/>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20000m</w:t>
            </w:r>
            <w:r>
              <w:rPr>
                <w:rFonts w:ascii="Times New Roman" w:hAnsi="Times New Roman" w:eastAsia="仿宋_GB2312" w:cs="Times New Roman"/>
                <w:sz w:val="21"/>
                <w:szCs w:val="21"/>
                <w:highlight w:val="none"/>
                <w:vertAlign w:val="superscript"/>
              </w:rPr>
              <w:t>2</w:t>
            </w:r>
            <w:r>
              <w:rPr>
                <w:rFonts w:hint="eastAsia" w:ascii="Times New Roman" w:hAnsi="Times New Roman" w:eastAsia="仿宋_GB2312" w:cs="仿宋_GB2312"/>
                <w:sz w:val="21"/>
                <w:szCs w:val="21"/>
                <w:highlight w:val="none"/>
              </w:rPr>
              <w:t>以上</w:t>
            </w:r>
          </w:p>
        </w:tc>
        <w:tc>
          <w:tcPr>
            <w:tcW w:w="229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cs="Times New Roman"/>
          <w:sz w:val="10"/>
          <w:szCs w:val="10"/>
          <w:highlight w:val="none"/>
        </w:rPr>
      </w:pPr>
    </w:p>
    <w:p>
      <w:pPr>
        <w:widowControl/>
        <w:snapToGrid w:val="0"/>
        <w:jc w:val="left"/>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（五）土壤污染防治类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ind w:firstLine="42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尾矿库运营、管理单位未按照规定采取措施防止土壤污染的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2"/>
              <w:snapToGrid w:val="0"/>
              <w:spacing w:before="0" w:beforeAutospacing="0" w:after="0" w:afterAutospacing="0"/>
              <w:ind w:firstLine="420"/>
              <w:rPr>
                <w:rFonts w:ascii="Times New Roman" w:hAnsi="Times New Roman" w:eastAsia="仿宋_GB2312" w:cs="Times New Roman"/>
                <w:kern w:val="2"/>
                <w:sz w:val="21"/>
                <w:szCs w:val="21"/>
                <w:highlight w:val="none"/>
              </w:rPr>
            </w:pPr>
            <w:r>
              <w:rPr>
                <w:rFonts w:ascii="Times New Roman" w:hAnsi="Times New Roman" w:eastAsia="仿宋_GB2312" w:cs="Times New Roman"/>
                <w:b/>
                <w:bCs/>
                <w:kern w:val="2"/>
                <w:sz w:val="21"/>
                <w:szCs w:val="21"/>
                <w:highlight w:val="none"/>
              </w:rPr>
              <w:t>1.</w:t>
            </w:r>
            <w:r>
              <w:rPr>
                <w:rFonts w:hint="eastAsia" w:ascii="Times New Roman" w:hAnsi="Times New Roman" w:eastAsia="仿宋_GB2312" w:cs="仿宋_GB2312"/>
                <w:b/>
                <w:bCs/>
                <w:kern w:val="2"/>
                <w:sz w:val="21"/>
                <w:szCs w:val="21"/>
                <w:highlight w:val="none"/>
              </w:rPr>
              <w:t>《中华人民共和国土壤污染防治法》第二十三条第二款</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尾矿库运营、管理单位应当按照规定，加强尾矿库的安全管理，采取措施防止土壤污染。危库、险库、病库以及其他需要重点监管的尾矿库的运营、管理单位应当按照规定，进行土壤污染状况监测和定期评估。</w:t>
            </w:r>
          </w:p>
          <w:p>
            <w:pPr>
              <w:pStyle w:val="12"/>
              <w:snapToGrid w:val="0"/>
              <w:spacing w:before="0" w:beforeAutospacing="0" w:after="0" w:afterAutospacing="0"/>
              <w:ind w:firstLine="420"/>
              <w:rPr>
                <w:rFonts w:ascii="Times New Roman" w:hAnsi="Times New Roman" w:eastAsia="仿宋_GB2312" w:cs="Times New Roman"/>
                <w:kern w:val="2"/>
                <w:sz w:val="21"/>
                <w:szCs w:val="21"/>
                <w:highlight w:val="none"/>
              </w:rPr>
            </w:pPr>
            <w:r>
              <w:rPr>
                <w:rFonts w:ascii="Times New Roman" w:hAnsi="Times New Roman" w:eastAsia="仿宋_GB2312" w:cs="Times New Roman"/>
                <w:b/>
                <w:bCs/>
                <w:kern w:val="2"/>
                <w:sz w:val="21"/>
                <w:szCs w:val="21"/>
                <w:highlight w:val="none"/>
              </w:rPr>
              <w:t>2.</w:t>
            </w:r>
            <w:r>
              <w:rPr>
                <w:rFonts w:hint="eastAsia" w:ascii="Times New Roman" w:hAnsi="Times New Roman" w:eastAsia="仿宋_GB2312" w:cs="仿宋_GB2312"/>
                <w:b/>
                <w:bCs/>
                <w:kern w:val="2"/>
                <w:sz w:val="21"/>
                <w:szCs w:val="21"/>
                <w:highlight w:val="none"/>
              </w:rPr>
              <w:t>《</w:t>
            </w:r>
            <w:r>
              <w:rPr>
                <w:rFonts w:hint="eastAsia" w:ascii="Times New Roman" w:hAnsi="Times New Roman" w:eastAsia="仿宋_GB2312" w:cs="仿宋_GB2312"/>
                <w:b/>
                <w:bCs/>
                <w:sz w:val="21"/>
                <w:szCs w:val="21"/>
                <w:highlight w:val="none"/>
              </w:rPr>
              <w:t>山东省土壤污染防治条例》第二十三条</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kern w:val="2"/>
                <w:sz w:val="21"/>
                <w:szCs w:val="21"/>
                <w:highlight w:val="none"/>
              </w:rPr>
              <w:t>尾矿库运营、管理单位应当加强尾矿库的安全管理，采取防渗、覆膜、压土、排洪、堤坝加固、建设地下水水质监测井等措施防止土壤污染。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2"/>
              <w:snapToGrid w:val="0"/>
              <w:spacing w:before="0" w:beforeAutospacing="0" w:after="0" w:afterAutospacing="0"/>
              <w:ind w:firstLine="420"/>
              <w:rPr>
                <w:rFonts w:ascii="Times New Roman" w:hAnsi="Times New Roman" w:eastAsia="仿宋_GB2312" w:cs="Times New Roman"/>
                <w:kern w:val="2"/>
                <w:sz w:val="21"/>
                <w:szCs w:val="21"/>
                <w:highlight w:val="none"/>
              </w:rPr>
            </w:pPr>
            <w:r>
              <w:rPr>
                <w:rFonts w:ascii="Times New Roman" w:hAnsi="Times New Roman" w:eastAsia="仿宋_GB2312" w:cs="Times New Roman"/>
                <w:b/>
                <w:bCs/>
                <w:kern w:val="2"/>
                <w:sz w:val="21"/>
                <w:szCs w:val="21"/>
                <w:highlight w:val="none"/>
              </w:rPr>
              <w:t>1.</w:t>
            </w:r>
            <w:r>
              <w:rPr>
                <w:rFonts w:hint="eastAsia" w:ascii="Times New Roman" w:hAnsi="Times New Roman" w:eastAsia="仿宋_GB2312" w:cs="仿宋_GB2312"/>
                <w:b/>
                <w:bCs/>
                <w:kern w:val="2"/>
                <w:sz w:val="21"/>
                <w:szCs w:val="21"/>
                <w:highlight w:val="none"/>
              </w:rPr>
              <w:t>《中华人民共和国土壤污染防治法》第八十六条第一款第（五）项、第二款</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违反本法规定，有下列行为之一的，由地方人民政府生态环境主管部门或者其他负有土壤污染防治监督管理职责的部门责令改正，处以罚款；拒不改正的，责令停产整治：</w:t>
            </w:r>
          </w:p>
          <w:p>
            <w:pPr>
              <w:pStyle w:val="12"/>
              <w:snapToGrid w:val="0"/>
              <w:spacing w:before="0" w:beforeAutospacing="0" w:after="0" w:afterAutospacing="0"/>
              <w:ind w:firstLine="42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（五）尾矿库运营、管理单位未按照规定采取措施防止土壤污染的。</w:t>
            </w:r>
          </w:p>
          <w:p>
            <w:pPr>
              <w:snapToGrid w:val="0"/>
              <w:ind w:firstLine="420"/>
              <w:jc w:val="left"/>
              <w:rPr>
                <w:rFonts w:ascii="Times New Roman" w:hAnsi="Times New Roman" w:eastAsia="仿宋_GB2312" w:cs="Times New Roman"/>
                <w:highlight w:val="none"/>
              </w:rPr>
            </w:pPr>
            <w:r>
              <w:rPr>
                <w:rFonts w:hint="eastAsia" w:ascii="Times New Roman" w:hAnsi="Times New Roman" w:eastAsia="仿宋_GB2312" w:cs="仿宋_GB2312"/>
                <w:highlight w:val="none"/>
              </w:rPr>
              <w:t>有前款规定行为之一的，处二万元以上二十万元以下的罚款；有前款第二项、第四项、第五项、第七项规定行为之一，造成严重后果的，处二十万元以上二百万元以下的罚款。</w:t>
            </w:r>
          </w:p>
          <w:p>
            <w:pPr>
              <w:snapToGrid w:val="0"/>
              <w:ind w:firstLine="420"/>
              <w:jc w:val="left"/>
              <w:rPr>
                <w:rFonts w:ascii="Times New Roman" w:hAnsi="Times New Roman" w:eastAsia="仿宋_GB2312" w:cs="Times New Roman"/>
                <w:highlight w:val="none"/>
              </w:rPr>
            </w:pPr>
            <w:r>
              <w:rPr>
                <w:rFonts w:ascii="Times New Roman" w:hAnsi="Times New Roman" w:eastAsia="仿宋_GB2312" w:cs="Times New Roman"/>
                <w:b/>
                <w:bCs/>
                <w:highlight w:val="none"/>
              </w:rPr>
              <w:t>2.</w:t>
            </w:r>
            <w:r>
              <w:rPr>
                <w:rFonts w:hint="eastAsia" w:ascii="Times New Roman" w:hAnsi="Times New Roman" w:eastAsia="仿宋_GB2312" w:cs="仿宋_GB2312"/>
                <w:b/>
                <w:bCs/>
                <w:highlight w:val="none"/>
              </w:rPr>
              <w:t>《山东省土壤污染防治条例》第七十三条第一款第（三）项、第二款</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违反本条例规定，有下列行为之一的，由生态环境主管部门或者其他负有土壤污染防治监督管理职责的部门责令改正，处以罚款；拒不改正的，责令停产整治：</w:t>
            </w:r>
          </w:p>
          <w:p>
            <w:pPr>
              <w:snapToGrid w:val="0"/>
              <w:ind w:firstLine="420"/>
              <w:jc w:val="left"/>
              <w:rPr>
                <w:rFonts w:ascii="Times New Roman" w:hAnsi="Times New Roman" w:eastAsia="仿宋_GB2312" w:cs="Times New Roman"/>
                <w:highlight w:val="none"/>
              </w:rPr>
            </w:pPr>
            <w:r>
              <w:rPr>
                <w:rFonts w:hint="eastAsia" w:ascii="Times New Roman" w:hAnsi="Times New Roman" w:eastAsia="仿宋_GB2312" w:cs="仿宋_GB2312"/>
                <w:highlight w:val="none"/>
              </w:rPr>
              <w:t>（三）尾矿库运营、管理单位未按照规定采取措施防止土壤污染的。</w:t>
            </w:r>
          </w:p>
          <w:p>
            <w:pPr>
              <w:snapToGrid w:val="0"/>
              <w:ind w:firstLine="420"/>
              <w:jc w:val="left"/>
              <w:rPr>
                <w:rFonts w:ascii="Times New Roman" w:hAnsi="Times New Roman" w:eastAsia="仿宋_GB2312" w:cs="Times New Roman"/>
                <w:highlight w:val="none"/>
              </w:rPr>
            </w:pPr>
            <w:r>
              <w:rPr>
                <w:rFonts w:hint="eastAsia" w:ascii="Times New Roman" w:hAnsi="Times New Roman" w:eastAsia="仿宋_GB2312" w:cs="仿宋_GB2312"/>
                <w:highlight w:val="none"/>
              </w:rPr>
              <w:t>有前款规定行为之一的，处二万元以上二十万元以下的罚款；有前款第二项、第三项、第四项、第五项规定行为之一，造成严重后果的，处二十万元以上二百万元以下的罚款。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尾矿库运营、管理单位已采取防治土壤污染措施，未严格按照规定的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11"/>
              <w:jc w:val="center"/>
              <w:rPr>
                <w:rFonts w:ascii="Times New Roman" w:hAnsi="Times New Roman" w:eastAsia="仿宋_GB2312" w:cs="仿宋_GB2312"/>
                <w:color w:val="000000"/>
                <w:sz w:val="21"/>
                <w:szCs w:val="21"/>
                <w:highlight w:val="none"/>
              </w:rPr>
            </w:pPr>
            <w:r>
              <w:rPr>
                <w:rFonts w:hint="eastAsia" w:ascii="Times New Roman" w:hAnsi="Times New Roman" w:eastAsia="仿宋_GB2312" w:cs="仿宋_GB2312"/>
                <w:color w:val="000000"/>
                <w:sz w:val="21"/>
                <w:szCs w:val="21"/>
                <w:highlight w:val="none"/>
              </w:rPr>
              <w:t>尾矿库运营、管理单位采取部分防治土壤污染措施的</w:t>
            </w:r>
          </w:p>
        </w:tc>
        <w:tc>
          <w:tcPr>
            <w:tcW w:w="2693"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尾矿库运营、管理单位未采取措施防止土壤污染的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造成土壤环境污染情况</w:t>
            </w: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未造成土壤污染的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造成土壤污染面积</w:t>
            </w:r>
            <w:r>
              <w:rPr>
                <w:rFonts w:ascii="Times New Roman" w:hAnsi="Times New Roman" w:eastAsia="仿宋_GB2312" w:cs="Times New Roman"/>
                <w:color w:val="000000"/>
                <w:sz w:val="21"/>
                <w:szCs w:val="21"/>
                <w:highlight w:val="none"/>
              </w:rPr>
              <w:t>500m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造成土壤污染面积</w:t>
            </w:r>
            <w:r>
              <w:rPr>
                <w:rFonts w:ascii="Times New Roman" w:hAnsi="Times New Roman" w:eastAsia="仿宋_GB2312" w:cs="Times New Roman"/>
                <w:color w:val="000000"/>
                <w:highlight w:val="none"/>
              </w:rPr>
              <w:t>500m</w:t>
            </w:r>
            <w:r>
              <w:rPr>
                <w:rFonts w:ascii="Times New Roman" w:hAnsi="Times New Roman" w:eastAsia="仿宋_GB2312" w:cs="Times New Roman"/>
                <w:color w:val="000000"/>
                <w:highlight w:val="none"/>
                <w:vertAlign w:val="superscript"/>
              </w:rPr>
              <w:t>2</w:t>
            </w:r>
            <w:r>
              <w:rPr>
                <w:rFonts w:hint="eastAsia" w:ascii="Times New Roman" w:hAnsi="Times New Roman" w:eastAsia="仿宋_GB2312" w:cs="仿宋_GB2312"/>
                <w:color w:val="000000"/>
                <w:highlight w:val="none"/>
              </w:rPr>
              <w:t>以上</w:t>
            </w:r>
            <w:r>
              <w:rPr>
                <w:rFonts w:ascii="Times New Roman" w:hAnsi="Times New Roman" w:eastAsia="仿宋_GB2312" w:cs="Times New Roman"/>
                <w:color w:val="000000"/>
                <w:highlight w:val="none"/>
              </w:rPr>
              <w:t>5000m</w:t>
            </w:r>
            <w:r>
              <w:rPr>
                <w:rFonts w:ascii="Times New Roman" w:hAnsi="Times New Roman" w:eastAsia="仿宋_GB2312" w:cs="Times New Roman"/>
                <w:color w:val="000000"/>
                <w:highlight w:val="none"/>
                <w:vertAlign w:val="superscript"/>
              </w:rPr>
              <w:t>2</w:t>
            </w:r>
            <w:r>
              <w:rPr>
                <w:rFonts w:hint="eastAsia" w:ascii="Times New Roman" w:hAnsi="Times New Roman" w:eastAsia="仿宋_GB2312" w:cs="仿宋_GB2312"/>
                <w:color w:val="000000"/>
                <w:highlight w:val="none"/>
              </w:rPr>
              <w:t>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造成土壤污染面积</w:t>
            </w:r>
            <w:r>
              <w:rPr>
                <w:rFonts w:ascii="Times New Roman" w:hAnsi="Times New Roman" w:eastAsia="仿宋_GB2312" w:cs="Times New Roman"/>
                <w:color w:val="000000"/>
                <w:highlight w:val="none"/>
              </w:rPr>
              <w:t>5000m</w:t>
            </w:r>
            <w:r>
              <w:rPr>
                <w:rFonts w:ascii="Times New Roman" w:hAnsi="Times New Roman" w:eastAsia="仿宋_GB2312" w:cs="Times New Roman"/>
                <w:color w:val="000000"/>
                <w:highlight w:val="none"/>
                <w:vertAlign w:val="superscript"/>
              </w:rPr>
              <w:t>2</w:t>
            </w:r>
            <w:r>
              <w:rPr>
                <w:rFonts w:hint="eastAsia" w:ascii="Times New Roman" w:hAnsi="Times New Roman" w:eastAsia="仿宋_GB2312" w:cs="仿宋_GB2312"/>
                <w:color w:val="000000"/>
                <w:highlight w:val="none"/>
              </w:rPr>
              <w:t>以上</w:t>
            </w:r>
            <w:r>
              <w:rPr>
                <w:rFonts w:ascii="Times New Roman" w:hAnsi="Times New Roman" w:eastAsia="仿宋_GB2312" w:cs="Times New Roman"/>
                <w:color w:val="000000"/>
                <w:highlight w:val="none"/>
              </w:rPr>
              <w:t>10000m</w:t>
            </w:r>
            <w:r>
              <w:rPr>
                <w:rFonts w:ascii="Times New Roman" w:hAnsi="Times New Roman" w:eastAsia="仿宋_GB2312" w:cs="Times New Roman"/>
                <w:color w:val="000000"/>
                <w:highlight w:val="none"/>
                <w:vertAlign w:val="superscript"/>
              </w:rPr>
              <w:t>2</w:t>
            </w:r>
            <w:r>
              <w:rPr>
                <w:rFonts w:hint="eastAsia" w:ascii="Times New Roman" w:hAnsi="Times New Roman" w:eastAsia="仿宋_GB2312" w:cs="仿宋_GB2312"/>
                <w:color w:val="000000"/>
                <w:highlight w:val="none"/>
              </w:rPr>
              <w:t>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造成土壤污染面积</w:t>
            </w:r>
            <w:r>
              <w:rPr>
                <w:rFonts w:ascii="Times New Roman" w:hAnsi="Times New Roman" w:eastAsia="仿宋_GB2312" w:cs="Times New Roman"/>
                <w:color w:val="000000"/>
                <w:highlight w:val="none"/>
              </w:rPr>
              <w:t>10000m</w:t>
            </w:r>
            <w:r>
              <w:rPr>
                <w:rFonts w:ascii="Times New Roman" w:hAnsi="Times New Roman" w:eastAsia="仿宋_GB2312" w:cs="Times New Roman"/>
                <w:color w:val="000000"/>
                <w:highlight w:val="none"/>
                <w:vertAlign w:val="superscript"/>
              </w:rPr>
              <w:t>2</w:t>
            </w:r>
            <w:r>
              <w:rPr>
                <w:rFonts w:hint="eastAsia" w:ascii="Times New Roman" w:hAnsi="Times New Roman" w:eastAsia="仿宋_GB2312" w:cs="仿宋_GB2312"/>
                <w:color w:val="000000"/>
                <w:highlight w:val="none"/>
              </w:rPr>
              <w:t>以上</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widowControl/>
              <w:jc w:val="center"/>
              <w:textAlignment w:val="center"/>
              <w:rPr>
                <w:rFonts w:ascii="Times New Roman" w:hAnsi="Times New Roman" w:eastAsia="仿宋_GB2312" w:cs="Times New Roman"/>
                <w:color w:val="000000"/>
                <w:kern w:val="0"/>
                <w:highlight w:val="none"/>
              </w:rPr>
            </w:pPr>
            <w:r>
              <w:rPr>
                <w:rFonts w:hint="eastAsia" w:ascii="Times New Roman" w:hAnsi="Times New Roman" w:cs="宋体"/>
                <w:b/>
                <w:bCs/>
                <w:color w:val="000000"/>
                <w:highlight w:val="none"/>
              </w:rPr>
              <w:t>尾矿库类型</w:t>
            </w:r>
          </w:p>
        </w:tc>
        <w:tc>
          <w:tcPr>
            <w:tcW w:w="5245" w:type="dxa"/>
            <w:vAlign w:val="center"/>
          </w:tcPr>
          <w:p>
            <w:pPr>
              <w:widowControl/>
              <w:jc w:val="center"/>
              <w:textAlignment w:val="center"/>
              <w:rPr>
                <w:rFonts w:ascii="Times New Roman" w:hAnsi="Times New Roman" w:eastAsia="仿宋_GB2312" w:cs="Times New Roman"/>
                <w:color w:val="000000"/>
                <w:kern w:val="0"/>
                <w:highlight w:val="none"/>
              </w:rPr>
            </w:pPr>
            <w:r>
              <w:rPr>
                <w:rFonts w:hint="eastAsia" w:ascii="Times New Roman" w:hAnsi="Times New Roman" w:eastAsia="仿宋_GB2312" w:cs="仿宋_GB2312"/>
                <w:color w:val="000000"/>
                <w:kern w:val="0"/>
                <w:highlight w:val="none"/>
              </w:rPr>
              <w:t>正常库</w:t>
            </w:r>
          </w:p>
        </w:tc>
        <w:tc>
          <w:tcPr>
            <w:tcW w:w="2693" w:type="dxa"/>
            <w:vAlign w:val="center"/>
          </w:tcPr>
          <w:p>
            <w:pPr>
              <w:widowControl/>
              <w:jc w:val="center"/>
              <w:textAlignment w:val="center"/>
              <w:rPr>
                <w:rFonts w:ascii="Times New Roman" w:hAnsi="Times New Roman" w:eastAsia="仿宋_GB2312" w:cs="Times New Roman"/>
                <w:color w:val="000000"/>
                <w:kern w:val="0"/>
                <w:highlight w:val="none"/>
              </w:rPr>
            </w:pPr>
            <w:r>
              <w:rPr>
                <w:rFonts w:ascii="Times New Roman" w:hAnsi="Times New Roman" w:eastAsia="仿宋_GB2312" w:cs="Times New Roman"/>
                <w:color w:val="000000"/>
                <w:kern w:val="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病库</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kern w:val="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险库</w:t>
            </w:r>
            <w:r>
              <w:rPr>
                <w:rFonts w:ascii="Times New Roman" w:hAnsi="Times New Roman" w:eastAsia="仿宋_GB2312" w:cs="Times New Roman"/>
                <w:color w:val="000000"/>
                <w:sz w:val="21"/>
                <w:szCs w:val="21"/>
                <w:highlight w:val="none"/>
              </w:rPr>
              <w:t>/</w:t>
            </w:r>
            <w:r>
              <w:rPr>
                <w:rFonts w:hint="eastAsia" w:ascii="Times New Roman" w:hAnsi="Times New Roman" w:eastAsia="仿宋_GB2312" w:cs="仿宋_GB2312"/>
                <w:color w:val="000000"/>
                <w:sz w:val="21"/>
                <w:szCs w:val="21"/>
                <w:highlight w:val="none"/>
              </w:rPr>
              <w:t>居民集中区相关联的尾矿库</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kern w:val="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与二级管控区相关联的尾矿库</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kern w:val="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危库</w:t>
            </w:r>
            <w:r>
              <w:rPr>
                <w:rFonts w:ascii="Times New Roman" w:hAnsi="Times New Roman" w:eastAsia="仿宋_GB2312" w:cs="Times New Roman"/>
                <w:color w:val="000000"/>
                <w:sz w:val="21"/>
                <w:szCs w:val="21"/>
                <w:highlight w:val="none"/>
              </w:rPr>
              <w:t>/</w:t>
            </w:r>
            <w:r>
              <w:rPr>
                <w:rFonts w:hint="eastAsia" w:ascii="Times New Roman" w:hAnsi="Times New Roman" w:eastAsia="仿宋_GB2312" w:cs="仿宋_GB2312"/>
                <w:color w:val="000000"/>
                <w:sz w:val="21"/>
                <w:szCs w:val="21"/>
                <w:highlight w:val="none"/>
              </w:rPr>
              <w:t>与一级管控区相关联的尾矿库</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kern w:val="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尾矿库规模</w:t>
            </w: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全库容V小于100万</w:t>
            </w:r>
            <w:r>
              <w:rPr>
                <w:rFonts w:ascii="Times New Roman" w:hAnsi="Times New Roman" w:eastAsia="仿宋_GB2312" w:cs="Times New Roman"/>
                <w:color w:val="000000"/>
                <w:sz w:val="21"/>
                <w:szCs w:val="21"/>
                <w:highlight w:val="none"/>
              </w:rPr>
              <w:t>m</w:t>
            </w:r>
            <w:r>
              <w:rPr>
                <w:rFonts w:ascii="Times New Roman" w:hAnsi="Times New Roman" w:eastAsia="仿宋_GB2312" w:cs="Times New Roman"/>
                <w:color w:val="000000"/>
                <w:sz w:val="21"/>
                <w:szCs w:val="21"/>
                <w:highlight w:val="none"/>
                <w:vertAlign w:val="superscript"/>
              </w:rPr>
              <w:t>3</w:t>
            </w:r>
            <w:r>
              <w:rPr>
                <w:rFonts w:hint="eastAsia" w:ascii="Times New Roman" w:hAnsi="Times New Roman" w:eastAsia="仿宋_GB2312" w:cs="Times New Roman"/>
                <w:color w:val="000000"/>
                <w:sz w:val="21"/>
                <w:szCs w:val="21"/>
                <w:highlight w:val="none"/>
              </w:rPr>
              <w:t>，</w:t>
            </w:r>
            <w:r>
              <w:rPr>
                <w:rFonts w:ascii="Times New Roman" w:hAnsi="Times New Roman" w:eastAsia="仿宋_GB2312" w:cs="Times New Roman"/>
                <w:color w:val="000000"/>
                <w:sz w:val="21"/>
                <w:szCs w:val="21"/>
                <w:highlight w:val="none"/>
              </w:rPr>
              <w:t>坝高</w:t>
            </w:r>
            <w:r>
              <w:rPr>
                <w:rFonts w:hint="eastAsia" w:ascii="Times New Roman" w:hAnsi="Times New Roman" w:eastAsia="仿宋_GB2312" w:cs="Times New Roman"/>
                <w:color w:val="000000"/>
                <w:sz w:val="21"/>
                <w:szCs w:val="21"/>
                <w:highlight w:val="none"/>
              </w:rPr>
              <w:t>H小于30</w:t>
            </w:r>
            <w:r>
              <w:rPr>
                <w:rFonts w:ascii="Times New Roman" w:hAnsi="Times New Roman" w:eastAsia="仿宋_GB2312" w:cs="Times New Roman"/>
                <w:color w:val="000000"/>
                <w:sz w:val="21"/>
                <w:szCs w:val="21"/>
                <w:highlight w:val="none"/>
              </w:rPr>
              <w:t>m</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color w:val="000000"/>
                <w:sz w:val="21"/>
                <w:szCs w:val="21"/>
                <w:highlight w:val="none"/>
              </w:rPr>
              <w:t>全库容V大于等于100</w:t>
            </w:r>
            <w:r>
              <w:rPr>
                <w:rFonts w:hint="eastAsia" w:ascii="Times New Roman" w:hAnsi="Times New Roman" w:eastAsia="仿宋_GB2312" w:cs="仿宋_GB2312"/>
                <w:sz w:val="21"/>
                <w:szCs w:val="21"/>
                <w:highlight w:val="none"/>
              </w:rPr>
              <w:t>万</w:t>
            </w:r>
            <w:r>
              <w:rPr>
                <w:rFonts w:ascii="Times New Roman" w:hAnsi="Times New Roman" w:eastAsia="仿宋_GB2312" w:cs="Times New Roman"/>
                <w:sz w:val="21"/>
                <w:szCs w:val="21"/>
                <w:highlight w:val="none"/>
              </w:rPr>
              <w:t>m</w:t>
            </w:r>
            <w:r>
              <w:rPr>
                <w:rFonts w:ascii="Times New Roman" w:hAnsi="Times New Roman" w:eastAsia="仿宋_GB2312" w:cs="Times New Roman"/>
                <w:sz w:val="21"/>
                <w:szCs w:val="21"/>
                <w:highlight w:val="none"/>
                <w:vertAlign w:val="superscript"/>
              </w:rPr>
              <w:t>3</w:t>
            </w:r>
            <w:r>
              <w:rPr>
                <w:rFonts w:hint="eastAsia" w:ascii="Times New Roman" w:hAnsi="Times New Roman" w:eastAsia="仿宋_GB2312" w:cs="仿宋_GB2312"/>
                <w:sz w:val="21"/>
                <w:szCs w:val="21"/>
                <w:highlight w:val="none"/>
              </w:rPr>
              <w:t>小于1000万</w:t>
            </w:r>
            <w:r>
              <w:rPr>
                <w:rFonts w:ascii="Times New Roman" w:hAnsi="Times New Roman" w:eastAsia="仿宋_GB2312" w:cs="Times New Roman"/>
                <w:sz w:val="21"/>
                <w:szCs w:val="21"/>
                <w:highlight w:val="none"/>
              </w:rPr>
              <w:t>m</w:t>
            </w:r>
            <w:r>
              <w:rPr>
                <w:rFonts w:ascii="Times New Roman" w:hAnsi="Times New Roman" w:eastAsia="仿宋_GB2312" w:cs="Times New Roman"/>
                <w:sz w:val="21"/>
                <w:szCs w:val="21"/>
                <w:highlight w:val="none"/>
                <w:vertAlign w:val="superscript"/>
              </w:rPr>
              <w:t>3</w:t>
            </w:r>
            <w:r>
              <w:rPr>
                <w:rFonts w:hint="eastAsia" w:ascii="Times New Roman" w:hAnsi="Times New Roman" w:eastAsia="仿宋_GB2312" w:cs="Times New Roman"/>
                <w:color w:val="000000"/>
                <w:sz w:val="21"/>
                <w:szCs w:val="21"/>
                <w:highlight w:val="none"/>
              </w:rPr>
              <w:t>，</w:t>
            </w:r>
            <w:r>
              <w:rPr>
                <w:rFonts w:ascii="Times New Roman" w:hAnsi="Times New Roman" w:eastAsia="仿宋_GB2312" w:cs="Times New Roman"/>
                <w:color w:val="000000"/>
                <w:sz w:val="21"/>
                <w:szCs w:val="21"/>
                <w:highlight w:val="none"/>
              </w:rPr>
              <w:t>坝高</w:t>
            </w:r>
            <w:r>
              <w:rPr>
                <w:rFonts w:hint="eastAsia" w:ascii="Times New Roman" w:hAnsi="Times New Roman" w:eastAsia="仿宋_GB2312" w:cs="Times New Roman"/>
                <w:color w:val="000000"/>
                <w:sz w:val="21"/>
                <w:szCs w:val="21"/>
                <w:highlight w:val="none"/>
              </w:rPr>
              <w:t>H大于等于30</w:t>
            </w:r>
            <w:r>
              <w:rPr>
                <w:rFonts w:ascii="Times New Roman" w:hAnsi="Times New Roman" w:eastAsia="仿宋_GB2312" w:cs="Times New Roman"/>
                <w:color w:val="000000"/>
                <w:sz w:val="21"/>
                <w:szCs w:val="21"/>
                <w:highlight w:val="none"/>
              </w:rPr>
              <w:t>m</w:t>
            </w:r>
            <w:r>
              <w:rPr>
                <w:rFonts w:hint="eastAsia" w:ascii="Times New Roman" w:hAnsi="Times New Roman" w:eastAsia="仿宋_GB2312" w:cs="Times New Roman"/>
                <w:color w:val="000000"/>
                <w:sz w:val="21"/>
                <w:szCs w:val="21"/>
                <w:highlight w:val="none"/>
              </w:rPr>
              <w:t>小于60</w:t>
            </w:r>
            <w:r>
              <w:rPr>
                <w:rFonts w:ascii="Times New Roman" w:hAnsi="Times New Roman" w:eastAsia="仿宋_GB2312" w:cs="Times New Roman"/>
                <w:color w:val="000000"/>
                <w:sz w:val="21"/>
                <w:szCs w:val="21"/>
                <w:highlight w:val="none"/>
              </w:rPr>
              <w:t>m</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color w:val="000000"/>
                <w:sz w:val="21"/>
                <w:szCs w:val="21"/>
                <w:highlight w:val="none"/>
              </w:rPr>
              <w:t>全库容V大于等于100</w:t>
            </w:r>
            <w:r>
              <w:rPr>
                <w:rFonts w:ascii="Times New Roman" w:hAnsi="Times New Roman" w:eastAsia="仿宋_GB2312" w:cs="仿宋_GB2312"/>
                <w:color w:val="000000"/>
                <w:sz w:val="21"/>
                <w:szCs w:val="21"/>
                <w:highlight w:val="none"/>
              </w:rPr>
              <w:t>0</w:t>
            </w:r>
            <w:r>
              <w:rPr>
                <w:rFonts w:hint="eastAsia" w:ascii="Times New Roman" w:hAnsi="Times New Roman" w:eastAsia="仿宋_GB2312" w:cs="仿宋_GB2312"/>
                <w:sz w:val="21"/>
                <w:szCs w:val="21"/>
                <w:highlight w:val="none"/>
              </w:rPr>
              <w:t>万</w:t>
            </w:r>
            <w:r>
              <w:rPr>
                <w:rFonts w:ascii="Times New Roman" w:hAnsi="Times New Roman" w:eastAsia="仿宋_GB2312" w:cs="Times New Roman"/>
                <w:sz w:val="21"/>
                <w:szCs w:val="21"/>
                <w:highlight w:val="none"/>
              </w:rPr>
              <w:t>m</w:t>
            </w:r>
            <w:r>
              <w:rPr>
                <w:rFonts w:ascii="Times New Roman" w:hAnsi="Times New Roman" w:eastAsia="仿宋_GB2312" w:cs="Times New Roman"/>
                <w:sz w:val="21"/>
                <w:szCs w:val="21"/>
                <w:highlight w:val="none"/>
                <w:vertAlign w:val="superscript"/>
              </w:rPr>
              <w:t>3</w:t>
            </w:r>
            <w:r>
              <w:rPr>
                <w:rFonts w:hint="eastAsia" w:ascii="Times New Roman" w:hAnsi="Times New Roman" w:eastAsia="仿宋_GB2312" w:cs="仿宋_GB2312"/>
                <w:sz w:val="21"/>
                <w:szCs w:val="21"/>
                <w:highlight w:val="none"/>
              </w:rPr>
              <w:t>小于10000万</w:t>
            </w:r>
            <w:r>
              <w:rPr>
                <w:rFonts w:ascii="Times New Roman" w:hAnsi="Times New Roman" w:eastAsia="仿宋_GB2312" w:cs="Times New Roman"/>
                <w:sz w:val="21"/>
                <w:szCs w:val="21"/>
                <w:highlight w:val="none"/>
              </w:rPr>
              <w:t>m</w:t>
            </w:r>
            <w:r>
              <w:rPr>
                <w:rFonts w:ascii="Times New Roman" w:hAnsi="Times New Roman" w:eastAsia="仿宋_GB2312" w:cs="Times New Roman"/>
                <w:sz w:val="21"/>
                <w:szCs w:val="21"/>
                <w:highlight w:val="none"/>
                <w:vertAlign w:val="superscript"/>
              </w:rPr>
              <w:t>3</w:t>
            </w:r>
            <w:r>
              <w:rPr>
                <w:rFonts w:hint="eastAsia" w:ascii="Times New Roman" w:hAnsi="Times New Roman" w:eastAsia="仿宋_GB2312" w:cs="Times New Roman"/>
                <w:color w:val="000000"/>
                <w:sz w:val="21"/>
                <w:szCs w:val="21"/>
                <w:highlight w:val="none"/>
              </w:rPr>
              <w:t>，</w:t>
            </w:r>
            <w:r>
              <w:rPr>
                <w:rFonts w:ascii="Times New Roman" w:hAnsi="Times New Roman" w:eastAsia="仿宋_GB2312" w:cs="Times New Roman"/>
                <w:color w:val="000000"/>
                <w:sz w:val="21"/>
                <w:szCs w:val="21"/>
                <w:highlight w:val="none"/>
              </w:rPr>
              <w:t>坝高</w:t>
            </w:r>
            <w:r>
              <w:rPr>
                <w:rFonts w:hint="eastAsia" w:ascii="Times New Roman" w:hAnsi="Times New Roman" w:eastAsia="仿宋_GB2312" w:cs="Times New Roman"/>
                <w:color w:val="000000"/>
                <w:sz w:val="21"/>
                <w:szCs w:val="21"/>
                <w:highlight w:val="none"/>
              </w:rPr>
              <w:t>H大于等于60</w:t>
            </w:r>
            <w:r>
              <w:rPr>
                <w:rFonts w:ascii="Times New Roman" w:hAnsi="Times New Roman" w:eastAsia="仿宋_GB2312" w:cs="Times New Roman"/>
                <w:color w:val="000000"/>
                <w:sz w:val="21"/>
                <w:szCs w:val="21"/>
                <w:highlight w:val="none"/>
              </w:rPr>
              <w:t>m</w:t>
            </w:r>
            <w:r>
              <w:rPr>
                <w:rFonts w:hint="eastAsia" w:ascii="Times New Roman" w:hAnsi="Times New Roman" w:eastAsia="仿宋_GB2312" w:cs="Times New Roman"/>
                <w:color w:val="000000"/>
                <w:sz w:val="21"/>
                <w:szCs w:val="21"/>
                <w:highlight w:val="none"/>
              </w:rPr>
              <w:t>小于100</w:t>
            </w:r>
            <w:r>
              <w:rPr>
                <w:rFonts w:ascii="Times New Roman" w:hAnsi="Times New Roman" w:eastAsia="仿宋_GB2312" w:cs="Times New Roman"/>
                <w:color w:val="000000"/>
                <w:sz w:val="21"/>
                <w:szCs w:val="21"/>
                <w:highlight w:val="none"/>
              </w:rPr>
              <w:t>m</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color w:val="000000"/>
                <w:sz w:val="21"/>
                <w:szCs w:val="21"/>
                <w:highlight w:val="none"/>
              </w:rPr>
              <w:t>全库容V大于等于</w:t>
            </w:r>
            <w:r>
              <w:rPr>
                <w:rFonts w:hint="eastAsia" w:ascii="Times New Roman" w:hAnsi="Times New Roman" w:eastAsia="仿宋_GB2312" w:cs="仿宋_GB2312"/>
                <w:sz w:val="21"/>
                <w:szCs w:val="21"/>
                <w:highlight w:val="none"/>
              </w:rPr>
              <w:t>10000万</w:t>
            </w:r>
            <w:r>
              <w:rPr>
                <w:rFonts w:ascii="Times New Roman" w:hAnsi="Times New Roman" w:eastAsia="仿宋_GB2312" w:cs="Times New Roman"/>
                <w:sz w:val="21"/>
                <w:szCs w:val="21"/>
                <w:highlight w:val="none"/>
              </w:rPr>
              <w:t>m</w:t>
            </w:r>
            <w:r>
              <w:rPr>
                <w:rFonts w:ascii="Times New Roman" w:hAnsi="Times New Roman" w:eastAsia="仿宋_GB2312" w:cs="Times New Roman"/>
                <w:sz w:val="21"/>
                <w:szCs w:val="21"/>
                <w:highlight w:val="none"/>
                <w:vertAlign w:val="superscript"/>
              </w:rPr>
              <w:t>3</w:t>
            </w:r>
            <w:r>
              <w:rPr>
                <w:rFonts w:hint="eastAsia" w:ascii="Times New Roman" w:hAnsi="Times New Roman" w:eastAsia="仿宋_GB2312" w:cs="Times New Roman"/>
                <w:color w:val="000000"/>
                <w:sz w:val="21"/>
                <w:szCs w:val="21"/>
                <w:highlight w:val="none"/>
              </w:rPr>
              <w:t>，</w:t>
            </w:r>
            <w:r>
              <w:rPr>
                <w:rFonts w:ascii="Times New Roman" w:hAnsi="Times New Roman" w:eastAsia="仿宋_GB2312" w:cs="Times New Roman"/>
                <w:color w:val="000000"/>
                <w:sz w:val="21"/>
                <w:szCs w:val="21"/>
                <w:highlight w:val="none"/>
              </w:rPr>
              <w:t>坝高</w:t>
            </w:r>
            <w:r>
              <w:rPr>
                <w:rFonts w:hint="eastAsia" w:ascii="Times New Roman" w:hAnsi="Times New Roman" w:eastAsia="仿宋_GB2312" w:cs="Times New Roman"/>
                <w:color w:val="000000"/>
                <w:sz w:val="21"/>
                <w:szCs w:val="21"/>
                <w:highlight w:val="none"/>
              </w:rPr>
              <w:t>H大于等于100</w:t>
            </w:r>
            <w:r>
              <w:rPr>
                <w:rFonts w:ascii="Times New Roman" w:hAnsi="Times New Roman" w:eastAsia="仿宋_GB2312" w:cs="Times New Roman"/>
                <w:color w:val="000000"/>
                <w:sz w:val="21"/>
                <w:szCs w:val="21"/>
                <w:highlight w:val="none"/>
              </w:rPr>
              <w:t>m</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二等库具备</w:t>
            </w:r>
            <w:r>
              <w:rPr>
                <w:rFonts w:ascii="Times New Roman" w:hAnsi="Times New Roman" w:eastAsia="仿宋_GB2312" w:cs="仿宋_GB2312"/>
                <w:sz w:val="21"/>
                <w:szCs w:val="21"/>
                <w:highlight w:val="none"/>
              </w:rPr>
              <w:t>提高等别条件者</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cs="Times New Roman"/>
                <w:highlight w:val="none"/>
              </w:rPr>
            </w:pPr>
          </w:p>
        </w:tc>
      </w:tr>
    </w:tbl>
    <w:p>
      <w:pPr>
        <w:widowControl/>
        <w:snapToGrid w:val="0"/>
        <w:jc w:val="left"/>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（五）土壤污染防治类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尾矿库运营、管理单位未按照规定进行土壤污染状况监测的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2"/>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《中华人民共和国土壤污染防治法》第二十三条第二款</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尾矿库运营、管理单位应当按照规定，加强尾矿库的安全管理，采取措施防止土壤污染。危库、险库、病库以及其他需要重点监管的尾矿库的运营、管理单位应当按照规定，进行土壤污染状况监测和定期评估。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2"/>
              <w:snapToGrid w:val="0"/>
              <w:spacing w:before="0" w:beforeAutospacing="0" w:after="0" w:afterAutospacing="0"/>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《中华人民共和国土壤污染防治法》第八十六条第一款第（六）项、第二款</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违反本法规定，有下列行为之一的，由地方人民政府生态环境主管部门或者其他负有土壤污染防治监督管理职责的部门责令改正，处以罚款；拒不改正的，责令停产整治：</w:t>
            </w:r>
          </w:p>
          <w:p>
            <w:pPr>
              <w:pStyle w:val="12"/>
              <w:snapToGrid w:val="0"/>
              <w:spacing w:before="0" w:beforeAutospacing="0" w:after="0" w:afterAutospacing="0"/>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（六）尾矿库运营、管理单位未按照规定进行土壤污染状况监测的。</w:t>
            </w:r>
          </w:p>
          <w:p>
            <w:pPr>
              <w:pStyle w:val="12"/>
              <w:snapToGrid w:val="0"/>
              <w:spacing w:before="0" w:beforeAutospacing="0" w:after="0" w:afterAutospacing="0"/>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有前款规定行为之一的，处二万元以上二十万元以下的罚款；有前款第二项、第四项、第五项、第七项规定行为之一，造成严重后果的，处二十万元以上二百万元以下的罚款。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245"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9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对土壤污染状况进行了监测，但不规范的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未定期对土壤进行监测或者遗漏重要监测数据的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未对土壤进行监测的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widowControl/>
              <w:jc w:val="center"/>
              <w:textAlignment w:val="center"/>
              <w:rPr>
                <w:rFonts w:ascii="Times New Roman" w:hAnsi="Times New Roman" w:eastAsia="仿宋_GB2312" w:cs="Times New Roman"/>
                <w:color w:val="000000"/>
                <w:kern w:val="0"/>
                <w:highlight w:val="none"/>
              </w:rPr>
            </w:pPr>
            <w:r>
              <w:rPr>
                <w:rFonts w:hint="eastAsia" w:ascii="Times New Roman" w:hAnsi="Times New Roman" w:cs="宋体"/>
                <w:b/>
                <w:bCs/>
                <w:color w:val="000000"/>
                <w:highlight w:val="none"/>
              </w:rPr>
              <w:t>尾矿库类型</w:t>
            </w:r>
          </w:p>
        </w:tc>
        <w:tc>
          <w:tcPr>
            <w:tcW w:w="5245" w:type="dxa"/>
            <w:vAlign w:val="center"/>
          </w:tcPr>
          <w:p>
            <w:pPr>
              <w:widowControl/>
              <w:jc w:val="center"/>
              <w:textAlignment w:val="center"/>
              <w:rPr>
                <w:rFonts w:ascii="Times New Roman" w:hAnsi="Times New Roman" w:eastAsia="仿宋_GB2312" w:cs="Times New Roman"/>
                <w:color w:val="000000"/>
                <w:kern w:val="0"/>
                <w:highlight w:val="none"/>
              </w:rPr>
            </w:pPr>
            <w:r>
              <w:rPr>
                <w:rFonts w:hint="eastAsia" w:ascii="Times New Roman" w:hAnsi="Times New Roman" w:eastAsia="仿宋_GB2312" w:cs="仿宋_GB2312"/>
                <w:color w:val="000000"/>
                <w:kern w:val="0"/>
                <w:highlight w:val="none"/>
              </w:rPr>
              <w:t>正常库</w:t>
            </w:r>
          </w:p>
        </w:tc>
        <w:tc>
          <w:tcPr>
            <w:tcW w:w="2693" w:type="dxa"/>
            <w:vAlign w:val="center"/>
          </w:tcPr>
          <w:p>
            <w:pPr>
              <w:widowControl/>
              <w:jc w:val="center"/>
              <w:textAlignment w:val="center"/>
              <w:rPr>
                <w:rFonts w:ascii="Times New Roman" w:hAnsi="Times New Roman" w:eastAsia="仿宋_GB2312" w:cs="Times New Roman"/>
                <w:color w:val="000000"/>
                <w:kern w:val="0"/>
                <w:highlight w:val="none"/>
              </w:rPr>
            </w:pPr>
            <w:r>
              <w:rPr>
                <w:rFonts w:ascii="Times New Roman" w:hAnsi="Times New Roman" w:eastAsia="仿宋_GB2312" w:cs="Times New Roman"/>
                <w:color w:val="000000"/>
                <w:kern w:val="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病库</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kern w:val="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险库</w:t>
            </w:r>
            <w:r>
              <w:rPr>
                <w:rFonts w:ascii="Times New Roman" w:hAnsi="Times New Roman" w:eastAsia="仿宋_GB2312" w:cs="Times New Roman"/>
                <w:color w:val="000000"/>
                <w:sz w:val="21"/>
                <w:szCs w:val="21"/>
                <w:highlight w:val="none"/>
              </w:rPr>
              <w:t>/</w:t>
            </w:r>
            <w:r>
              <w:rPr>
                <w:rFonts w:hint="eastAsia" w:ascii="Times New Roman" w:hAnsi="Times New Roman" w:eastAsia="仿宋_GB2312" w:cs="仿宋_GB2312"/>
                <w:color w:val="000000"/>
                <w:sz w:val="21"/>
                <w:szCs w:val="21"/>
                <w:highlight w:val="none"/>
              </w:rPr>
              <w:t>居民集中区相关联的尾矿库</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kern w:val="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与二级管控区相关联的尾矿库</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kern w:val="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危库</w:t>
            </w:r>
            <w:r>
              <w:rPr>
                <w:rFonts w:ascii="Times New Roman" w:hAnsi="Times New Roman" w:eastAsia="仿宋_GB2312" w:cs="Times New Roman"/>
                <w:color w:val="000000"/>
                <w:sz w:val="21"/>
                <w:szCs w:val="21"/>
                <w:highlight w:val="none"/>
              </w:rPr>
              <w:t>/</w:t>
            </w:r>
            <w:r>
              <w:rPr>
                <w:rFonts w:hint="eastAsia" w:ascii="Times New Roman" w:hAnsi="Times New Roman" w:eastAsia="仿宋_GB2312" w:cs="仿宋_GB2312"/>
                <w:color w:val="000000"/>
                <w:sz w:val="21"/>
                <w:szCs w:val="21"/>
                <w:highlight w:val="none"/>
              </w:rPr>
              <w:t>与一级管控区相关联的尾矿库</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kern w:val="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尾矿库规模</w:t>
            </w: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全库容V小于100万</w:t>
            </w:r>
            <w:r>
              <w:rPr>
                <w:rFonts w:ascii="Times New Roman" w:hAnsi="Times New Roman" w:eastAsia="仿宋_GB2312" w:cs="Times New Roman"/>
                <w:color w:val="000000"/>
                <w:sz w:val="21"/>
                <w:szCs w:val="21"/>
                <w:highlight w:val="none"/>
              </w:rPr>
              <w:t>m</w:t>
            </w:r>
            <w:r>
              <w:rPr>
                <w:rFonts w:ascii="Times New Roman" w:hAnsi="Times New Roman" w:eastAsia="仿宋_GB2312" w:cs="Times New Roman"/>
                <w:color w:val="000000"/>
                <w:sz w:val="21"/>
                <w:szCs w:val="21"/>
                <w:highlight w:val="none"/>
                <w:vertAlign w:val="superscript"/>
              </w:rPr>
              <w:t>3</w:t>
            </w:r>
            <w:r>
              <w:rPr>
                <w:rFonts w:hint="eastAsia" w:ascii="Times New Roman" w:hAnsi="Times New Roman" w:eastAsia="仿宋_GB2312" w:cs="Times New Roman"/>
                <w:color w:val="000000"/>
                <w:sz w:val="21"/>
                <w:szCs w:val="21"/>
                <w:highlight w:val="none"/>
              </w:rPr>
              <w:t>，</w:t>
            </w:r>
            <w:r>
              <w:rPr>
                <w:rFonts w:ascii="Times New Roman" w:hAnsi="Times New Roman" w:eastAsia="仿宋_GB2312" w:cs="Times New Roman"/>
                <w:color w:val="000000"/>
                <w:sz w:val="21"/>
                <w:szCs w:val="21"/>
                <w:highlight w:val="none"/>
              </w:rPr>
              <w:t>坝高</w:t>
            </w:r>
            <w:r>
              <w:rPr>
                <w:rFonts w:hint="eastAsia" w:ascii="Times New Roman" w:hAnsi="Times New Roman" w:eastAsia="仿宋_GB2312" w:cs="Times New Roman"/>
                <w:color w:val="000000"/>
                <w:sz w:val="21"/>
                <w:szCs w:val="21"/>
                <w:highlight w:val="none"/>
              </w:rPr>
              <w:t>H小于30</w:t>
            </w:r>
            <w:r>
              <w:rPr>
                <w:rFonts w:ascii="Times New Roman" w:hAnsi="Times New Roman" w:eastAsia="仿宋_GB2312" w:cs="Times New Roman"/>
                <w:color w:val="000000"/>
                <w:sz w:val="21"/>
                <w:szCs w:val="21"/>
                <w:highlight w:val="none"/>
              </w:rPr>
              <w:t>m</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全库容V大于等于100</w:t>
            </w:r>
            <w:r>
              <w:rPr>
                <w:rFonts w:hint="eastAsia" w:ascii="Times New Roman" w:hAnsi="Times New Roman" w:eastAsia="仿宋_GB2312" w:cs="仿宋_GB2312"/>
                <w:highlight w:val="none"/>
              </w:rPr>
              <w:t>万</w:t>
            </w:r>
            <w:r>
              <w:rPr>
                <w:rFonts w:ascii="Times New Roman" w:hAnsi="Times New Roman" w:eastAsia="仿宋_GB2312" w:cs="Times New Roman"/>
                <w:highlight w:val="none"/>
              </w:rPr>
              <w:t>m</w:t>
            </w:r>
            <w:r>
              <w:rPr>
                <w:rFonts w:ascii="Times New Roman" w:hAnsi="Times New Roman" w:eastAsia="仿宋_GB2312" w:cs="Times New Roman"/>
                <w:highlight w:val="none"/>
                <w:vertAlign w:val="superscript"/>
              </w:rPr>
              <w:t>3</w:t>
            </w:r>
            <w:r>
              <w:rPr>
                <w:rFonts w:hint="eastAsia" w:ascii="Times New Roman" w:hAnsi="Times New Roman" w:eastAsia="仿宋_GB2312" w:cs="仿宋_GB2312"/>
                <w:highlight w:val="none"/>
              </w:rPr>
              <w:t>小于1000万</w:t>
            </w:r>
            <w:r>
              <w:rPr>
                <w:rFonts w:ascii="Times New Roman" w:hAnsi="Times New Roman" w:eastAsia="仿宋_GB2312" w:cs="Times New Roman"/>
                <w:highlight w:val="none"/>
              </w:rPr>
              <w:t>m</w:t>
            </w:r>
            <w:r>
              <w:rPr>
                <w:rFonts w:ascii="Times New Roman" w:hAnsi="Times New Roman" w:eastAsia="仿宋_GB2312" w:cs="Times New Roman"/>
                <w:highlight w:val="none"/>
                <w:vertAlign w:val="superscript"/>
              </w:rPr>
              <w:t>3</w:t>
            </w:r>
            <w:r>
              <w:rPr>
                <w:rFonts w:hint="eastAsia" w:ascii="Times New Roman" w:hAnsi="Times New Roman" w:eastAsia="仿宋_GB2312" w:cs="Times New Roman"/>
                <w:color w:val="000000"/>
                <w:highlight w:val="none"/>
              </w:rPr>
              <w:t>，</w:t>
            </w:r>
            <w:r>
              <w:rPr>
                <w:rFonts w:ascii="Times New Roman" w:hAnsi="Times New Roman" w:eastAsia="仿宋_GB2312" w:cs="Times New Roman"/>
                <w:color w:val="000000"/>
                <w:highlight w:val="none"/>
              </w:rPr>
              <w:t>坝高</w:t>
            </w:r>
            <w:r>
              <w:rPr>
                <w:rFonts w:hint="eastAsia" w:ascii="Times New Roman" w:hAnsi="Times New Roman" w:eastAsia="仿宋_GB2312" w:cs="Times New Roman"/>
                <w:color w:val="000000"/>
                <w:highlight w:val="none"/>
              </w:rPr>
              <w:t>H大于等于30</w:t>
            </w:r>
            <w:r>
              <w:rPr>
                <w:rFonts w:ascii="Times New Roman" w:hAnsi="Times New Roman" w:eastAsia="仿宋_GB2312" w:cs="Times New Roman"/>
                <w:color w:val="000000"/>
                <w:highlight w:val="none"/>
              </w:rPr>
              <w:t>m</w:t>
            </w:r>
            <w:r>
              <w:rPr>
                <w:rFonts w:hint="eastAsia" w:ascii="Times New Roman" w:hAnsi="Times New Roman" w:eastAsia="仿宋_GB2312" w:cs="Times New Roman"/>
                <w:color w:val="000000"/>
                <w:highlight w:val="none"/>
              </w:rPr>
              <w:t>小于60</w:t>
            </w:r>
            <w:r>
              <w:rPr>
                <w:rFonts w:ascii="Times New Roman" w:hAnsi="Times New Roman" w:eastAsia="仿宋_GB2312" w:cs="Times New Roman"/>
                <w:color w:val="000000"/>
                <w:highlight w:val="none"/>
              </w:rPr>
              <w:t>m</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全库容V大于等于100</w:t>
            </w:r>
            <w:r>
              <w:rPr>
                <w:rFonts w:ascii="Times New Roman" w:hAnsi="Times New Roman" w:eastAsia="仿宋_GB2312" w:cs="仿宋_GB2312"/>
                <w:color w:val="000000"/>
                <w:highlight w:val="none"/>
              </w:rPr>
              <w:t>0</w:t>
            </w:r>
            <w:r>
              <w:rPr>
                <w:rFonts w:hint="eastAsia" w:ascii="Times New Roman" w:hAnsi="Times New Roman" w:eastAsia="仿宋_GB2312" w:cs="仿宋_GB2312"/>
                <w:highlight w:val="none"/>
              </w:rPr>
              <w:t>万</w:t>
            </w:r>
            <w:r>
              <w:rPr>
                <w:rFonts w:ascii="Times New Roman" w:hAnsi="Times New Roman" w:eastAsia="仿宋_GB2312" w:cs="Times New Roman"/>
                <w:highlight w:val="none"/>
              </w:rPr>
              <w:t>m</w:t>
            </w:r>
            <w:r>
              <w:rPr>
                <w:rFonts w:ascii="Times New Roman" w:hAnsi="Times New Roman" w:eastAsia="仿宋_GB2312" w:cs="Times New Roman"/>
                <w:highlight w:val="none"/>
                <w:vertAlign w:val="superscript"/>
              </w:rPr>
              <w:t>3</w:t>
            </w:r>
            <w:r>
              <w:rPr>
                <w:rFonts w:hint="eastAsia" w:ascii="Times New Roman" w:hAnsi="Times New Roman" w:eastAsia="仿宋_GB2312" w:cs="仿宋_GB2312"/>
                <w:highlight w:val="none"/>
              </w:rPr>
              <w:t>小于10000万</w:t>
            </w:r>
            <w:r>
              <w:rPr>
                <w:rFonts w:ascii="Times New Roman" w:hAnsi="Times New Roman" w:eastAsia="仿宋_GB2312" w:cs="Times New Roman"/>
                <w:highlight w:val="none"/>
              </w:rPr>
              <w:t>m</w:t>
            </w:r>
            <w:r>
              <w:rPr>
                <w:rFonts w:ascii="Times New Roman" w:hAnsi="Times New Roman" w:eastAsia="仿宋_GB2312" w:cs="Times New Roman"/>
                <w:highlight w:val="none"/>
                <w:vertAlign w:val="superscript"/>
              </w:rPr>
              <w:t>3</w:t>
            </w:r>
            <w:r>
              <w:rPr>
                <w:rFonts w:hint="eastAsia" w:ascii="Times New Roman" w:hAnsi="Times New Roman" w:eastAsia="仿宋_GB2312" w:cs="Times New Roman"/>
                <w:color w:val="000000"/>
                <w:highlight w:val="none"/>
              </w:rPr>
              <w:t>，</w:t>
            </w:r>
            <w:r>
              <w:rPr>
                <w:rFonts w:ascii="Times New Roman" w:hAnsi="Times New Roman" w:eastAsia="仿宋_GB2312" w:cs="Times New Roman"/>
                <w:color w:val="000000"/>
                <w:highlight w:val="none"/>
              </w:rPr>
              <w:t>坝高</w:t>
            </w:r>
            <w:r>
              <w:rPr>
                <w:rFonts w:hint="eastAsia" w:ascii="Times New Roman" w:hAnsi="Times New Roman" w:eastAsia="仿宋_GB2312" w:cs="Times New Roman"/>
                <w:color w:val="000000"/>
                <w:highlight w:val="none"/>
              </w:rPr>
              <w:t>H大于等于60</w:t>
            </w:r>
            <w:r>
              <w:rPr>
                <w:rFonts w:ascii="Times New Roman" w:hAnsi="Times New Roman" w:eastAsia="仿宋_GB2312" w:cs="Times New Roman"/>
                <w:color w:val="000000"/>
                <w:highlight w:val="none"/>
              </w:rPr>
              <w:t>m</w:t>
            </w:r>
            <w:r>
              <w:rPr>
                <w:rFonts w:hint="eastAsia" w:ascii="Times New Roman" w:hAnsi="Times New Roman" w:eastAsia="仿宋_GB2312" w:cs="Times New Roman"/>
                <w:color w:val="000000"/>
                <w:highlight w:val="none"/>
              </w:rPr>
              <w:t>小于100</w:t>
            </w:r>
            <w:r>
              <w:rPr>
                <w:rFonts w:ascii="Times New Roman" w:hAnsi="Times New Roman" w:eastAsia="仿宋_GB2312" w:cs="Times New Roman"/>
                <w:color w:val="000000"/>
                <w:highlight w:val="none"/>
              </w:rPr>
              <w:t>m</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全库容V大于等于</w:t>
            </w:r>
            <w:r>
              <w:rPr>
                <w:rFonts w:hint="eastAsia" w:ascii="Times New Roman" w:hAnsi="Times New Roman" w:eastAsia="仿宋_GB2312" w:cs="仿宋_GB2312"/>
                <w:highlight w:val="none"/>
              </w:rPr>
              <w:t>10000万</w:t>
            </w:r>
            <w:r>
              <w:rPr>
                <w:rFonts w:ascii="Times New Roman" w:hAnsi="Times New Roman" w:eastAsia="仿宋_GB2312" w:cs="Times New Roman"/>
                <w:highlight w:val="none"/>
              </w:rPr>
              <w:t>m</w:t>
            </w:r>
            <w:r>
              <w:rPr>
                <w:rFonts w:ascii="Times New Roman" w:hAnsi="Times New Roman" w:eastAsia="仿宋_GB2312" w:cs="Times New Roman"/>
                <w:highlight w:val="none"/>
                <w:vertAlign w:val="superscript"/>
              </w:rPr>
              <w:t>3</w:t>
            </w:r>
            <w:r>
              <w:rPr>
                <w:rFonts w:hint="eastAsia" w:ascii="Times New Roman" w:hAnsi="Times New Roman" w:eastAsia="仿宋_GB2312" w:cs="Times New Roman"/>
                <w:color w:val="000000"/>
                <w:highlight w:val="none"/>
              </w:rPr>
              <w:t>，</w:t>
            </w:r>
            <w:r>
              <w:rPr>
                <w:rFonts w:ascii="Times New Roman" w:hAnsi="Times New Roman" w:eastAsia="仿宋_GB2312" w:cs="Times New Roman"/>
                <w:color w:val="000000"/>
                <w:highlight w:val="none"/>
              </w:rPr>
              <w:t>坝高</w:t>
            </w:r>
            <w:r>
              <w:rPr>
                <w:rFonts w:hint="eastAsia" w:ascii="Times New Roman" w:hAnsi="Times New Roman" w:eastAsia="仿宋_GB2312" w:cs="Times New Roman"/>
                <w:color w:val="000000"/>
                <w:highlight w:val="none"/>
              </w:rPr>
              <w:t>H大于等于100</w:t>
            </w:r>
            <w:r>
              <w:rPr>
                <w:rFonts w:ascii="Times New Roman" w:hAnsi="Times New Roman" w:eastAsia="仿宋_GB2312" w:cs="Times New Roman"/>
                <w:color w:val="000000"/>
                <w:highlight w:val="none"/>
              </w:rPr>
              <w:t>m</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二等库具备</w:t>
            </w:r>
            <w:r>
              <w:rPr>
                <w:rFonts w:ascii="Times New Roman" w:hAnsi="Times New Roman" w:eastAsia="仿宋_GB2312" w:cs="仿宋_GB2312"/>
                <w:highlight w:val="none"/>
              </w:rPr>
              <w:t>提高等别条件者</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cs="Times New Roman"/>
                <w:highlight w:val="none"/>
              </w:rPr>
            </w:pPr>
          </w:p>
        </w:tc>
      </w:tr>
    </w:tbl>
    <w:p>
      <w:pPr>
        <w:widowControl/>
        <w:snapToGrid w:val="0"/>
        <w:jc w:val="left"/>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9209" w:type="dxa"/>
            <w:gridSpan w:val="3"/>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（五）土壤污染防治类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tcPr>
          <w:p>
            <w:pPr>
              <w:snapToGrid w:val="0"/>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建设和运行污水集中处理设施、固体废物处置设施，未依照法律法规和相关标准的要求采取措施防止土壤污染的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2"/>
              <w:ind w:firstLine="42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《中华人民共和国土壤污染防治法》第二十五条第一款</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建设和运行污水集中处理设施、固体废物处置设施，应当依照法律法规和相关标准的要求，采取措施防止土壤污染。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2"/>
              <w:adjustRightInd w:val="0"/>
              <w:snapToGrid w:val="0"/>
              <w:spacing w:before="0" w:beforeAutospacing="0" w:after="0" w:afterAutospacing="0"/>
              <w:ind w:firstLine="42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《中华人民共和国土壤污染防治法》第八十六条第一款第（七）项、第二款</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违反本法规定，有下列行为之一的，由地方人民政府生态环境主管部门或者其他负有土壤污染防治监督管理职责的部门责令改正，处以罚款；拒不改正的，责令停产整治：</w:t>
            </w:r>
          </w:p>
          <w:p>
            <w:pPr>
              <w:pStyle w:val="12"/>
              <w:adjustRightInd w:val="0"/>
              <w:snapToGrid w:val="0"/>
              <w:spacing w:before="0" w:beforeAutospacing="0" w:after="0" w:afterAutospacing="0"/>
              <w:ind w:firstLine="42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（七）建设和运行污水集中处理设施、固体废物处置设施，未依照法律法规和相关标准的要求采取措施防止土壤污染的。</w:t>
            </w:r>
          </w:p>
          <w:p>
            <w:pPr>
              <w:pStyle w:val="12"/>
              <w:snapToGrid w:val="0"/>
              <w:spacing w:before="0" w:beforeAutospacing="0" w:after="0" w:afterAutospacing="0"/>
              <w:ind w:firstLine="42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有前款规定行为之一的，处二万元以上二十万元以下的罚款；有前款第二项、第四项、第五项、第七项规定行为之一，造成严重后果的，处二十万元以上二百万元以下的罚款。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污水集中处理设施、固体废物处置设施中主体工程尚未建设，采取措施防止土壤污染，但是不符合要求</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污水集中处理设施、固体废物处置设施中主体工程尚未建设，未采取措施防止土壤污染</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污水集中处理设施、固体废物处置设施中主体工程已建成，采取措施防止土壤污染，但是不符合要求</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污水集中处理设施、固体废物处置设施中主体工程已建成，未采取措施防止土壤污染</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污水集中处理设施、固体废物处置设施已建成或者正在运行，未采取措施防止土壤污染</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造成土壤环境污染情况</w:t>
            </w: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未造成土壤污染的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color w:val="000000"/>
                <w:sz w:val="21"/>
                <w:szCs w:val="21"/>
                <w:highlight w:val="none"/>
              </w:rPr>
              <w:t>造成土壤污染面积</w:t>
            </w:r>
            <w:r>
              <w:rPr>
                <w:rFonts w:ascii="Times New Roman" w:hAnsi="Times New Roman" w:eastAsia="仿宋_GB2312" w:cs="Times New Roman"/>
                <w:color w:val="000000"/>
                <w:sz w:val="21"/>
                <w:szCs w:val="21"/>
                <w:highlight w:val="none"/>
              </w:rPr>
              <w:t>500m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以下的</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造成土壤污染面积</w:t>
            </w:r>
            <w:r>
              <w:rPr>
                <w:rFonts w:ascii="Times New Roman" w:hAnsi="Times New Roman" w:eastAsia="仿宋_GB2312" w:cs="Times New Roman"/>
                <w:color w:val="000000"/>
                <w:highlight w:val="none"/>
              </w:rPr>
              <w:t>500m</w:t>
            </w:r>
            <w:r>
              <w:rPr>
                <w:rFonts w:ascii="Times New Roman" w:hAnsi="Times New Roman" w:eastAsia="仿宋_GB2312" w:cs="Times New Roman"/>
                <w:color w:val="000000"/>
                <w:highlight w:val="none"/>
                <w:vertAlign w:val="superscript"/>
              </w:rPr>
              <w:t>2</w:t>
            </w:r>
            <w:r>
              <w:rPr>
                <w:rFonts w:hint="eastAsia" w:ascii="Times New Roman" w:hAnsi="Times New Roman" w:eastAsia="仿宋_GB2312" w:cs="仿宋_GB2312"/>
                <w:color w:val="000000"/>
                <w:highlight w:val="none"/>
              </w:rPr>
              <w:t>以上</w:t>
            </w:r>
            <w:r>
              <w:rPr>
                <w:rFonts w:ascii="Times New Roman" w:hAnsi="Times New Roman" w:eastAsia="仿宋_GB2312" w:cs="Times New Roman"/>
                <w:color w:val="000000"/>
                <w:highlight w:val="none"/>
              </w:rPr>
              <w:t>2000m</w:t>
            </w:r>
            <w:r>
              <w:rPr>
                <w:rFonts w:ascii="Times New Roman" w:hAnsi="Times New Roman" w:eastAsia="仿宋_GB2312" w:cs="Times New Roman"/>
                <w:color w:val="000000"/>
                <w:highlight w:val="none"/>
                <w:vertAlign w:val="superscript"/>
              </w:rPr>
              <w:t>2</w:t>
            </w:r>
            <w:r>
              <w:rPr>
                <w:rFonts w:hint="eastAsia" w:ascii="Times New Roman" w:hAnsi="Times New Roman" w:eastAsia="仿宋_GB2312" w:cs="仿宋_GB2312"/>
                <w:color w:val="000000"/>
                <w:highlight w:val="none"/>
              </w:rPr>
              <w:t>以下的</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color w:val="000000"/>
                <w:highlight w:val="none"/>
              </w:rPr>
              <w:t>造成土壤污染面积</w:t>
            </w:r>
            <w:r>
              <w:rPr>
                <w:rFonts w:ascii="Times New Roman" w:hAnsi="Times New Roman" w:eastAsia="仿宋_GB2312" w:cs="Times New Roman"/>
                <w:color w:val="000000"/>
                <w:highlight w:val="none"/>
              </w:rPr>
              <w:t>2000m</w:t>
            </w:r>
            <w:r>
              <w:rPr>
                <w:rFonts w:ascii="Times New Roman" w:hAnsi="Times New Roman" w:eastAsia="仿宋_GB2312" w:cs="Times New Roman"/>
                <w:color w:val="000000"/>
                <w:highlight w:val="none"/>
                <w:vertAlign w:val="superscript"/>
              </w:rPr>
              <w:t>2</w:t>
            </w:r>
            <w:r>
              <w:rPr>
                <w:rFonts w:hint="eastAsia" w:ascii="Times New Roman" w:hAnsi="Times New Roman" w:eastAsia="仿宋_GB2312" w:cs="仿宋_GB2312"/>
                <w:color w:val="000000"/>
                <w:highlight w:val="none"/>
              </w:rPr>
              <w:t>以上</w:t>
            </w:r>
            <w:r>
              <w:rPr>
                <w:rFonts w:ascii="Times New Roman" w:hAnsi="Times New Roman" w:eastAsia="仿宋_GB2312" w:cs="Times New Roman"/>
                <w:color w:val="000000"/>
                <w:highlight w:val="none"/>
              </w:rPr>
              <w:t>5000m</w:t>
            </w:r>
            <w:r>
              <w:rPr>
                <w:rFonts w:ascii="Times New Roman" w:hAnsi="Times New Roman" w:eastAsia="仿宋_GB2312" w:cs="Times New Roman"/>
                <w:color w:val="000000"/>
                <w:highlight w:val="none"/>
                <w:vertAlign w:val="superscript"/>
              </w:rPr>
              <w:t>2</w:t>
            </w:r>
            <w:r>
              <w:rPr>
                <w:rFonts w:hint="eastAsia" w:ascii="Times New Roman" w:hAnsi="Times New Roman" w:eastAsia="仿宋_GB2312" w:cs="仿宋_GB2312"/>
                <w:color w:val="000000"/>
                <w:highlight w:val="none"/>
              </w:rPr>
              <w:t>以下的</w:t>
            </w:r>
          </w:p>
        </w:tc>
        <w:tc>
          <w:tcPr>
            <w:tcW w:w="2693" w:type="dxa"/>
            <w:vAlign w:val="center"/>
          </w:tcPr>
          <w:p>
            <w:pPr>
              <w:snapToGrid w:val="0"/>
              <w:jc w:val="center"/>
              <w:rPr>
                <w:rFonts w:ascii="Times New Roman" w:hAnsi="Times New Roman" w:cs="Times New Roman"/>
                <w:highlight w:val="none"/>
              </w:rPr>
            </w:pPr>
            <w:r>
              <w:rPr>
                <w:rFonts w:hint="eastAsia"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color w:val="000000"/>
                <w:highlight w:val="none"/>
              </w:rPr>
              <w:t>造成土壤污染面积</w:t>
            </w:r>
            <w:r>
              <w:rPr>
                <w:rFonts w:ascii="Times New Roman" w:hAnsi="Times New Roman" w:eastAsia="仿宋_GB2312" w:cs="Times New Roman"/>
                <w:color w:val="000000"/>
                <w:highlight w:val="none"/>
              </w:rPr>
              <w:t>5000m</w:t>
            </w:r>
            <w:r>
              <w:rPr>
                <w:rFonts w:ascii="Times New Roman" w:hAnsi="Times New Roman" w:eastAsia="仿宋_GB2312" w:cs="Times New Roman"/>
                <w:color w:val="000000"/>
                <w:highlight w:val="none"/>
                <w:vertAlign w:val="superscript"/>
              </w:rPr>
              <w:t>2</w:t>
            </w:r>
            <w:r>
              <w:rPr>
                <w:rFonts w:hint="eastAsia" w:ascii="Times New Roman" w:hAnsi="Times New Roman" w:eastAsia="仿宋_GB2312" w:cs="仿宋_GB2312"/>
                <w:color w:val="000000"/>
                <w:highlight w:val="none"/>
              </w:rPr>
              <w:t>以上</w:t>
            </w:r>
            <w:r>
              <w:rPr>
                <w:rFonts w:ascii="Times New Roman" w:hAnsi="Times New Roman" w:eastAsia="仿宋_GB2312" w:cs="仿宋_GB2312"/>
                <w:color w:val="000000"/>
                <w:highlight w:val="none"/>
              </w:rPr>
              <w:t>的</w:t>
            </w:r>
          </w:p>
        </w:tc>
        <w:tc>
          <w:tcPr>
            <w:tcW w:w="2693" w:type="dxa"/>
            <w:vAlign w:val="center"/>
          </w:tcPr>
          <w:p>
            <w:pPr>
              <w:snapToGrid w:val="0"/>
              <w:jc w:val="center"/>
              <w:rPr>
                <w:rFonts w:ascii="Times New Roman" w:hAnsi="Times New Roman" w:cs="Times New Roman"/>
                <w:highlight w:val="none"/>
              </w:rPr>
            </w:pPr>
            <w:r>
              <w:rPr>
                <w:rFonts w:hint="eastAsia"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cs="Times New Roman"/>
                <w:highlight w:val="none"/>
              </w:rPr>
            </w:pPr>
          </w:p>
        </w:tc>
      </w:tr>
    </w:tbl>
    <w:p>
      <w:pPr>
        <w:widowControl/>
        <w:snapToGrid w:val="0"/>
        <w:jc w:val="left"/>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（五）土壤污染防治类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tcPr>
          <w:p>
            <w:pPr>
              <w:snapToGrid w:val="0"/>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向农用地排放重金属或者其他有毒有害物质含量超标的污水、污泥，以及可能造成土壤污染的清淤底泥、尾矿、矿渣等的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2"/>
              <w:snapToGrid w:val="0"/>
              <w:spacing w:before="62" w:beforeLines="20" w:beforeAutospacing="0" w:after="0" w:afterAutospacing="0"/>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《中华人民共和国土壤污染防治法》第二十八条第一款</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禁止向农用地排放重金属或者其他有毒有害物质含量超标的污水、污泥，以及可能造成土壤污染的清淤底泥、尾矿、矿渣等。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2"/>
              <w:snapToGrid w:val="0"/>
              <w:spacing w:before="62" w:beforeLines="20" w:beforeAutospacing="0" w:after="0" w:afterAutospacing="0"/>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《中华人民共和国土壤污染防治法》第八十七条</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违反本法规定，向农用地排放重金属或者其他有毒有害物质含量超标的污水、污泥，以及可能造成土壤污染的清淤底泥、尾矿、矿渣等的，由地方人民政府生态环境主管部门责令改正，处十万元以上五十万元以下的罚款；情节严重的，处五十万元以上二百万元以下的罚款，并可以将案件移送公安机关，对直接负责的主管人员和其他直接责任人员处五日以上十五日以下的拘留；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可能造成土壤污染的清淤底泥、尾矿、矿渣等</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重金属或者其他有毒有害物质含量超标</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以内的污水、污泥</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adjustRightInd w:val="0"/>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重金属或者其他有毒有害物质含量超标</w:t>
            </w:r>
            <w:r>
              <w:rPr>
                <w:rFonts w:ascii="Times New Roman" w:hAnsi="Times New Roman" w:eastAsia="仿宋_GB2312" w:cs="Times New Roman"/>
                <w:highlight w:val="none"/>
              </w:rPr>
              <w:t>10%</w:t>
            </w:r>
            <w:r>
              <w:rPr>
                <w:rFonts w:hint="eastAsia" w:ascii="Times New Roman" w:hAnsi="Times New Roman" w:eastAsia="仿宋_GB2312" w:cs="仿宋_GB2312"/>
                <w:highlight w:val="none"/>
              </w:rPr>
              <w:t>以上不足</w:t>
            </w:r>
            <w:r>
              <w:rPr>
                <w:rFonts w:ascii="Times New Roman" w:hAnsi="Times New Roman" w:eastAsia="仿宋_GB2312" w:cs="Times New Roman"/>
                <w:highlight w:val="none"/>
              </w:rPr>
              <w:t>50%</w:t>
            </w:r>
            <w:r>
              <w:rPr>
                <w:rFonts w:hint="eastAsia" w:ascii="Times New Roman" w:hAnsi="Times New Roman" w:eastAsia="仿宋_GB2312" w:cs="仿宋_GB2312"/>
                <w:highlight w:val="none"/>
              </w:rPr>
              <w:t>的污水、污泥</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adjustRightInd w:val="0"/>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重金属或者其他有毒有害物质含量超标</w:t>
            </w:r>
            <w:r>
              <w:rPr>
                <w:rFonts w:ascii="Times New Roman" w:hAnsi="Times New Roman" w:eastAsia="仿宋_GB2312" w:cs="Times New Roman"/>
                <w:highlight w:val="none"/>
              </w:rPr>
              <w:t>50%</w:t>
            </w:r>
            <w:r>
              <w:rPr>
                <w:rFonts w:hint="eastAsia" w:ascii="Times New Roman" w:hAnsi="Times New Roman" w:eastAsia="仿宋_GB2312" w:cs="仿宋_GB2312"/>
                <w:highlight w:val="none"/>
              </w:rPr>
              <w:t>以上不足</w:t>
            </w:r>
            <w:r>
              <w:rPr>
                <w:rFonts w:ascii="Times New Roman" w:hAnsi="Times New Roman" w:eastAsia="仿宋_GB2312" w:cs="Times New Roman"/>
                <w:highlight w:val="none"/>
              </w:rPr>
              <w:t>100%</w:t>
            </w:r>
            <w:r>
              <w:rPr>
                <w:rFonts w:hint="eastAsia" w:ascii="Times New Roman" w:hAnsi="Times New Roman" w:eastAsia="仿宋_GB2312" w:cs="仿宋_GB2312"/>
                <w:highlight w:val="none"/>
              </w:rPr>
              <w:t>的污水、污泥</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adjustRightInd w:val="0"/>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重金属或者其他有毒有害物质含量超标</w:t>
            </w:r>
            <w:r>
              <w:rPr>
                <w:rFonts w:ascii="Times New Roman" w:hAnsi="Times New Roman" w:eastAsia="仿宋_GB2312" w:cs="Times New Roman"/>
                <w:highlight w:val="none"/>
              </w:rPr>
              <w:t>100%</w:t>
            </w:r>
            <w:r>
              <w:rPr>
                <w:rFonts w:hint="eastAsia" w:ascii="Times New Roman" w:hAnsi="Times New Roman" w:eastAsia="仿宋_GB2312" w:cs="仿宋_GB2312"/>
                <w:highlight w:val="none"/>
              </w:rPr>
              <w:t>以上的污水、污泥</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污染量</w:t>
            </w:r>
          </w:p>
        </w:tc>
        <w:tc>
          <w:tcPr>
            <w:tcW w:w="5245" w:type="dxa"/>
            <w:vAlign w:val="center"/>
          </w:tcPr>
          <w:p>
            <w:pPr>
              <w:pStyle w:val="11"/>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2</w:t>
            </w:r>
            <w:r>
              <w:rPr>
                <w:rFonts w:hint="eastAsia" w:ascii="Times New Roman" w:hAnsi="Times New Roman" w:eastAsia="仿宋_GB2312" w:cs="仿宋_GB2312"/>
                <w:sz w:val="21"/>
                <w:szCs w:val="21"/>
                <w:highlight w:val="none"/>
              </w:rPr>
              <w:t>吨以下</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2</w:t>
            </w:r>
            <w:r>
              <w:rPr>
                <w:rFonts w:hint="eastAsia" w:ascii="Times New Roman" w:hAnsi="Times New Roman" w:eastAsia="仿宋_GB2312" w:cs="仿宋_GB2312"/>
                <w:sz w:val="21"/>
                <w:szCs w:val="21"/>
                <w:highlight w:val="none"/>
              </w:rPr>
              <w:t>吨以上</w:t>
            </w:r>
            <w:r>
              <w:rPr>
                <w:rFonts w:ascii="Times New Roman" w:hAnsi="Times New Roman" w:eastAsia="仿宋_GB2312" w:cs="Times New Roman"/>
                <w:sz w:val="21"/>
                <w:szCs w:val="21"/>
                <w:highlight w:val="none"/>
              </w:rPr>
              <w:t>5</w:t>
            </w:r>
            <w:r>
              <w:rPr>
                <w:rFonts w:hint="eastAsia" w:ascii="Times New Roman" w:hAnsi="Times New Roman" w:eastAsia="仿宋_GB2312" w:cs="仿宋_GB2312"/>
                <w:sz w:val="21"/>
                <w:szCs w:val="21"/>
                <w:highlight w:val="none"/>
              </w:rPr>
              <w:t>吨以下</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r>
              <w:rPr>
                <w:rFonts w:hint="eastAsia" w:ascii="Times New Roman" w:hAnsi="Times New Roman" w:eastAsia="仿宋_GB2312" w:cs="仿宋_GB2312"/>
                <w:highlight w:val="none"/>
              </w:rPr>
              <w:t>吨以上</w:t>
            </w:r>
            <w:r>
              <w:rPr>
                <w:rFonts w:ascii="Times New Roman" w:hAnsi="Times New Roman" w:eastAsia="仿宋_GB2312" w:cs="Times New Roman"/>
                <w:highlight w:val="none"/>
              </w:rPr>
              <w:t>10</w:t>
            </w:r>
            <w:r>
              <w:rPr>
                <w:rFonts w:hint="eastAsia" w:ascii="Times New Roman" w:hAnsi="Times New Roman" w:eastAsia="仿宋_GB2312" w:cs="仿宋_GB2312"/>
                <w:highlight w:val="none"/>
              </w:rPr>
              <w:t>吨以下</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吨以上</w:t>
            </w:r>
            <w:r>
              <w:rPr>
                <w:rFonts w:ascii="Times New Roman" w:hAnsi="Times New Roman" w:eastAsia="仿宋_GB2312" w:cs="Times New Roman"/>
                <w:sz w:val="21"/>
                <w:szCs w:val="21"/>
                <w:highlight w:val="none"/>
              </w:rPr>
              <w:t>20</w:t>
            </w:r>
            <w:r>
              <w:rPr>
                <w:rFonts w:hint="eastAsia" w:ascii="Times New Roman" w:hAnsi="Times New Roman" w:eastAsia="仿宋_GB2312" w:cs="仿宋_GB2312"/>
                <w:sz w:val="21"/>
                <w:szCs w:val="21"/>
                <w:highlight w:val="none"/>
              </w:rPr>
              <w:t>吨以下</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20</w:t>
            </w:r>
            <w:r>
              <w:rPr>
                <w:rFonts w:hint="eastAsia" w:ascii="Times New Roman" w:hAnsi="Times New Roman" w:eastAsia="仿宋_GB2312" w:cs="仿宋_GB2312"/>
                <w:sz w:val="21"/>
                <w:szCs w:val="21"/>
                <w:highlight w:val="none"/>
              </w:rPr>
              <w:t>吨以上</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农用地类型</w:t>
            </w:r>
          </w:p>
        </w:tc>
        <w:tc>
          <w:tcPr>
            <w:tcW w:w="5245" w:type="dxa"/>
            <w:vAlign w:val="center"/>
          </w:tcPr>
          <w:p>
            <w:pPr>
              <w:pStyle w:val="11"/>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严格管控类农用地</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安全利用类农用地</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优先保护类农用地</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已造成土壤环境污染面积</w:t>
            </w: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500m</w:t>
            </w:r>
            <w:r>
              <w:rPr>
                <w:rFonts w:ascii="Times New Roman" w:hAnsi="Times New Roman" w:eastAsia="仿宋_GB2312" w:cs="Times New Roman"/>
                <w:color w:val="000000"/>
                <w:highlight w:val="none"/>
                <w:vertAlign w:val="superscript"/>
              </w:rPr>
              <w:t>2</w:t>
            </w:r>
            <w:r>
              <w:rPr>
                <w:rFonts w:hint="eastAsia" w:ascii="Times New Roman" w:hAnsi="Times New Roman" w:eastAsia="仿宋_GB2312" w:cs="仿宋_GB2312"/>
                <w:color w:val="000000"/>
                <w:highlight w:val="none"/>
              </w:rPr>
              <w:t>以上</w:t>
            </w:r>
            <w:r>
              <w:rPr>
                <w:rFonts w:ascii="Times New Roman" w:hAnsi="Times New Roman" w:eastAsia="仿宋_GB2312" w:cs="Times New Roman"/>
                <w:color w:val="000000"/>
                <w:highlight w:val="none"/>
              </w:rPr>
              <w:t>100m</w:t>
            </w:r>
            <w:r>
              <w:rPr>
                <w:rFonts w:ascii="Times New Roman" w:hAnsi="Times New Roman" w:eastAsia="仿宋_GB2312" w:cs="Times New Roman"/>
                <w:color w:val="000000"/>
                <w:highlight w:val="none"/>
                <w:vertAlign w:val="superscript"/>
              </w:rPr>
              <w:t>2</w:t>
            </w:r>
            <w:r>
              <w:rPr>
                <w:rFonts w:hint="eastAsia" w:ascii="Times New Roman" w:hAnsi="Times New Roman" w:eastAsia="仿宋_GB2312" w:cs="仿宋_GB2312"/>
                <w:color w:val="000000"/>
                <w:highlight w:val="none"/>
              </w:rPr>
              <w:t>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1000m</w:t>
            </w:r>
            <w:r>
              <w:rPr>
                <w:rFonts w:ascii="Times New Roman" w:hAnsi="Times New Roman" w:eastAsia="仿宋_GB2312" w:cs="Times New Roman"/>
                <w:color w:val="000000"/>
                <w:highlight w:val="none"/>
                <w:vertAlign w:val="superscript"/>
              </w:rPr>
              <w:t>2</w:t>
            </w:r>
            <w:r>
              <w:rPr>
                <w:rFonts w:hint="eastAsia" w:ascii="Times New Roman" w:hAnsi="Times New Roman" w:eastAsia="仿宋_GB2312" w:cs="仿宋_GB2312"/>
                <w:color w:val="000000"/>
                <w:highlight w:val="none"/>
              </w:rPr>
              <w:t>以上</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cs="Times New Roman"/>
                <w:highlight w:val="none"/>
              </w:rPr>
            </w:pPr>
          </w:p>
        </w:tc>
      </w:tr>
    </w:tbl>
    <w:p>
      <w:pPr>
        <w:widowControl/>
        <w:snapToGrid w:val="0"/>
        <w:jc w:val="left"/>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（五）土壤污染防治类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tcPr>
          <w:p>
            <w:pPr>
              <w:snapToGrid w:val="0"/>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将重金属或者其他有毒有害物质含量超标的工业固体废物、生活垃圾或者污染土壤用于土地复垦的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2"/>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《中华人民共和国土壤污染防治法》第三十三条第二款</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禁止将重金属或者其他有毒有害物质含量超标的工业固体废物、生活垃圾或者污染土壤用于土地复垦。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2"/>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《中华人民共和国土壤污染防治法》第八十九条</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违反本法规定，将重金属或者其他有毒有害物质含量超标的工业固体废物、生活垃圾或者污染土壤用于土地复垦的，由地方人民政府生态环境主管部门责令改正，处十万元以上一百万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宋体"/>
                <w:b/>
                <w:bCs/>
                <w:color w:val="000000"/>
                <w:highlight w:val="none"/>
              </w:rPr>
            </w:pPr>
            <w:r>
              <w:rPr>
                <w:rFonts w:hint="eastAsia" w:ascii="Times New Roman" w:hAnsi="Times New Roman" w:cs="宋体"/>
                <w:b/>
                <w:bCs/>
                <w:color w:val="000000"/>
                <w:highlight w:val="none"/>
              </w:rPr>
              <w:t>违法事实★</w:t>
            </w:r>
          </w:p>
        </w:tc>
        <w:tc>
          <w:tcPr>
            <w:tcW w:w="5245"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将生活垃圾用于土地复垦的</w:t>
            </w:r>
          </w:p>
        </w:tc>
        <w:tc>
          <w:tcPr>
            <w:tcW w:w="269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b/>
                <w:bCs/>
                <w:color w:val="000000"/>
                <w:highlight w:val="none"/>
              </w:rPr>
            </w:pPr>
            <w:r>
              <w:rPr>
                <w:rFonts w:hint="eastAsia" w:ascii="Times New Roman" w:hAnsi="Times New Roman" w:eastAsia="仿宋_GB2312" w:cs="仿宋_GB2312"/>
                <w:color w:val="000000"/>
                <w:highlight w:val="none"/>
              </w:rPr>
              <w:t>将污染土壤用于土地复垦的</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将重金属或者其他有毒有害物质含量超标的工业固体废物用于土地复垦的</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宋体"/>
                <w:b/>
                <w:bCs/>
                <w:color w:val="000000"/>
                <w:highlight w:val="none"/>
              </w:rPr>
            </w:pPr>
            <w:r>
              <w:rPr>
                <w:rFonts w:hint="eastAsia" w:ascii="Times New Roman" w:hAnsi="Times New Roman" w:cs="宋体"/>
                <w:b/>
                <w:bCs/>
                <w:color w:val="000000"/>
                <w:highlight w:val="none"/>
              </w:rPr>
              <w:t>超标倍数</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用于</w:t>
            </w:r>
            <w:r>
              <w:rPr>
                <w:rFonts w:ascii="Times New Roman" w:hAnsi="Times New Roman" w:cs="宋体"/>
                <w:b/>
                <w:bCs/>
                <w:color w:val="000000"/>
                <w:highlight w:val="none"/>
              </w:rPr>
              <w:t>土壤复垦有标准吗？</w:t>
            </w: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以内</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以上不足</w:t>
            </w:r>
            <w:r>
              <w:rPr>
                <w:rFonts w:ascii="Times New Roman" w:hAnsi="Times New Roman" w:eastAsia="仿宋_GB2312" w:cs="Times New Roman"/>
                <w:color w:val="000000"/>
                <w:sz w:val="21"/>
                <w:szCs w:val="21"/>
                <w:highlight w:val="none"/>
              </w:rPr>
              <w:t>20%</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adjustRightInd w:val="0"/>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以上不足</w:t>
            </w:r>
            <w:r>
              <w:rPr>
                <w:rFonts w:ascii="Times New Roman" w:hAnsi="Times New Roman" w:eastAsia="仿宋_GB2312" w:cs="Times New Roman"/>
                <w:color w:val="000000"/>
                <w:highlight w:val="none"/>
              </w:rPr>
              <w:t>50%</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adjustRightInd w:val="0"/>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50%</w:t>
            </w:r>
            <w:r>
              <w:rPr>
                <w:rFonts w:hint="eastAsia" w:ascii="Times New Roman" w:hAnsi="Times New Roman" w:eastAsia="仿宋_GB2312" w:cs="仿宋_GB2312"/>
                <w:color w:val="000000"/>
                <w:highlight w:val="none"/>
              </w:rPr>
              <w:t>以上不足</w:t>
            </w:r>
            <w:r>
              <w:rPr>
                <w:rFonts w:ascii="Times New Roman" w:hAnsi="Times New Roman" w:eastAsia="仿宋_GB2312" w:cs="Times New Roman"/>
                <w:color w:val="000000"/>
                <w:highlight w:val="none"/>
              </w:rPr>
              <w:t>100%</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adjustRightInd w:val="0"/>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100%</w:t>
            </w:r>
            <w:r>
              <w:rPr>
                <w:rFonts w:hint="eastAsia" w:ascii="Times New Roman" w:hAnsi="Times New Roman" w:eastAsia="仿宋_GB2312" w:cs="仿宋_GB2312"/>
                <w:color w:val="000000"/>
                <w:highlight w:val="none"/>
              </w:rPr>
              <w:t>以上</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复垦面积</w:t>
            </w: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以上</w:t>
            </w:r>
            <w:r>
              <w:rPr>
                <w:rFonts w:ascii="Times New Roman" w:hAnsi="Times New Roman" w:eastAsia="仿宋_GB2312" w:cs="Times New Roman"/>
                <w:color w:val="000000"/>
                <w:sz w:val="21"/>
                <w:szCs w:val="21"/>
                <w:highlight w:val="none"/>
              </w:rPr>
              <w:t>5000m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5000m</w:t>
            </w:r>
            <w:r>
              <w:rPr>
                <w:rFonts w:ascii="Times New Roman" w:hAnsi="Times New Roman" w:eastAsia="仿宋_GB2312" w:cs="Times New Roman"/>
                <w:color w:val="000000"/>
                <w:highlight w:val="none"/>
                <w:vertAlign w:val="superscript"/>
              </w:rPr>
              <w:t>2</w:t>
            </w:r>
            <w:r>
              <w:rPr>
                <w:rFonts w:hint="eastAsia" w:ascii="Times New Roman" w:hAnsi="Times New Roman" w:eastAsia="仿宋_GB2312" w:cs="仿宋_GB2312"/>
                <w:color w:val="000000"/>
                <w:highlight w:val="none"/>
              </w:rPr>
              <w:t>以上</w:t>
            </w:r>
            <w:r>
              <w:rPr>
                <w:rFonts w:ascii="Times New Roman" w:hAnsi="Times New Roman" w:eastAsia="仿宋_GB2312" w:cs="Times New Roman"/>
                <w:color w:val="000000"/>
                <w:highlight w:val="none"/>
              </w:rPr>
              <w:t>10000m</w:t>
            </w:r>
            <w:r>
              <w:rPr>
                <w:rFonts w:ascii="Times New Roman" w:hAnsi="Times New Roman" w:eastAsia="仿宋_GB2312" w:cs="Times New Roman"/>
                <w:color w:val="000000"/>
                <w:highlight w:val="none"/>
                <w:vertAlign w:val="superscript"/>
              </w:rPr>
              <w:t>2</w:t>
            </w:r>
            <w:r>
              <w:rPr>
                <w:rFonts w:hint="eastAsia" w:ascii="Times New Roman" w:hAnsi="Times New Roman" w:eastAsia="仿宋_GB2312" w:cs="仿宋_GB2312"/>
                <w:color w:val="000000"/>
                <w:highlight w:val="none"/>
              </w:rPr>
              <w:t>以下</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10000m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以上</w:t>
            </w:r>
            <w:r>
              <w:rPr>
                <w:rFonts w:ascii="Times New Roman" w:hAnsi="Times New Roman" w:eastAsia="仿宋_GB2312" w:cs="Times New Roman"/>
                <w:color w:val="000000"/>
                <w:sz w:val="21"/>
                <w:szCs w:val="21"/>
                <w:highlight w:val="none"/>
              </w:rPr>
              <w:t>20000m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20000m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以上</w:t>
            </w:r>
          </w:p>
        </w:tc>
        <w:tc>
          <w:tcPr>
            <w:tcW w:w="269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2"/>
              <w:jc w:val="center"/>
              <w:rPr>
                <w:rFonts w:ascii="Times New Roman" w:hAnsi="Times New Roman" w:cs="Times New Roman"/>
                <w:b/>
                <w:bCs/>
                <w:highlight w:val="none"/>
              </w:rPr>
            </w:pPr>
          </w:p>
        </w:tc>
      </w:tr>
    </w:tbl>
    <w:p>
      <w:pPr>
        <w:widowControl/>
        <w:snapToGrid w:val="0"/>
        <w:jc w:val="left"/>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（五）土壤污染防治类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tcPr>
          <w:p>
            <w:pPr>
              <w:snapToGrid w:val="0"/>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出具虚假调查报告、风险评估报告、风险管控效果评估报告、修复效果评估报告的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2"/>
              <w:ind w:firstLine="42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《中华人民共和国土壤污染防治法》第四十三条第二款</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受委托从事前款活动的单位对其出具的调查报告、风险评估报告、风险管控效果评估报告、修复效果评估报告的真实性、准确性、完整性负责，并按照约定</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对风险管控、修复、后期管理等活动结果负责。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2"/>
              <w:snapToGrid w:val="0"/>
              <w:spacing w:before="0" w:beforeAutospacing="0" w:after="0" w:afterAutospacing="0"/>
              <w:ind w:firstLine="42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《中华人民共和国土壤污染防治法》第九十条第一款、第二款</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违反本法规定，受委托从事土壤污染状况调查和土壤污染风险评估、风险管控效果评估、修复效果评估活动的单位，出具虚假调查报告、风险评估报告、风险管控效果评估报告、修复效果评估报告的，由地方人民政府生态环境主管部门处十万元以上五十万元以下的罚款；情节严重的，禁止从事上述业务，并处五十万元以上一百万元以下的罚款；有违法所得的，没收违法所得。</w:t>
            </w:r>
          </w:p>
          <w:p>
            <w:pPr>
              <w:pStyle w:val="12"/>
              <w:snapToGrid w:val="0"/>
              <w:spacing w:before="0" w:beforeAutospacing="0" w:after="0" w:afterAutospacing="0"/>
              <w:ind w:firstLine="42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前款规定的单位出具虚假报告的，由地方人民政府生态环境主管部门对直接负责的主管人员和其他直接责任人员处一万元以上五万元以下的罚款；情节严重的，十年内禁止从事前款规定的业务；构成犯罪的，终身禁止从事前款规定的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r>
              <w:rPr>
                <w:rFonts w:hint="eastAsia" w:ascii="Times New Roman" w:hAnsi="Times New Roman" w:cs="宋体"/>
                <w:b/>
                <w:bCs/>
                <w:color w:val="000000"/>
                <w:highlight w:val="none"/>
              </w:rPr>
              <w:t>★</w:t>
            </w:r>
          </w:p>
        </w:tc>
        <w:tc>
          <w:tcPr>
            <w:tcW w:w="5245" w:type="dxa"/>
            <w:vAlign w:val="center"/>
          </w:tcPr>
          <w:p>
            <w:pPr>
              <w:pStyle w:val="11"/>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出具虚假报告，无不良后果的</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出具虚假报告，造成不良后果的</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jc w:val="center"/>
              <w:rPr>
                <w:rFonts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出具虚假报告，造成严重后果的</w:t>
            </w:r>
          </w:p>
        </w:tc>
        <w:tc>
          <w:tcPr>
            <w:tcW w:w="269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涉案面积</w:t>
            </w:r>
          </w:p>
        </w:tc>
        <w:tc>
          <w:tcPr>
            <w:tcW w:w="5245" w:type="dxa"/>
            <w:vAlign w:val="center"/>
          </w:tcPr>
          <w:p>
            <w:pPr>
              <w:pStyle w:val="11"/>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1000m</w:t>
            </w:r>
            <w:r>
              <w:rPr>
                <w:rFonts w:ascii="Times New Roman" w:hAnsi="Times New Roman" w:eastAsia="仿宋_GB2312" w:cs="Times New Roman"/>
                <w:sz w:val="21"/>
                <w:szCs w:val="21"/>
                <w:highlight w:val="none"/>
                <w:vertAlign w:val="superscript"/>
              </w:rPr>
              <w:t>2</w:t>
            </w:r>
            <w:r>
              <w:rPr>
                <w:rFonts w:hint="eastAsia" w:ascii="Times New Roman" w:hAnsi="Times New Roman" w:eastAsia="仿宋_GB2312" w:cs="仿宋_GB2312"/>
                <w:sz w:val="21"/>
                <w:szCs w:val="21"/>
                <w:highlight w:val="none"/>
              </w:rPr>
              <w:t>以下</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1000m</w:t>
            </w:r>
            <w:r>
              <w:rPr>
                <w:rFonts w:ascii="Times New Roman" w:hAnsi="Times New Roman" w:eastAsia="仿宋_GB2312" w:cs="Times New Roman"/>
                <w:sz w:val="21"/>
                <w:szCs w:val="21"/>
                <w:highlight w:val="none"/>
                <w:vertAlign w:val="superscript"/>
              </w:rPr>
              <w:t>2</w:t>
            </w:r>
            <w:r>
              <w:rPr>
                <w:rFonts w:hint="eastAsia" w:ascii="Times New Roman" w:hAnsi="Times New Roman" w:eastAsia="仿宋_GB2312" w:cs="仿宋_GB2312"/>
                <w:sz w:val="21"/>
                <w:szCs w:val="21"/>
                <w:highlight w:val="none"/>
              </w:rPr>
              <w:t>以上</w:t>
            </w:r>
            <w:r>
              <w:rPr>
                <w:rFonts w:ascii="Times New Roman" w:hAnsi="Times New Roman" w:eastAsia="仿宋_GB2312" w:cs="Times New Roman"/>
                <w:sz w:val="21"/>
                <w:szCs w:val="21"/>
                <w:highlight w:val="none"/>
              </w:rPr>
              <w:t>5000m</w:t>
            </w:r>
            <w:r>
              <w:rPr>
                <w:rFonts w:ascii="Times New Roman" w:hAnsi="Times New Roman" w:eastAsia="仿宋_GB2312" w:cs="Times New Roman"/>
                <w:sz w:val="21"/>
                <w:szCs w:val="21"/>
                <w:highlight w:val="none"/>
                <w:vertAlign w:val="superscript"/>
              </w:rPr>
              <w:t>2</w:t>
            </w:r>
            <w:r>
              <w:rPr>
                <w:rFonts w:hint="eastAsia" w:ascii="Times New Roman" w:hAnsi="Times New Roman" w:eastAsia="仿宋_GB2312" w:cs="仿宋_GB2312"/>
                <w:sz w:val="21"/>
                <w:szCs w:val="21"/>
                <w:highlight w:val="none"/>
              </w:rPr>
              <w:t>以下</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5000m</w:t>
            </w:r>
            <w:r>
              <w:rPr>
                <w:rFonts w:ascii="Times New Roman" w:hAnsi="Times New Roman" w:eastAsia="仿宋_GB2312" w:cs="Times New Roman"/>
                <w:sz w:val="21"/>
                <w:szCs w:val="21"/>
                <w:highlight w:val="none"/>
                <w:vertAlign w:val="superscript"/>
              </w:rPr>
              <w:t>2</w:t>
            </w:r>
            <w:r>
              <w:rPr>
                <w:rFonts w:hint="eastAsia" w:ascii="Times New Roman" w:hAnsi="Times New Roman" w:eastAsia="仿宋_GB2312" w:cs="仿宋_GB2312"/>
                <w:sz w:val="21"/>
                <w:szCs w:val="21"/>
                <w:highlight w:val="none"/>
              </w:rPr>
              <w:t>以上</w:t>
            </w:r>
            <w:r>
              <w:rPr>
                <w:rFonts w:ascii="Times New Roman" w:hAnsi="Times New Roman" w:eastAsia="仿宋_GB2312" w:cs="Times New Roman"/>
                <w:sz w:val="21"/>
                <w:szCs w:val="21"/>
                <w:highlight w:val="none"/>
              </w:rPr>
              <w:t>10000m</w:t>
            </w:r>
            <w:r>
              <w:rPr>
                <w:rFonts w:ascii="Times New Roman" w:hAnsi="Times New Roman" w:eastAsia="仿宋_GB2312" w:cs="Times New Roman"/>
                <w:sz w:val="21"/>
                <w:szCs w:val="21"/>
                <w:highlight w:val="none"/>
                <w:vertAlign w:val="superscript"/>
              </w:rPr>
              <w:t>2</w:t>
            </w:r>
            <w:r>
              <w:rPr>
                <w:rFonts w:hint="eastAsia" w:ascii="Times New Roman" w:hAnsi="Times New Roman" w:eastAsia="仿宋_GB2312" w:cs="仿宋_GB2312"/>
                <w:sz w:val="21"/>
                <w:szCs w:val="21"/>
                <w:highlight w:val="none"/>
              </w:rPr>
              <w:t>以下</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10000m</w:t>
            </w:r>
            <w:r>
              <w:rPr>
                <w:rFonts w:ascii="Times New Roman" w:hAnsi="Times New Roman" w:eastAsia="仿宋_GB2312" w:cs="Times New Roman"/>
                <w:sz w:val="21"/>
                <w:szCs w:val="21"/>
                <w:highlight w:val="none"/>
                <w:vertAlign w:val="superscript"/>
              </w:rPr>
              <w:t>2</w:t>
            </w:r>
            <w:r>
              <w:rPr>
                <w:rFonts w:hint="eastAsia" w:ascii="Times New Roman" w:hAnsi="Times New Roman" w:eastAsia="仿宋_GB2312" w:cs="仿宋_GB2312"/>
                <w:sz w:val="21"/>
                <w:szCs w:val="21"/>
                <w:highlight w:val="none"/>
              </w:rPr>
              <w:t>以上</w:t>
            </w:r>
            <w:r>
              <w:rPr>
                <w:rFonts w:ascii="Times New Roman" w:hAnsi="Times New Roman" w:eastAsia="仿宋_GB2312" w:cs="Times New Roman"/>
                <w:sz w:val="21"/>
                <w:szCs w:val="21"/>
                <w:highlight w:val="none"/>
              </w:rPr>
              <w:t>20000m</w:t>
            </w:r>
            <w:r>
              <w:rPr>
                <w:rFonts w:ascii="Times New Roman" w:hAnsi="Times New Roman" w:eastAsia="仿宋_GB2312" w:cs="Times New Roman"/>
                <w:sz w:val="21"/>
                <w:szCs w:val="21"/>
                <w:highlight w:val="none"/>
                <w:vertAlign w:val="superscript"/>
              </w:rPr>
              <w:t>2</w:t>
            </w:r>
            <w:r>
              <w:rPr>
                <w:rFonts w:hint="eastAsia" w:ascii="Times New Roman" w:hAnsi="Times New Roman" w:eastAsia="仿宋_GB2312" w:cs="仿宋_GB2312"/>
                <w:sz w:val="21"/>
                <w:szCs w:val="21"/>
                <w:highlight w:val="none"/>
              </w:rPr>
              <w:t>以下</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20000m</w:t>
            </w:r>
            <w:r>
              <w:rPr>
                <w:rFonts w:ascii="Times New Roman" w:hAnsi="Times New Roman" w:eastAsia="仿宋_GB2312" w:cs="Times New Roman"/>
                <w:sz w:val="21"/>
                <w:szCs w:val="21"/>
                <w:highlight w:val="none"/>
                <w:vertAlign w:val="superscript"/>
              </w:rPr>
              <w:t>2</w:t>
            </w:r>
            <w:r>
              <w:rPr>
                <w:rFonts w:hint="eastAsia" w:ascii="Times New Roman" w:hAnsi="Times New Roman" w:eastAsia="仿宋_GB2312" w:cs="仿宋_GB2312"/>
                <w:sz w:val="21"/>
                <w:szCs w:val="21"/>
                <w:highlight w:val="none"/>
              </w:rPr>
              <w:t>以上</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所在区域土壤环境敏感程度</w:t>
            </w:r>
          </w:p>
        </w:tc>
        <w:tc>
          <w:tcPr>
            <w:tcW w:w="5245" w:type="dxa"/>
            <w:vAlign w:val="center"/>
          </w:tcPr>
          <w:p>
            <w:pPr>
              <w:pStyle w:val="11"/>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第二类建设用地</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第一类建设用地</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严格管控类农用地</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安全利用类农用地</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优先保护类农用地</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left"/>
              <w:rPr>
                <w:rFonts w:ascii="Times New Roman" w:hAnsi="Times New Roman" w:eastAsia="仿宋_GB2312" w:cs="Times New Roman"/>
                <w:highlight w:val="none"/>
              </w:rPr>
            </w:pPr>
            <w:r>
              <w:rPr>
                <w:rFonts w:hint="eastAsia" w:ascii="Times New Roman" w:hAnsi="Times New Roman" w:eastAsia="仿宋_GB2312" w:cs="仿宋_GB2312"/>
                <w:highlight w:val="none"/>
              </w:rPr>
              <w:t>涉案面积可根据调查报告、风险评估报告、风险管控果评估报告、修复效果评估报告来进行认定。</w:t>
            </w: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09" w:type="dxa"/>
            <w:gridSpan w:val="3"/>
            <w:vAlign w:val="center"/>
          </w:tcPr>
          <w:p>
            <w:pPr>
              <w:snapToGrid w:val="0"/>
              <w:ind w:firstLine="643"/>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（五）土壤污染防治类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ind w:firstLine="420"/>
              <w:jc w:val="center"/>
              <w:rPr>
                <w:rFonts w:ascii="Times New Roman" w:hAnsi="Times New Roman" w:cs="Times New Roman"/>
                <w:highlight w:val="none"/>
              </w:rPr>
            </w:pPr>
            <w:r>
              <w:rPr>
                <w:rFonts w:ascii="Times New Roman" w:hAnsi="Times New Roman" w:cs="Times New Roman"/>
                <w:highlight w:val="none"/>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未单独收集、存放开发建设过程中剥离的表土的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vAlign w:val="center"/>
          </w:tcPr>
          <w:p>
            <w:pPr>
              <w:pStyle w:val="12"/>
              <w:spacing w:line="264"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《中华人民共和国土壤污染防治法》第三十三条</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国家加强对土壤资源的保护和合理利用。对开发建设过程中剥离的表土，应当单独收集和存放，符合条件的应当优先用于土地复垦、土壤改良、造地和绿化等。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vAlign w:val="center"/>
          </w:tcPr>
          <w:p>
            <w:pPr>
              <w:pStyle w:val="12"/>
              <w:snapToGrid w:val="0"/>
              <w:spacing w:before="62" w:beforeLines="20" w:beforeAutospacing="0" w:after="0" w:afterAutospacing="0" w:line="264"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《中华人民共和国土壤污染防治法》第九十一条第（一）项</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违反本法规定，有下列行为之一的，由地方人民政府生态环境主管部门责令改正，处十万元以上五十万元以下的罚款；情节严重的，处五十万元以上一百万元以下的罚款；有违法所得的，没收违法所得；对直接负责的主管人员和其他直接责任人员处五千元以上二万元以下的罚款：</w:t>
            </w:r>
          </w:p>
          <w:p>
            <w:pPr>
              <w:pStyle w:val="12"/>
              <w:snapToGrid w:val="0"/>
              <w:spacing w:before="0" w:beforeAutospacing="0" w:after="0" w:afterAutospacing="0" w:line="264"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（一）未单独收集、存放开发建设过程中剥离的表土的；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ind w:firstLine="422"/>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45"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未单独收集、存放开发建设过程中剥离的表土的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245"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建设过程中剥离的表土与固体废物、生活垃圾混存的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245"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建设过程中剥离的表土混入有毒有害物体，影响回填使用的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表土数量</w:t>
            </w:r>
          </w:p>
        </w:tc>
        <w:tc>
          <w:tcPr>
            <w:tcW w:w="5245"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50</w:t>
            </w:r>
            <w:r>
              <w:rPr>
                <w:rFonts w:hint="eastAsia" w:ascii="Times New Roman" w:hAnsi="Times New Roman" w:eastAsia="仿宋_GB2312" w:cs="仿宋_GB2312"/>
                <w:color w:val="000000"/>
                <w:sz w:val="21"/>
                <w:szCs w:val="21"/>
                <w:highlight w:val="none"/>
              </w:rPr>
              <w:t>吨以下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245"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50</w:t>
            </w:r>
            <w:r>
              <w:rPr>
                <w:rFonts w:hint="eastAsia" w:ascii="Times New Roman" w:hAnsi="Times New Roman" w:eastAsia="仿宋_GB2312" w:cs="仿宋_GB2312"/>
                <w:color w:val="000000"/>
                <w:sz w:val="21"/>
                <w:szCs w:val="21"/>
                <w:highlight w:val="none"/>
              </w:rPr>
              <w:t>吨以上</w:t>
            </w:r>
            <w:r>
              <w:rPr>
                <w:rFonts w:ascii="Times New Roman" w:hAnsi="Times New Roman" w:eastAsia="仿宋_GB2312" w:cs="Times New Roman"/>
                <w:color w:val="000000"/>
                <w:sz w:val="21"/>
                <w:szCs w:val="21"/>
                <w:highlight w:val="none"/>
              </w:rPr>
              <w:t>100</w:t>
            </w:r>
            <w:r>
              <w:rPr>
                <w:rFonts w:hint="eastAsia" w:ascii="Times New Roman" w:hAnsi="Times New Roman" w:eastAsia="仿宋_GB2312" w:cs="仿宋_GB2312"/>
                <w:color w:val="000000"/>
                <w:sz w:val="21"/>
                <w:szCs w:val="21"/>
                <w:highlight w:val="none"/>
              </w:rPr>
              <w:t>吨以下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100</w:t>
            </w:r>
            <w:r>
              <w:rPr>
                <w:rFonts w:hint="eastAsia" w:ascii="Times New Roman" w:hAnsi="Times New Roman" w:eastAsia="仿宋_GB2312" w:cs="仿宋_GB2312"/>
                <w:color w:val="000000"/>
                <w:highlight w:val="none"/>
              </w:rPr>
              <w:t>吨以上</w:t>
            </w:r>
            <w:r>
              <w:rPr>
                <w:rFonts w:ascii="Times New Roman" w:hAnsi="Times New Roman" w:eastAsia="仿宋_GB2312" w:cs="Times New Roman"/>
                <w:color w:val="000000"/>
                <w:highlight w:val="none"/>
              </w:rPr>
              <w:t>200</w:t>
            </w:r>
            <w:r>
              <w:rPr>
                <w:rFonts w:hint="eastAsia" w:ascii="Times New Roman" w:hAnsi="Times New Roman" w:eastAsia="仿宋_GB2312" w:cs="仿宋_GB2312"/>
                <w:color w:val="000000"/>
                <w:highlight w:val="none"/>
              </w:rPr>
              <w:t>吨以下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245"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200</w:t>
            </w:r>
            <w:r>
              <w:rPr>
                <w:rFonts w:hint="eastAsia" w:ascii="Times New Roman" w:hAnsi="Times New Roman" w:eastAsia="仿宋_GB2312" w:cs="仿宋_GB2312"/>
                <w:color w:val="000000"/>
                <w:sz w:val="21"/>
                <w:szCs w:val="21"/>
                <w:highlight w:val="none"/>
              </w:rPr>
              <w:t>吨以上</w:t>
            </w:r>
            <w:r>
              <w:rPr>
                <w:rFonts w:ascii="Times New Roman" w:hAnsi="Times New Roman" w:eastAsia="仿宋_GB2312" w:cs="Times New Roman"/>
                <w:color w:val="000000"/>
                <w:sz w:val="21"/>
                <w:szCs w:val="21"/>
                <w:highlight w:val="none"/>
              </w:rPr>
              <w:t>500</w:t>
            </w:r>
            <w:r>
              <w:rPr>
                <w:rFonts w:hint="eastAsia" w:ascii="Times New Roman" w:hAnsi="Times New Roman" w:eastAsia="仿宋_GB2312" w:cs="仿宋_GB2312"/>
                <w:color w:val="000000"/>
                <w:sz w:val="21"/>
                <w:szCs w:val="21"/>
                <w:highlight w:val="none"/>
              </w:rPr>
              <w:t>吨以下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245"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500</w:t>
            </w:r>
            <w:r>
              <w:rPr>
                <w:rFonts w:hint="eastAsia" w:ascii="Times New Roman" w:hAnsi="Times New Roman" w:eastAsia="仿宋_GB2312" w:cs="仿宋_GB2312"/>
                <w:color w:val="000000"/>
                <w:sz w:val="21"/>
                <w:szCs w:val="21"/>
                <w:highlight w:val="none"/>
              </w:rPr>
              <w:t>吨以上</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贮存场所</w:t>
            </w:r>
          </w:p>
        </w:tc>
        <w:tc>
          <w:tcPr>
            <w:tcW w:w="5245" w:type="dxa"/>
            <w:vAlign w:val="center"/>
          </w:tcPr>
          <w:p>
            <w:pPr>
              <w:snapToGrid w:val="0"/>
              <w:jc w:val="center"/>
              <w:rPr>
                <w:rFonts w:ascii="Times New Roman" w:hAnsi="Times New Roman" w:eastAsia="仿宋_GB2312" w:cs="Times New Roman"/>
                <w:color w:val="000000"/>
                <w:kern w:val="0"/>
                <w:highlight w:val="none"/>
              </w:rPr>
            </w:pPr>
            <w:r>
              <w:rPr>
                <w:rFonts w:hint="eastAsia" w:ascii="Times New Roman" w:hAnsi="Times New Roman" w:eastAsia="仿宋_GB2312" w:cs="仿宋_GB2312"/>
                <w:color w:val="000000"/>
                <w:kern w:val="0"/>
                <w:highlight w:val="none"/>
              </w:rPr>
              <w:t>贮存场所达不到要求，有流失扬散的现象的</w:t>
            </w:r>
          </w:p>
        </w:tc>
        <w:tc>
          <w:tcPr>
            <w:tcW w:w="2693" w:type="dxa"/>
            <w:vAlign w:val="center"/>
          </w:tcPr>
          <w:p>
            <w:pPr>
              <w:snapToGrid w:val="0"/>
              <w:jc w:val="center"/>
              <w:rPr>
                <w:rFonts w:ascii="Times New Roman" w:hAnsi="Times New Roman" w:eastAsia="仿宋_GB2312" w:cs="Times New Roman"/>
                <w:color w:val="000000"/>
                <w:kern w:val="0"/>
                <w:highlight w:val="none"/>
              </w:rPr>
            </w:pPr>
            <w:r>
              <w:rPr>
                <w:rFonts w:ascii="Times New Roman" w:hAnsi="Times New Roman" w:eastAsia="仿宋_GB2312" w:cs="Times New Roman"/>
                <w:color w:val="000000"/>
                <w:kern w:val="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kern w:val="0"/>
                <w:highlight w:val="none"/>
              </w:rPr>
              <w:t>有贮存场所，但未单独存放的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kern w:val="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kern w:val="0"/>
                <w:highlight w:val="none"/>
              </w:rPr>
              <w:t>无贮存场所，但未单独收集、存放的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kern w:val="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2"/>
              <w:jc w:val="center"/>
              <w:rPr>
                <w:rFonts w:ascii="Times New Roman" w:hAnsi="Times New Roman" w:cs="Times New Roman"/>
                <w:b/>
                <w:bCs/>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09" w:type="dxa"/>
            <w:gridSpan w:val="3"/>
            <w:vAlign w:val="center"/>
          </w:tcPr>
          <w:p>
            <w:pPr>
              <w:snapToGrid w:val="0"/>
              <w:ind w:firstLine="643"/>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（五）土壤污染防治类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ind w:firstLine="420"/>
              <w:jc w:val="center"/>
              <w:rPr>
                <w:rFonts w:ascii="Times New Roman" w:hAnsi="Times New Roman" w:cs="Times New Roman"/>
                <w:highlight w:val="none"/>
              </w:rPr>
            </w:pPr>
            <w:r>
              <w:rPr>
                <w:rFonts w:ascii="Times New Roman" w:hAnsi="Times New Roman" w:cs="Times New Roman"/>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实施风险管控、修复活动对土壤、周边环境造成新的污染的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vAlign w:val="center"/>
          </w:tcPr>
          <w:p>
            <w:pPr>
              <w:pStyle w:val="12"/>
              <w:snapToGrid w:val="0"/>
              <w:spacing w:before="62" w:beforeLines="20" w:beforeAutospacing="0" w:after="0" w:afterAutospacing="0"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《中华人民共和国土壤污染防治法》第三十八条第二款</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实施风险管控、修复活动，不得对土壤和周边环境造成新的污染。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vAlign w:val="center"/>
          </w:tcPr>
          <w:p>
            <w:pPr>
              <w:pStyle w:val="12"/>
              <w:snapToGrid w:val="0"/>
              <w:spacing w:before="62" w:beforeLines="20" w:beforeAutospacing="0" w:after="0" w:afterAutospacing="0"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《中华人民共和国土壤污染防治法》第九十一条</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违反本法规定，有下列行为之一的，由地方人民政府生态环境主管部门责令改正，处十万元以上五十万元以下的罚款；情节严重的，处五十万元以上一百万元以下的罚款；有违法所得的，没收违法所得；对直接负责的主管人员和其他直接责任人员处五千元以上二万元以下的罚款：</w:t>
            </w:r>
          </w:p>
          <w:p>
            <w:pPr>
              <w:pStyle w:val="12"/>
              <w:snapToGrid w:val="0"/>
              <w:spacing w:before="0" w:beforeAutospacing="0" w:after="0" w:afterAutospacing="0"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（二）实施风险管控、修复活动对土壤、周边环境造成新的污染的；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245" w:type="dxa"/>
            <w:vAlign w:val="center"/>
          </w:tcPr>
          <w:p>
            <w:pPr>
              <w:snapToGrid w:val="0"/>
              <w:ind w:firstLine="422"/>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9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所在区域土壤敏感度★</w:t>
            </w:r>
          </w:p>
        </w:tc>
        <w:tc>
          <w:tcPr>
            <w:tcW w:w="5245"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第二类建设用地</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245"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第一类建设用地</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严格管控类农用地</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安全利用类农用地</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优先保护类农用地</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污染面积</w:t>
            </w:r>
          </w:p>
        </w:tc>
        <w:tc>
          <w:tcPr>
            <w:tcW w:w="5245"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245"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以上</w:t>
            </w:r>
            <w:r>
              <w:rPr>
                <w:rFonts w:ascii="Times New Roman" w:hAnsi="Times New Roman" w:eastAsia="仿宋_GB2312" w:cs="Times New Roman"/>
                <w:color w:val="000000"/>
                <w:sz w:val="21"/>
                <w:szCs w:val="21"/>
                <w:highlight w:val="none"/>
              </w:rPr>
              <w:t>5000m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5000m</w:t>
            </w:r>
            <w:r>
              <w:rPr>
                <w:rFonts w:ascii="Times New Roman" w:hAnsi="Times New Roman" w:eastAsia="仿宋_GB2312" w:cs="Times New Roman"/>
                <w:color w:val="000000"/>
                <w:highlight w:val="none"/>
                <w:vertAlign w:val="superscript"/>
              </w:rPr>
              <w:t>2</w:t>
            </w:r>
            <w:r>
              <w:rPr>
                <w:rFonts w:hint="eastAsia" w:ascii="Times New Roman" w:hAnsi="Times New Roman" w:eastAsia="仿宋_GB2312" w:cs="仿宋_GB2312"/>
                <w:color w:val="000000"/>
                <w:highlight w:val="none"/>
              </w:rPr>
              <w:t>以上</w:t>
            </w:r>
            <w:r>
              <w:rPr>
                <w:rFonts w:ascii="Times New Roman" w:hAnsi="Times New Roman" w:eastAsia="仿宋_GB2312" w:cs="Times New Roman"/>
                <w:color w:val="000000"/>
                <w:highlight w:val="none"/>
              </w:rPr>
              <w:t>10000m</w:t>
            </w:r>
            <w:r>
              <w:rPr>
                <w:rFonts w:ascii="Times New Roman" w:hAnsi="Times New Roman" w:eastAsia="仿宋_GB2312" w:cs="Times New Roman"/>
                <w:color w:val="000000"/>
                <w:highlight w:val="none"/>
                <w:vertAlign w:val="superscript"/>
              </w:rPr>
              <w:t>2</w:t>
            </w:r>
            <w:r>
              <w:rPr>
                <w:rFonts w:hint="eastAsia" w:ascii="Times New Roman" w:hAnsi="Times New Roman" w:eastAsia="仿宋_GB2312" w:cs="仿宋_GB2312"/>
                <w:color w:val="000000"/>
                <w:highlight w:val="none"/>
              </w:rPr>
              <w:t>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245"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10000m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以上</w:t>
            </w:r>
            <w:r>
              <w:rPr>
                <w:rFonts w:ascii="Times New Roman" w:hAnsi="Times New Roman" w:eastAsia="仿宋_GB2312" w:cs="Times New Roman"/>
                <w:color w:val="000000"/>
                <w:sz w:val="21"/>
                <w:szCs w:val="21"/>
                <w:highlight w:val="none"/>
              </w:rPr>
              <w:t>20000m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245"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20000m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以上</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2"/>
              <w:jc w:val="center"/>
              <w:rPr>
                <w:rFonts w:ascii="Times New Roman" w:hAnsi="Times New Roman" w:cs="Times New Roman"/>
                <w:b/>
                <w:bCs/>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09" w:type="dxa"/>
            <w:gridSpan w:val="3"/>
            <w:vAlign w:val="center"/>
          </w:tcPr>
          <w:p>
            <w:pPr>
              <w:snapToGrid w:val="0"/>
              <w:ind w:firstLine="643"/>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（五）土壤污染防治类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ind w:firstLine="420"/>
              <w:jc w:val="center"/>
              <w:rPr>
                <w:rFonts w:ascii="Times New Roman" w:hAnsi="Times New Roman" w:cs="Times New Roman"/>
                <w:highlight w:val="none"/>
              </w:rPr>
            </w:pPr>
            <w:r>
              <w:rPr>
                <w:rFonts w:ascii="Times New Roman" w:hAnsi="Times New Roman" w:cs="Times New Roman"/>
                <w:highlight w:val="none"/>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spacing w:line="264" w:lineRule="auto"/>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转运污染土壤，未将运输时间、方式、线路和污染土壤数量、去向、最终处置措施等提前报所在地和接收地生态环境主管部门的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vAlign w:val="center"/>
          </w:tcPr>
          <w:p>
            <w:pPr>
              <w:pStyle w:val="12"/>
              <w:snapToGrid w:val="0"/>
              <w:spacing w:before="62" w:beforeLines="20" w:beforeAutospacing="0" w:after="0" w:afterAutospacing="0" w:line="264"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《中华人民共和国土壤污染防治法》第四十一条第一款</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修复施工单位转运污染土壤的，应当制定转运计划，将运输时间、方式、线路和污染土壤数量、去向、最终处置措施等，提前报所在地和接收地生态环境主管部门。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vAlign w:val="center"/>
          </w:tcPr>
          <w:p>
            <w:pPr>
              <w:pStyle w:val="12"/>
              <w:snapToGrid w:val="0"/>
              <w:spacing w:before="62" w:beforeLines="20" w:beforeAutospacing="0" w:after="0" w:afterAutospacing="0" w:line="264"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《中华人民共和国土壤污染防治法》第九十一条第（三）项</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违反本法规定，有下列行为之一的，由地方人民政府生态环境主管部门责令改正，处十万元以上五十万元以下的罚款；情节严重的，处五十万元以上一百万元以下的罚款；有违法所得的，没收违法所得；对直接负责的主管人员和其他直接责任人员处五千元以上二万元以下的罚款：</w:t>
            </w:r>
          </w:p>
          <w:p>
            <w:pPr>
              <w:pStyle w:val="12"/>
              <w:snapToGrid w:val="0"/>
              <w:spacing w:before="0" w:beforeAutospacing="0" w:after="0" w:afterAutospacing="0" w:line="264"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（三）转运污染土壤，未将运输时间、方式、线路和污染土壤数量、去向、最终处置措施等提前报所在地和接收地生态环境主管部门的。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转运土壤</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数量</w:t>
            </w:r>
            <w:r>
              <w:rPr>
                <w:rFonts w:hint="eastAsia" w:ascii="Times New Roman" w:hAnsi="Times New Roman" w:cs="宋体"/>
                <w:b/>
                <w:bCs/>
                <w:color w:val="000000"/>
                <w:highlight w:val="none"/>
              </w:rPr>
              <w:t>★</w:t>
            </w: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2</w:t>
            </w:r>
            <w:r>
              <w:rPr>
                <w:rFonts w:hint="eastAsia" w:ascii="Times New Roman" w:hAnsi="Times New Roman" w:eastAsia="仿宋_GB2312" w:cs="仿宋_GB2312"/>
                <w:sz w:val="21"/>
                <w:szCs w:val="21"/>
                <w:highlight w:val="none"/>
              </w:rPr>
              <w:t>吨以下</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2</w:t>
            </w:r>
            <w:r>
              <w:rPr>
                <w:rFonts w:hint="eastAsia" w:ascii="Times New Roman" w:hAnsi="Times New Roman" w:eastAsia="仿宋_GB2312" w:cs="仿宋_GB2312"/>
                <w:sz w:val="21"/>
                <w:szCs w:val="21"/>
                <w:highlight w:val="none"/>
              </w:rPr>
              <w:t>吨以上</w:t>
            </w:r>
            <w:r>
              <w:rPr>
                <w:rFonts w:ascii="Times New Roman" w:hAnsi="Times New Roman" w:eastAsia="仿宋_GB2312" w:cs="Times New Roman"/>
                <w:sz w:val="21"/>
                <w:szCs w:val="21"/>
                <w:highlight w:val="none"/>
              </w:rPr>
              <w:t>5</w:t>
            </w:r>
            <w:r>
              <w:rPr>
                <w:rFonts w:hint="eastAsia" w:ascii="Times New Roman" w:hAnsi="Times New Roman" w:eastAsia="仿宋_GB2312" w:cs="仿宋_GB2312"/>
                <w:sz w:val="21"/>
                <w:szCs w:val="21"/>
                <w:highlight w:val="none"/>
              </w:rPr>
              <w:t>吨以下</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r>
              <w:rPr>
                <w:rFonts w:hint="eastAsia" w:ascii="Times New Roman" w:hAnsi="Times New Roman" w:eastAsia="仿宋_GB2312" w:cs="仿宋_GB2312"/>
                <w:highlight w:val="none"/>
              </w:rPr>
              <w:t>吨以上</w:t>
            </w:r>
            <w:r>
              <w:rPr>
                <w:rFonts w:ascii="Times New Roman" w:hAnsi="Times New Roman" w:eastAsia="仿宋_GB2312" w:cs="Times New Roman"/>
                <w:highlight w:val="none"/>
              </w:rPr>
              <w:t>10</w:t>
            </w:r>
            <w:r>
              <w:rPr>
                <w:rFonts w:hint="eastAsia" w:ascii="Times New Roman" w:hAnsi="Times New Roman" w:eastAsia="仿宋_GB2312" w:cs="仿宋_GB2312"/>
                <w:highlight w:val="none"/>
              </w:rPr>
              <w:t>吨以下</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吨以上</w:t>
            </w:r>
            <w:r>
              <w:rPr>
                <w:rFonts w:ascii="Times New Roman" w:hAnsi="Times New Roman" w:eastAsia="仿宋_GB2312" w:cs="Times New Roman"/>
                <w:sz w:val="21"/>
                <w:szCs w:val="21"/>
                <w:highlight w:val="none"/>
              </w:rPr>
              <w:t>20</w:t>
            </w:r>
            <w:r>
              <w:rPr>
                <w:rFonts w:hint="eastAsia" w:ascii="Times New Roman" w:hAnsi="Times New Roman" w:eastAsia="仿宋_GB2312" w:cs="仿宋_GB2312"/>
                <w:sz w:val="21"/>
                <w:szCs w:val="21"/>
                <w:highlight w:val="none"/>
              </w:rPr>
              <w:t>吨以下</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20</w:t>
            </w:r>
            <w:r>
              <w:rPr>
                <w:rFonts w:hint="eastAsia" w:ascii="Times New Roman" w:hAnsi="Times New Roman" w:eastAsia="仿宋_GB2312" w:cs="仿宋_GB2312"/>
                <w:sz w:val="21"/>
                <w:szCs w:val="21"/>
                <w:highlight w:val="none"/>
              </w:rPr>
              <w:t>吨以上</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所在地或接受地土壤敏感度</w:t>
            </w:r>
            <w:r>
              <w:rPr>
                <w:rFonts w:hint="eastAsia" w:ascii="Times New Roman" w:hAnsi="Times New Roman" w:cs="宋体"/>
                <w:b/>
                <w:bCs/>
                <w:color w:val="000000"/>
                <w:highlight w:val="none"/>
              </w:rPr>
              <w:t>★</w:t>
            </w: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第二类建设用地</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第一类建设用地</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严格管控类农用地</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安全利用类农用地</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优先保护类农用地</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jc w:val="center"/>
              <w:rPr>
                <w:rFonts w:ascii="Times New Roman" w:hAnsi="Times New Roman" w:cs="Times New Roman"/>
                <w:b/>
                <w:bCs/>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09" w:type="dxa"/>
            <w:gridSpan w:val="3"/>
            <w:vAlign w:val="center"/>
          </w:tcPr>
          <w:p>
            <w:pPr>
              <w:snapToGrid w:val="0"/>
              <w:ind w:firstLine="643"/>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（五）土壤污染防治类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ind w:firstLine="420"/>
              <w:jc w:val="center"/>
              <w:rPr>
                <w:rFonts w:ascii="Times New Roman" w:hAnsi="Times New Roman" w:cs="Times New Roman"/>
                <w:highlight w:val="none"/>
              </w:rPr>
            </w:pPr>
            <w:r>
              <w:rPr>
                <w:rFonts w:ascii="Times New Roman" w:hAnsi="Times New Roman" w:cs="Times New Roman"/>
                <w:highlight w:val="none"/>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spacing w:before="62" w:beforeLines="20" w:line="288" w:lineRule="auto"/>
              <w:ind w:firstLine="420"/>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未达到土壤污染风险评估报告确定的风险管控、修复目标的建设用地地块，开工建设与风险管控、修复无关的项目的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vAlign w:val="center"/>
          </w:tcPr>
          <w:p>
            <w:pPr>
              <w:pStyle w:val="12"/>
              <w:snapToGrid w:val="0"/>
              <w:spacing w:before="62" w:beforeLines="20" w:beforeAutospacing="0" w:after="0" w:afterAutospacing="0"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《中华人民共和国土壤污染防治法》第六十六条第三款</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未达到土壤污染风险评估报告确定的风险管控、修复目标的建设用地地块，禁止开工建设任何与风险管控、修复无关的项目。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vAlign w:val="center"/>
          </w:tcPr>
          <w:p>
            <w:pPr>
              <w:pStyle w:val="12"/>
              <w:snapToGrid w:val="0"/>
              <w:spacing w:before="62" w:beforeLines="20" w:beforeAutospacing="0" w:after="0" w:afterAutospacing="0"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《中华人民共和国土壤污染防治法》第九十一条</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违反本法规定，有下列行为之一的，由地方人民政府生态环境主管部门责令改正，处十万元以上五十万元以下的罚款；情节严重的，处五十万元以上一百万元以下的罚款；有违法所得的，没收违法所得；对直接负责的主管人员和其他直接责任人员处五千元以上二万元以下的罚款：</w:t>
            </w:r>
          </w:p>
          <w:p>
            <w:pPr>
              <w:pStyle w:val="12"/>
              <w:snapToGrid w:val="0"/>
              <w:spacing w:before="0" w:beforeAutospacing="0" w:after="0" w:afterAutospacing="0"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（四）未达到土壤污染风险评估报告确定的风险管控、修复目标的建设用地地块，开工建设与风险管控、修复无关的项目的。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项目建设</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情况</w:t>
            </w:r>
            <w:r>
              <w:rPr>
                <w:rFonts w:hint="eastAsia" w:ascii="Times New Roman" w:hAnsi="Times New Roman" w:cs="宋体"/>
                <w:b/>
                <w:bCs/>
                <w:color w:val="000000"/>
                <w:highlight w:val="none"/>
              </w:rPr>
              <w:t>★</w:t>
            </w: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项目已开工，但未建成</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项目已基本建成，但未投入使用</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项目已建成并投入使用的</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Merge w:val="restart"/>
            <w:vAlign w:val="center"/>
          </w:tcPr>
          <w:p>
            <w:pPr>
              <w:snapToGrid w:val="0"/>
              <w:jc w:val="center"/>
              <w:rPr>
                <w:rFonts w:ascii="Times New Roman" w:hAnsi="Times New Roman" w:cs="宋体"/>
                <w:b/>
                <w:bCs/>
                <w:highlight w:val="none"/>
              </w:rPr>
            </w:pPr>
            <w:r>
              <w:rPr>
                <w:rFonts w:hint="eastAsia" w:ascii="Times New Roman" w:hAnsi="Times New Roman" w:cs="宋体"/>
                <w:b/>
                <w:bCs/>
                <w:highlight w:val="none"/>
              </w:rPr>
              <w:t>项目类型</w:t>
            </w:r>
            <w:r>
              <w:rPr>
                <w:rFonts w:hint="eastAsia" w:ascii="Times New Roman" w:hAnsi="Times New Roman" w:cs="宋体"/>
                <w:b/>
                <w:bCs/>
                <w:color w:val="000000"/>
                <w:highlight w:val="none"/>
              </w:rPr>
              <w:t>★</w:t>
            </w:r>
            <w:r>
              <w:rPr>
                <w:rFonts w:hint="eastAsia" w:ascii="Times New Roman" w:hAnsi="Times New Roman" w:cs="宋体"/>
                <w:b/>
                <w:bCs/>
                <w:highlight w:val="none"/>
              </w:rPr>
              <w:t xml:space="preserve"> </w:t>
            </w:r>
          </w:p>
        </w:tc>
        <w:tc>
          <w:tcPr>
            <w:tcW w:w="5245"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Times New Roman"/>
                <w:color w:val="000000"/>
                <w:sz w:val="21"/>
                <w:szCs w:val="21"/>
                <w:highlight w:val="none"/>
              </w:rPr>
              <w:t>工业项目</w:t>
            </w:r>
          </w:p>
        </w:tc>
        <w:tc>
          <w:tcPr>
            <w:tcW w:w="2693"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宋体"/>
                <w:b/>
                <w:bCs/>
                <w:highlight w:val="none"/>
              </w:rPr>
            </w:pPr>
          </w:p>
        </w:tc>
        <w:tc>
          <w:tcPr>
            <w:tcW w:w="5245"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Times New Roman"/>
                <w:color w:val="000000"/>
                <w:sz w:val="21"/>
                <w:szCs w:val="21"/>
                <w:highlight w:val="none"/>
              </w:rPr>
              <w:t>商业</w:t>
            </w:r>
            <w:r>
              <w:rPr>
                <w:rFonts w:ascii="Times New Roman" w:hAnsi="Times New Roman" w:eastAsia="仿宋_GB2312" w:cs="Times New Roman"/>
                <w:color w:val="000000"/>
                <w:sz w:val="21"/>
                <w:szCs w:val="21"/>
                <w:highlight w:val="none"/>
              </w:rPr>
              <w:t>项目</w:t>
            </w:r>
          </w:p>
        </w:tc>
        <w:tc>
          <w:tcPr>
            <w:tcW w:w="2693"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宋体"/>
                <w:b/>
                <w:bCs/>
                <w:highlight w:val="none"/>
              </w:rPr>
            </w:pPr>
          </w:p>
        </w:tc>
        <w:tc>
          <w:tcPr>
            <w:tcW w:w="5245"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Times New Roman"/>
                <w:color w:val="000000"/>
                <w:sz w:val="21"/>
                <w:szCs w:val="21"/>
                <w:highlight w:val="none"/>
              </w:rPr>
              <w:t>民生项目</w:t>
            </w:r>
          </w:p>
        </w:tc>
        <w:tc>
          <w:tcPr>
            <w:tcW w:w="2693"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占地面积</w:t>
            </w:r>
          </w:p>
        </w:tc>
        <w:tc>
          <w:tcPr>
            <w:tcW w:w="5245"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以上</w:t>
            </w:r>
            <w:r>
              <w:rPr>
                <w:rFonts w:ascii="Times New Roman" w:hAnsi="Times New Roman" w:eastAsia="仿宋_GB2312" w:cs="Times New Roman"/>
                <w:color w:val="000000"/>
                <w:sz w:val="21"/>
                <w:szCs w:val="21"/>
                <w:highlight w:val="none"/>
              </w:rPr>
              <w:t>5000m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5000m</w:t>
            </w:r>
            <w:r>
              <w:rPr>
                <w:rFonts w:ascii="Times New Roman" w:hAnsi="Times New Roman" w:eastAsia="仿宋_GB2312" w:cs="Times New Roman"/>
                <w:color w:val="000000"/>
                <w:highlight w:val="none"/>
                <w:vertAlign w:val="superscript"/>
              </w:rPr>
              <w:t>2</w:t>
            </w:r>
            <w:r>
              <w:rPr>
                <w:rFonts w:hint="eastAsia" w:ascii="Times New Roman" w:hAnsi="Times New Roman" w:eastAsia="仿宋_GB2312" w:cs="仿宋_GB2312"/>
                <w:color w:val="000000"/>
                <w:highlight w:val="none"/>
              </w:rPr>
              <w:t>以上</w:t>
            </w:r>
            <w:r>
              <w:rPr>
                <w:rFonts w:ascii="Times New Roman" w:hAnsi="Times New Roman" w:eastAsia="仿宋_GB2312" w:cs="Times New Roman"/>
                <w:color w:val="000000"/>
                <w:highlight w:val="none"/>
              </w:rPr>
              <w:t>10000m</w:t>
            </w:r>
            <w:r>
              <w:rPr>
                <w:rFonts w:ascii="Times New Roman" w:hAnsi="Times New Roman" w:eastAsia="仿宋_GB2312" w:cs="Times New Roman"/>
                <w:color w:val="000000"/>
                <w:highlight w:val="none"/>
                <w:vertAlign w:val="superscript"/>
              </w:rPr>
              <w:t>2</w:t>
            </w:r>
            <w:r>
              <w:rPr>
                <w:rFonts w:hint="eastAsia" w:ascii="Times New Roman" w:hAnsi="Times New Roman" w:eastAsia="仿宋_GB2312" w:cs="仿宋_GB2312"/>
                <w:color w:val="000000"/>
                <w:highlight w:val="none"/>
              </w:rPr>
              <w:t>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10000m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以上</w:t>
            </w:r>
            <w:r>
              <w:rPr>
                <w:rFonts w:ascii="Times New Roman" w:hAnsi="Times New Roman" w:eastAsia="仿宋_GB2312" w:cs="Times New Roman"/>
                <w:color w:val="000000"/>
                <w:sz w:val="21"/>
                <w:szCs w:val="21"/>
                <w:highlight w:val="none"/>
              </w:rPr>
              <w:t>20000m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20000m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以上</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建设用地</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类型</w:t>
            </w:r>
          </w:p>
        </w:tc>
        <w:tc>
          <w:tcPr>
            <w:tcW w:w="5245"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第二类建设用地</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第一类建设用地</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jc w:val="center"/>
              <w:rPr>
                <w:rFonts w:ascii="Times New Roman" w:hAnsi="Times New Roman" w:cs="Times New Roman"/>
                <w:b/>
                <w:bCs/>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09" w:type="dxa"/>
            <w:gridSpan w:val="3"/>
            <w:vAlign w:val="center"/>
          </w:tcPr>
          <w:p>
            <w:pPr>
              <w:snapToGrid w:val="0"/>
              <w:ind w:firstLine="643"/>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（五）土壤污染防治类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ind w:firstLine="420"/>
              <w:jc w:val="center"/>
              <w:rPr>
                <w:rFonts w:ascii="Times New Roman" w:hAnsi="Times New Roman" w:cs="Times New Roman"/>
                <w:highlight w:val="none"/>
              </w:rPr>
            </w:pPr>
            <w:r>
              <w:rPr>
                <w:rFonts w:ascii="Times New Roman" w:hAnsi="Times New Roman" w:cs="Times New Roman"/>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38" w:type="dxa"/>
            <w:gridSpan w:val="2"/>
            <w:vAlign w:val="center"/>
          </w:tcPr>
          <w:p>
            <w:pPr>
              <w:snapToGrid w:val="0"/>
              <w:ind w:firstLine="420"/>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土壤污染责任人或者土地使用权人未按照规定实施后期管理的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vAlign w:val="center"/>
          </w:tcPr>
          <w:p>
            <w:pPr>
              <w:pStyle w:val="12"/>
              <w:spacing w:line="288" w:lineRule="auto"/>
              <w:ind w:firstLine="422"/>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《中华人民共和国土壤污染防治法》第四十二条第三款</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风险管控、修复活动完成后，需要实施后期管理的，土壤污染责任人应当按照要求实施后期管理。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vAlign w:val="center"/>
          </w:tcPr>
          <w:p>
            <w:pPr>
              <w:pStyle w:val="12"/>
              <w:spacing w:line="288" w:lineRule="auto"/>
              <w:ind w:firstLine="422"/>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《中华人民共和国土壤污染防治法》第九十二条</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违反本法规定，土壤污染责任人或者土地使用权人未按照规定实施后期管理的，由地方人民政府生态环境主管部门或者其他负有土壤污染防治监督管理职责的部门责令改正，处一万元以上五万元以下的罚款；情节严重的，处五万元以上五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ind w:firstLine="422"/>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ind w:firstLine="422"/>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45"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已实施后期管理，但未按照要求的</w:t>
            </w:r>
          </w:p>
        </w:tc>
        <w:tc>
          <w:tcPr>
            <w:tcW w:w="269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rPr>
                <w:rFonts w:ascii="Times New Roman" w:hAnsi="Times New Roman" w:cs="Times New Roman"/>
                <w:b/>
                <w:bCs/>
                <w:color w:val="000000"/>
                <w:highlight w:val="none"/>
              </w:rPr>
            </w:pPr>
          </w:p>
        </w:tc>
        <w:tc>
          <w:tcPr>
            <w:tcW w:w="5245"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未实施后期管理的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涉及面积</w:t>
            </w: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以上</w:t>
            </w:r>
            <w:r>
              <w:rPr>
                <w:rFonts w:ascii="Times New Roman" w:hAnsi="Times New Roman" w:eastAsia="仿宋_GB2312" w:cs="Times New Roman"/>
                <w:color w:val="000000"/>
                <w:sz w:val="21"/>
                <w:szCs w:val="21"/>
                <w:highlight w:val="none"/>
              </w:rPr>
              <w:t>5000m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5000m</w:t>
            </w:r>
            <w:r>
              <w:rPr>
                <w:rFonts w:ascii="Times New Roman" w:hAnsi="Times New Roman" w:eastAsia="仿宋_GB2312" w:cs="Times New Roman"/>
                <w:color w:val="000000"/>
                <w:highlight w:val="none"/>
                <w:vertAlign w:val="superscript"/>
              </w:rPr>
              <w:t>2</w:t>
            </w:r>
            <w:r>
              <w:rPr>
                <w:rFonts w:hint="eastAsia" w:ascii="Times New Roman" w:hAnsi="Times New Roman" w:eastAsia="仿宋_GB2312" w:cs="仿宋_GB2312"/>
                <w:color w:val="000000"/>
                <w:highlight w:val="none"/>
              </w:rPr>
              <w:t>以上</w:t>
            </w:r>
            <w:r>
              <w:rPr>
                <w:rFonts w:ascii="Times New Roman" w:hAnsi="Times New Roman" w:eastAsia="仿宋_GB2312" w:cs="Times New Roman"/>
                <w:color w:val="000000"/>
                <w:highlight w:val="none"/>
              </w:rPr>
              <w:t>10000m</w:t>
            </w:r>
            <w:r>
              <w:rPr>
                <w:rFonts w:ascii="Times New Roman" w:hAnsi="Times New Roman" w:eastAsia="仿宋_GB2312" w:cs="Times New Roman"/>
                <w:color w:val="000000"/>
                <w:highlight w:val="none"/>
                <w:vertAlign w:val="superscript"/>
              </w:rPr>
              <w:t>2</w:t>
            </w:r>
            <w:r>
              <w:rPr>
                <w:rFonts w:hint="eastAsia" w:ascii="Times New Roman" w:hAnsi="Times New Roman" w:eastAsia="仿宋_GB2312" w:cs="仿宋_GB2312"/>
                <w:color w:val="000000"/>
                <w:highlight w:val="none"/>
              </w:rPr>
              <w:t>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10000m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以上</w:t>
            </w:r>
            <w:r>
              <w:rPr>
                <w:rFonts w:ascii="Times New Roman" w:hAnsi="Times New Roman" w:eastAsia="仿宋_GB2312" w:cs="Times New Roman"/>
                <w:color w:val="000000"/>
                <w:sz w:val="21"/>
                <w:szCs w:val="21"/>
                <w:highlight w:val="none"/>
              </w:rPr>
              <w:t>20000m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20000m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以上</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土壤环境敏感度</w:t>
            </w: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第二类建设用地</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第一类建设用地</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spacing w:line="288" w:lineRule="auto"/>
              <w:rPr>
                <w:rFonts w:ascii="Times New Roman" w:hAnsi="Times New Roman" w:cs="Times New Roman"/>
                <w:b/>
                <w:bCs/>
                <w:highlight w:val="none"/>
              </w:rPr>
            </w:pPr>
          </w:p>
        </w:tc>
        <w:tc>
          <w:tcPr>
            <w:tcW w:w="5245" w:type="dxa"/>
            <w:vAlign w:val="center"/>
          </w:tcPr>
          <w:p>
            <w:pPr>
              <w:pStyle w:val="11"/>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严格管控类农用地</w:t>
            </w:r>
          </w:p>
        </w:tc>
        <w:tc>
          <w:tcPr>
            <w:tcW w:w="2693" w:type="dxa"/>
            <w:vAlign w:val="center"/>
          </w:tcPr>
          <w:p>
            <w:pPr>
              <w:snapToGrid w:val="0"/>
              <w:spacing w:line="288" w:lineRule="auto"/>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spacing w:line="288" w:lineRule="auto"/>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安全利用类农用地</w:t>
            </w:r>
          </w:p>
        </w:tc>
        <w:tc>
          <w:tcPr>
            <w:tcW w:w="2693" w:type="dxa"/>
            <w:vAlign w:val="center"/>
          </w:tcPr>
          <w:p>
            <w:pPr>
              <w:snapToGrid w:val="0"/>
              <w:spacing w:line="288" w:lineRule="auto"/>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spacing w:line="288" w:lineRule="auto"/>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优先保护类农用地</w:t>
            </w:r>
          </w:p>
        </w:tc>
        <w:tc>
          <w:tcPr>
            <w:tcW w:w="2693" w:type="dxa"/>
            <w:vAlign w:val="center"/>
          </w:tcPr>
          <w:p>
            <w:pPr>
              <w:snapToGrid w:val="0"/>
              <w:spacing w:line="288" w:lineRule="auto"/>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2"/>
              <w:rPr>
                <w:rFonts w:ascii="Times New Roman" w:hAnsi="Times New Roman" w:cs="Times New Roman"/>
                <w:b/>
                <w:bCs/>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09" w:type="dxa"/>
            <w:gridSpan w:val="3"/>
            <w:vAlign w:val="center"/>
          </w:tcPr>
          <w:p>
            <w:pPr>
              <w:snapToGrid w:val="0"/>
              <w:ind w:firstLine="643"/>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（五）土壤污染防治类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ind w:firstLine="420"/>
              <w:jc w:val="center"/>
              <w:rPr>
                <w:rFonts w:ascii="Times New Roman" w:hAnsi="Times New Roman" w:cs="Times New Roman"/>
                <w:highlight w:val="none"/>
              </w:rPr>
            </w:pPr>
            <w:r>
              <w:rPr>
                <w:rFonts w:ascii="Times New Roman" w:hAnsi="Times New Roman" w:cs="Times New Roman"/>
                <w:highlight w:val="none"/>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ind w:firstLine="42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被检查者拒不配合检查，或者在接受检查时弄虚作假的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vAlign w:val="center"/>
          </w:tcPr>
          <w:p>
            <w:pPr>
              <w:pStyle w:val="12"/>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《中华人民共和国土壤污染防治法》第七十七条第二款</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被检查者应当配合检查工作，如实反映情况，提供必要的资料。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vAlign w:val="center"/>
          </w:tcPr>
          <w:p>
            <w:pPr>
              <w:pStyle w:val="12"/>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《中华人民共和国土壤污染防治法》第九十三条</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违反本法规定，被检查者拒不配合检查，或者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ind w:firstLine="422"/>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ind w:firstLine="422"/>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拒绝检查</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情形</w:t>
            </w:r>
            <w:r>
              <w:rPr>
                <w:rFonts w:hint="eastAsia" w:ascii="Times New Roman" w:hAnsi="Times New Roman" w:cs="宋体"/>
                <w:b/>
                <w:bCs/>
                <w:color w:val="000000"/>
                <w:highlight w:val="none"/>
              </w:rPr>
              <w:t>★</w:t>
            </w: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迟滞</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分钟以上</w:t>
            </w:r>
            <w:r>
              <w:rPr>
                <w:rFonts w:ascii="Times New Roman" w:hAnsi="Times New Roman" w:eastAsia="仿宋_GB2312" w:cs="Times New Roman"/>
                <w:sz w:val="21"/>
                <w:szCs w:val="21"/>
                <w:highlight w:val="none"/>
              </w:rPr>
              <w:t>30</w:t>
            </w:r>
            <w:r>
              <w:rPr>
                <w:rFonts w:hint="eastAsia" w:ascii="Times New Roman" w:hAnsi="Times New Roman" w:eastAsia="仿宋_GB2312" w:cs="仿宋_GB2312"/>
                <w:sz w:val="21"/>
                <w:szCs w:val="21"/>
                <w:highlight w:val="none"/>
              </w:rPr>
              <w:t>分钟以内</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迟滞超过半小时</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阻碍或隐匿部分资料</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围堵、滞留执法人员或拒绝提供资料</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暴力抗法</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弄虚作假</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情形</w:t>
            </w:r>
            <w:r>
              <w:rPr>
                <w:rFonts w:hint="eastAsia" w:ascii="Times New Roman" w:hAnsi="Times New Roman" w:cs="宋体"/>
                <w:b/>
                <w:bCs/>
                <w:color w:val="000000"/>
                <w:highlight w:val="none"/>
              </w:rPr>
              <w:t>★</w:t>
            </w: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提供非关键性假信息</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提供假信息</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伪造现场或证据</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2"/>
              <w:jc w:val="center"/>
              <w:rPr>
                <w:rFonts w:ascii="Times New Roman" w:hAnsi="Times New Roman" w:cs="Times New Roman"/>
                <w:b/>
                <w:bCs/>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858"/>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09" w:type="dxa"/>
            <w:gridSpan w:val="3"/>
            <w:vAlign w:val="center"/>
          </w:tcPr>
          <w:p>
            <w:pPr>
              <w:snapToGrid w:val="0"/>
              <w:ind w:firstLine="643"/>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（五）土壤污染防治类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ind w:firstLine="420"/>
              <w:jc w:val="center"/>
              <w:rPr>
                <w:rFonts w:ascii="Times New Roman" w:hAnsi="Times New Roman" w:cs="Times New Roman"/>
                <w:color w:val="000000"/>
                <w:highlight w:val="none"/>
              </w:rPr>
            </w:pPr>
            <w:r>
              <w:rPr>
                <w:rFonts w:ascii="Times New Roman" w:hAnsi="Times New Roman" w:cs="Times New Roman"/>
                <w:color w:val="000000"/>
                <w:highlight w:val="none"/>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spacing w:before="62" w:beforeLines="20" w:line="288" w:lineRule="auto"/>
              <w:ind w:firstLine="420"/>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土壤污染责任人或者土地使用权人未按照规定进行土壤污染状况调查，或者未按照规定进行土壤污染风险评估的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vAlign w:val="center"/>
          </w:tcPr>
          <w:p>
            <w:pPr>
              <w:pStyle w:val="12"/>
              <w:snapToGrid w:val="0"/>
              <w:spacing w:before="62" w:beforeLines="20" w:beforeAutospacing="0" w:after="0" w:afterAutospacing="0" w:line="288" w:lineRule="auto"/>
              <w:ind w:firstLine="420"/>
              <w:rPr>
                <w:rFonts w:ascii="Times New Roman" w:hAnsi="Times New Roman" w:eastAsia="仿宋_GB2312" w:cs="仿宋_GB2312"/>
                <w:sz w:val="21"/>
                <w:szCs w:val="21"/>
                <w:highlight w:val="none"/>
              </w:rPr>
            </w:pPr>
            <w:r>
              <w:rPr>
                <w:rFonts w:hint="eastAsia" w:ascii="Times New Roman" w:hAnsi="Times New Roman" w:eastAsia="仿宋_GB2312" w:cs="仿宋_GB2312"/>
                <w:b/>
                <w:bCs/>
                <w:sz w:val="21"/>
                <w:szCs w:val="21"/>
                <w:highlight w:val="none"/>
              </w:rPr>
              <w:t>《中华人民共和国土壤污染防治法》第三十五条</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土壤污染风险管控和修复，包括土壤污染状况调查和土壤污染风险评估、风险管控、修复、风险管控效果评估、修复效果评估、后期管理等活动。</w:t>
            </w:r>
          </w:p>
          <w:p>
            <w:pPr>
              <w:pStyle w:val="12"/>
              <w:snapToGrid w:val="0"/>
              <w:spacing w:before="0" w:beforeAutospacing="0" w:after="0" w:afterAutospacing="0" w:line="288" w:lineRule="auto"/>
              <w:ind w:firstLine="420"/>
              <w:rPr>
                <w:rFonts w:ascii="Times New Roman" w:hAnsi="Times New Roman" w:eastAsia="仿宋_GB2312" w:cs="仿宋_GB2312"/>
                <w:bCs/>
                <w:sz w:val="21"/>
                <w:szCs w:val="21"/>
                <w:highlight w:val="none"/>
              </w:rPr>
            </w:pPr>
            <w:r>
              <w:rPr>
                <w:rFonts w:hint="eastAsia" w:ascii="Times New Roman" w:hAnsi="Times New Roman" w:eastAsia="仿宋_GB2312" w:cs="仿宋_GB2312"/>
                <w:b/>
                <w:bCs/>
                <w:sz w:val="21"/>
                <w:szCs w:val="21"/>
                <w:highlight w:val="none"/>
              </w:rPr>
              <w:t xml:space="preserve">第五十九条 </w:t>
            </w:r>
            <w:r>
              <w:rPr>
                <w:rFonts w:ascii="Times New Roman" w:hAnsi="Times New Roman" w:eastAsia="仿宋_GB2312" w:cs="仿宋_GB2312"/>
                <w:bCs/>
                <w:sz w:val="21"/>
                <w:szCs w:val="21"/>
                <w:highlight w:val="none"/>
              </w:rPr>
              <w:t xml:space="preserve"> </w:t>
            </w:r>
            <w:r>
              <w:rPr>
                <w:rFonts w:hint="eastAsia" w:ascii="Times New Roman" w:hAnsi="Times New Roman" w:eastAsia="仿宋_GB2312" w:cs="仿宋_GB2312"/>
                <w:bCs/>
                <w:sz w:val="21"/>
                <w:szCs w:val="21"/>
                <w:highlight w:val="none"/>
              </w:rPr>
              <w:t>对土壤污染状况普查、详查和监测、现场检查表明有土壤污染风险的建设用地地块，地方人民政府生态环境主管部门应当要求土地使用权人按照规定进行土壤污染状况调查。</w:t>
            </w:r>
          </w:p>
          <w:p>
            <w:pPr>
              <w:pStyle w:val="12"/>
              <w:snapToGrid w:val="0"/>
              <w:spacing w:before="0" w:beforeAutospacing="0" w:after="0" w:afterAutospacing="0" w:line="288" w:lineRule="auto"/>
              <w:ind w:firstLine="420"/>
              <w:rPr>
                <w:rFonts w:ascii="Times New Roman" w:hAnsi="Times New Roman" w:eastAsia="仿宋_GB2312" w:cs="仿宋_GB2312"/>
                <w:bCs/>
                <w:sz w:val="21"/>
                <w:szCs w:val="21"/>
                <w:highlight w:val="none"/>
              </w:rPr>
            </w:pPr>
            <w:r>
              <w:rPr>
                <w:rFonts w:hint="eastAsia" w:ascii="Times New Roman" w:hAnsi="Times New Roman" w:eastAsia="仿宋_GB2312" w:cs="仿宋_GB2312"/>
                <w:bCs/>
                <w:sz w:val="21"/>
                <w:szCs w:val="21"/>
                <w:highlight w:val="none"/>
              </w:rPr>
              <w:t>用途变更为住宅、公共管理与公共服务用地的，变更前应当按照规定进行土壤污染状况调查。</w:t>
            </w:r>
          </w:p>
          <w:p>
            <w:pPr>
              <w:pStyle w:val="12"/>
              <w:snapToGrid w:val="0"/>
              <w:spacing w:before="0" w:beforeAutospacing="0" w:after="0" w:afterAutospacing="0" w:line="288" w:lineRule="auto"/>
              <w:ind w:firstLine="420"/>
              <w:rPr>
                <w:rFonts w:ascii="Times New Roman" w:hAnsi="Times New Roman" w:eastAsia="仿宋_GB2312" w:cs="仿宋_GB2312"/>
                <w:sz w:val="21"/>
                <w:szCs w:val="21"/>
                <w:highlight w:val="none"/>
              </w:rPr>
            </w:pPr>
            <w:r>
              <w:rPr>
                <w:rFonts w:hint="eastAsia" w:ascii="Times New Roman" w:hAnsi="Times New Roman" w:eastAsia="仿宋_GB2312" w:cs="仿宋_GB2312"/>
                <w:bCs/>
                <w:sz w:val="21"/>
                <w:szCs w:val="21"/>
                <w:highlight w:val="none"/>
              </w:rPr>
              <w:t>前两款规定的土壤污染状况调查报告应当报地方人民政府生态环境主管部门，由地方人民政府生态环境主管部门会同自然资源主管部门组织评审。</w:t>
            </w:r>
          </w:p>
          <w:p>
            <w:pPr>
              <w:pStyle w:val="12"/>
              <w:snapToGrid w:val="0"/>
              <w:spacing w:before="62" w:beforeLines="20" w:beforeAutospacing="0" w:after="0" w:afterAutospacing="0"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 xml:space="preserve">第六十条  </w:t>
            </w:r>
            <w:r>
              <w:rPr>
                <w:rFonts w:hint="eastAsia" w:ascii="Times New Roman" w:hAnsi="Times New Roman" w:eastAsia="仿宋_GB2312" w:cs="仿宋_GB2312"/>
                <w:bCs/>
                <w:sz w:val="21"/>
                <w:szCs w:val="21"/>
                <w:highlight w:val="none"/>
              </w:rPr>
              <w:t>对土壤污染状况调查报告评审表明污染物含量超过土壤污染风险管控标准的建设用地地块，土壤污染责任人、土地使用权人应当按照国务院生态环境主管部门的规定进行土壤污染风险评估，并将土壤污染风险评估报告报省级人民政府生态环境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vAlign w:val="center"/>
          </w:tcPr>
          <w:p>
            <w:pPr>
              <w:pStyle w:val="12"/>
              <w:snapToGrid w:val="0"/>
              <w:spacing w:before="62" w:beforeLines="20" w:beforeAutospacing="0" w:after="0" w:afterAutospacing="0"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《中华人民共和国土壤污染防治法》第九十四条</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pPr>
              <w:pStyle w:val="12"/>
              <w:snapToGrid w:val="0"/>
              <w:spacing w:before="0" w:beforeAutospacing="0" w:after="0" w:afterAutospacing="0"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（一）未按照规定进行土壤污染状况调查的；</w:t>
            </w:r>
          </w:p>
          <w:p>
            <w:pPr>
              <w:pStyle w:val="12"/>
              <w:snapToGrid w:val="0"/>
              <w:spacing w:before="0" w:beforeAutospacing="0" w:after="0" w:afterAutospacing="0" w:line="288" w:lineRule="auto"/>
              <w:ind w:firstLine="420"/>
              <w:rPr>
                <w:rFonts w:ascii="Times New Roman" w:hAnsi="Times New Roman" w:cs="Times New Roman"/>
                <w:color w:val="333333"/>
                <w:sz w:val="21"/>
                <w:szCs w:val="21"/>
                <w:highlight w:val="none"/>
              </w:rPr>
            </w:pPr>
            <w:r>
              <w:rPr>
                <w:rFonts w:hint="eastAsia" w:ascii="Times New Roman" w:hAnsi="Times New Roman" w:eastAsia="仿宋_GB2312" w:cs="仿宋_GB2312"/>
                <w:sz w:val="21"/>
                <w:szCs w:val="21"/>
                <w:highlight w:val="none"/>
              </w:rPr>
              <w:t>（二）未按照规定进行土壤污染风险评估的。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858"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080"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858" w:type="dxa"/>
            <w:vAlign w:val="center"/>
          </w:tcPr>
          <w:p>
            <w:pPr>
              <w:snapToGrid w:val="0"/>
              <w:jc w:val="center"/>
              <w:rPr>
                <w:rFonts w:ascii="Times New Roman" w:hAnsi="Times New Roman" w:eastAsia="仿宋_GB2312" w:cs="Times New Roman"/>
                <w:color w:val="000000"/>
                <w:kern w:val="0"/>
                <w:highlight w:val="none"/>
              </w:rPr>
            </w:pPr>
            <w:r>
              <w:rPr>
                <w:rFonts w:hint="eastAsia" w:ascii="Times New Roman" w:hAnsi="Times New Roman" w:eastAsia="仿宋_GB2312" w:cs="仿宋_GB2312"/>
                <w:color w:val="000000"/>
                <w:kern w:val="0"/>
                <w:highlight w:val="none"/>
              </w:rPr>
              <w:t>已进行土壤污染状况调查或者土壤污染风险评估，但不规范的</w:t>
            </w:r>
          </w:p>
        </w:tc>
        <w:tc>
          <w:tcPr>
            <w:tcW w:w="2080" w:type="dxa"/>
            <w:vAlign w:val="center"/>
          </w:tcPr>
          <w:p>
            <w:pPr>
              <w:snapToGrid w:val="0"/>
              <w:jc w:val="center"/>
              <w:rPr>
                <w:rFonts w:ascii="Times New Roman" w:hAnsi="Times New Roman" w:eastAsia="仿宋_GB2312" w:cs="Times New Roman"/>
                <w:color w:val="000000"/>
                <w:kern w:val="0"/>
                <w:highlight w:val="none"/>
              </w:rPr>
            </w:pPr>
            <w:r>
              <w:rPr>
                <w:rFonts w:ascii="Times New Roman" w:hAnsi="Times New Roman" w:eastAsia="仿宋_GB2312" w:cs="Times New Roman"/>
                <w:color w:val="000000"/>
                <w:kern w:val="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271" w:type="dxa"/>
            <w:vMerge w:val="continue"/>
            <w:vAlign w:val="center"/>
          </w:tcPr>
          <w:p>
            <w:pPr>
              <w:snapToGrid w:val="0"/>
              <w:rPr>
                <w:rFonts w:ascii="Times New Roman" w:hAnsi="Times New Roman" w:cs="Times New Roman"/>
                <w:b/>
                <w:bCs/>
                <w:color w:val="000000"/>
                <w:highlight w:val="none"/>
              </w:rPr>
            </w:pPr>
          </w:p>
        </w:tc>
        <w:tc>
          <w:tcPr>
            <w:tcW w:w="5858" w:type="dxa"/>
            <w:vAlign w:val="center"/>
          </w:tcPr>
          <w:p>
            <w:pPr>
              <w:pStyle w:val="11"/>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未进行土壤污染状况调查或者土壤污染风险评估</w:t>
            </w:r>
          </w:p>
        </w:tc>
        <w:tc>
          <w:tcPr>
            <w:tcW w:w="2080"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kern w:val="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涉及面积</w:t>
            </w:r>
          </w:p>
        </w:tc>
        <w:tc>
          <w:tcPr>
            <w:tcW w:w="5858"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w:t>
            </w:r>
          </w:p>
        </w:tc>
        <w:tc>
          <w:tcPr>
            <w:tcW w:w="2080"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858"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以上</w:t>
            </w:r>
            <w:r>
              <w:rPr>
                <w:rFonts w:ascii="Times New Roman" w:hAnsi="Times New Roman" w:eastAsia="仿宋_GB2312" w:cs="Times New Roman"/>
                <w:color w:val="000000"/>
                <w:sz w:val="21"/>
                <w:szCs w:val="21"/>
                <w:highlight w:val="none"/>
              </w:rPr>
              <w:t>5000m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w:t>
            </w:r>
          </w:p>
        </w:tc>
        <w:tc>
          <w:tcPr>
            <w:tcW w:w="2080"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858"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5000m</w:t>
            </w:r>
            <w:r>
              <w:rPr>
                <w:rFonts w:ascii="Times New Roman" w:hAnsi="Times New Roman" w:eastAsia="仿宋_GB2312" w:cs="Times New Roman"/>
                <w:color w:val="000000"/>
                <w:highlight w:val="none"/>
                <w:vertAlign w:val="superscript"/>
              </w:rPr>
              <w:t>2</w:t>
            </w:r>
            <w:r>
              <w:rPr>
                <w:rFonts w:hint="eastAsia" w:ascii="Times New Roman" w:hAnsi="Times New Roman" w:eastAsia="仿宋_GB2312" w:cs="仿宋_GB2312"/>
                <w:color w:val="000000"/>
                <w:highlight w:val="none"/>
              </w:rPr>
              <w:t>以上</w:t>
            </w:r>
            <w:r>
              <w:rPr>
                <w:rFonts w:ascii="Times New Roman" w:hAnsi="Times New Roman" w:eastAsia="仿宋_GB2312" w:cs="Times New Roman"/>
                <w:color w:val="000000"/>
                <w:highlight w:val="none"/>
              </w:rPr>
              <w:t>10000m</w:t>
            </w:r>
            <w:r>
              <w:rPr>
                <w:rFonts w:ascii="Times New Roman" w:hAnsi="Times New Roman" w:eastAsia="仿宋_GB2312" w:cs="Times New Roman"/>
                <w:color w:val="000000"/>
                <w:highlight w:val="none"/>
                <w:vertAlign w:val="superscript"/>
              </w:rPr>
              <w:t>2</w:t>
            </w:r>
            <w:r>
              <w:rPr>
                <w:rFonts w:hint="eastAsia" w:ascii="Times New Roman" w:hAnsi="Times New Roman" w:eastAsia="仿宋_GB2312" w:cs="仿宋_GB2312"/>
                <w:color w:val="000000"/>
                <w:highlight w:val="none"/>
              </w:rPr>
              <w:t>以下</w:t>
            </w:r>
          </w:p>
        </w:tc>
        <w:tc>
          <w:tcPr>
            <w:tcW w:w="2080"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858"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10000m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以上</w:t>
            </w:r>
            <w:r>
              <w:rPr>
                <w:rFonts w:ascii="Times New Roman" w:hAnsi="Times New Roman" w:eastAsia="仿宋_GB2312" w:cs="Times New Roman"/>
                <w:color w:val="000000"/>
                <w:sz w:val="21"/>
                <w:szCs w:val="21"/>
                <w:highlight w:val="none"/>
              </w:rPr>
              <w:t>20000m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w:t>
            </w:r>
          </w:p>
        </w:tc>
        <w:tc>
          <w:tcPr>
            <w:tcW w:w="2080"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858"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20000m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以上</w:t>
            </w:r>
          </w:p>
        </w:tc>
        <w:tc>
          <w:tcPr>
            <w:tcW w:w="2080"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土壤环境</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敏感度</w:t>
            </w:r>
          </w:p>
        </w:tc>
        <w:tc>
          <w:tcPr>
            <w:tcW w:w="5858" w:type="dxa"/>
            <w:vAlign w:val="center"/>
          </w:tcPr>
          <w:p>
            <w:pPr>
              <w:pStyle w:val="11"/>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第二类建设用地</w:t>
            </w:r>
          </w:p>
        </w:tc>
        <w:tc>
          <w:tcPr>
            <w:tcW w:w="2080"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highlight w:val="none"/>
              </w:rPr>
            </w:pPr>
          </w:p>
        </w:tc>
        <w:tc>
          <w:tcPr>
            <w:tcW w:w="5858"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第一类建设用地</w:t>
            </w:r>
          </w:p>
        </w:tc>
        <w:tc>
          <w:tcPr>
            <w:tcW w:w="2080"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Merge w:val="continue"/>
            <w:vAlign w:val="center"/>
          </w:tcPr>
          <w:p>
            <w:pPr>
              <w:snapToGrid w:val="0"/>
              <w:spacing w:line="288" w:lineRule="auto"/>
              <w:rPr>
                <w:rFonts w:ascii="Times New Roman" w:hAnsi="Times New Roman" w:cs="Times New Roman"/>
                <w:b/>
                <w:bCs/>
                <w:highlight w:val="none"/>
              </w:rPr>
            </w:pPr>
          </w:p>
        </w:tc>
        <w:tc>
          <w:tcPr>
            <w:tcW w:w="5858" w:type="dxa"/>
            <w:vAlign w:val="center"/>
          </w:tcPr>
          <w:p>
            <w:pPr>
              <w:pStyle w:val="11"/>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严格管控类农用地</w:t>
            </w:r>
          </w:p>
        </w:tc>
        <w:tc>
          <w:tcPr>
            <w:tcW w:w="2080"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Merge w:val="continue"/>
            <w:vAlign w:val="center"/>
          </w:tcPr>
          <w:p>
            <w:pPr>
              <w:snapToGrid w:val="0"/>
              <w:spacing w:line="288" w:lineRule="auto"/>
              <w:rPr>
                <w:rFonts w:ascii="Times New Roman" w:hAnsi="Times New Roman" w:cs="Times New Roman"/>
                <w:b/>
                <w:bCs/>
                <w:highlight w:val="none"/>
              </w:rPr>
            </w:pPr>
          </w:p>
        </w:tc>
        <w:tc>
          <w:tcPr>
            <w:tcW w:w="5858"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安全利用类农用地</w:t>
            </w:r>
          </w:p>
        </w:tc>
        <w:tc>
          <w:tcPr>
            <w:tcW w:w="2080"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spacing w:line="288" w:lineRule="auto"/>
              <w:rPr>
                <w:rFonts w:ascii="Times New Roman" w:hAnsi="Times New Roman" w:cs="Times New Roman"/>
                <w:b/>
                <w:bCs/>
                <w:highlight w:val="none"/>
              </w:rPr>
            </w:pPr>
          </w:p>
        </w:tc>
        <w:tc>
          <w:tcPr>
            <w:tcW w:w="5858"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优先保护类农用地</w:t>
            </w:r>
          </w:p>
        </w:tc>
        <w:tc>
          <w:tcPr>
            <w:tcW w:w="2080"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2"/>
              <w:rPr>
                <w:rFonts w:ascii="Times New Roman" w:hAnsi="Times New Roman" w:cs="Times New Roman"/>
                <w:b/>
                <w:bCs/>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209" w:type="dxa"/>
            <w:gridSpan w:val="3"/>
            <w:vAlign w:val="center"/>
          </w:tcPr>
          <w:p>
            <w:pPr>
              <w:snapToGrid w:val="0"/>
              <w:ind w:firstLine="643"/>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（五）土壤污染防治类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ind w:firstLine="420"/>
              <w:jc w:val="center"/>
              <w:rPr>
                <w:rFonts w:ascii="Times New Roman" w:hAnsi="Times New Roman" w:cs="Times New Roman"/>
                <w:color w:val="000000"/>
                <w:highlight w:val="none"/>
              </w:rPr>
            </w:pPr>
            <w:r>
              <w:rPr>
                <w:rFonts w:ascii="Times New Roman" w:hAnsi="Times New Roman" w:cs="Times New Roman"/>
                <w:color w:val="000000"/>
                <w:highlight w:val="none"/>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ind w:firstLine="42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土壤污染责任人或者土地使用权人未按照规定采取风险管控措施的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vAlign w:val="center"/>
          </w:tcPr>
          <w:p>
            <w:pPr>
              <w:pStyle w:val="12"/>
              <w:snapToGrid w:val="0"/>
              <w:spacing w:before="62" w:beforeLines="20" w:beforeAutospacing="0" w:after="0" w:afterAutospacing="0" w:line="264"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 xml:space="preserve">《中华人民共和国土壤污染防治法》第六十二条  </w:t>
            </w:r>
            <w:r>
              <w:rPr>
                <w:rFonts w:hint="eastAsia" w:ascii="Times New Roman" w:hAnsi="Times New Roman" w:eastAsia="仿宋_GB2312" w:cs="仿宋_GB2312"/>
                <w:bCs/>
                <w:sz w:val="21"/>
                <w:szCs w:val="21"/>
                <w:highlight w:val="none"/>
              </w:rPr>
              <w:t>对建设用地土壤污染风险管控和修复名录中的地块，土壤污染责任人应当按照国家有关规定以及土壤污染风险评估报告的要求，采取相应的风险管控措施，并定期向地方人民政府生态环境主管部门报告。风险管控措施应当包括地下水污染防治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vAlign w:val="center"/>
          </w:tcPr>
          <w:p>
            <w:pPr>
              <w:pStyle w:val="12"/>
              <w:snapToGrid w:val="0"/>
              <w:spacing w:before="62" w:beforeLines="20" w:beforeAutospacing="0" w:after="0" w:afterAutospacing="0" w:line="264"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《中华人民共和国土壤污染防治法》第九十四条第（三）项</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pPr>
              <w:snapToGrid w:val="0"/>
              <w:spacing w:line="264" w:lineRule="auto"/>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（三）未按照规定采取风险管控措施的。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45" w:type="dxa"/>
            <w:vAlign w:val="center"/>
          </w:tcPr>
          <w:p>
            <w:pPr>
              <w:snapToGrid w:val="0"/>
              <w:ind w:firstLine="422"/>
              <w:jc w:val="center"/>
              <w:rPr>
                <w:rFonts w:ascii="Times New Roman" w:hAnsi="Times New Roman" w:eastAsia="仿宋_GB2312" w:cs="Times New Roman"/>
                <w:color w:val="000000"/>
                <w:kern w:val="0"/>
                <w:highlight w:val="none"/>
              </w:rPr>
            </w:pPr>
            <w:r>
              <w:rPr>
                <w:rFonts w:hint="eastAsia" w:ascii="Times New Roman" w:hAnsi="Times New Roman" w:eastAsia="仿宋_GB2312" w:cs="仿宋_GB2312"/>
                <w:color w:val="000000"/>
                <w:kern w:val="0"/>
                <w:highlight w:val="none"/>
              </w:rPr>
              <w:t>已</w:t>
            </w:r>
            <w:r>
              <w:rPr>
                <w:rFonts w:hint="eastAsia" w:ascii="Times New Roman" w:hAnsi="Times New Roman" w:eastAsia="仿宋_GB2312" w:cs="仿宋_GB2312"/>
                <w:color w:val="000000"/>
                <w:highlight w:val="none"/>
              </w:rPr>
              <w:t>采取风险管控措施</w:t>
            </w:r>
            <w:r>
              <w:rPr>
                <w:rFonts w:hint="eastAsia" w:ascii="Times New Roman" w:hAnsi="Times New Roman" w:eastAsia="仿宋_GB2312" w:cs="仿宋_GB2312"/>
                <w:color w:val="000000"/>
                <w:kern w:val="0"/>
                <w:highlight w:val="none"/>
              </w:rPr>
              <w:t>，但不规范的</w:t>
            </w:r>
          </w:p>
        </w:tc>
        <w:tc>
          <w:tcPr>
            <w:tcW w:w="2693" w:type="dxa"/>
            <w:vAlign w:val="center"/>
          </w:tcPr>
          <w:p>
            <w:pPr>
              <w:snapToGrid w:val="0"/>
              <w:jc w:val="center"/>
              <w:rPr>
                <w:rFonts w:ascii="Times New Roman" w:hAnsi="Times New Roman" w:eastAsia="仿宋_GB2312" w:cs="Times New Roman"/>
                <w:color w:val="000000"/>
                <w:kern w:val="0"/>
                <w:highlight w:val="none"/>
              </w:rPr>
            </w:pPr>
            <w:r>
              <w:rPr>
                <w:rFonts w:ascii="Times New Roman" w:hAnsi="Times New Roman" w:eastAsia="仿宋_GB2312" w:cs="Times New Roman"/>
                <w:color w:val="000000"/>
                <w:kern w:val="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rPr>
                <w:rFonts w:ascii="Times New Roman" w:hAnsi="Times New Roman" w:cs="Times New Roman"/>
                <w:b/>
                <w:bCs/>
                <w:color w:val="000000"/>
                <w:highlight w:val="none"/>
              </w:rPr>
            </w:pP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未采取风险管控措施</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kern w:val="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涉及面积</w:t>
            </w: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以上</w:t>
            </w:r>
            <w:r>
              <w:rPr>
                <w:rFonts w:ascii="Times New Roman" w:hAnsi="Times New Roman" w:eastAsia="仿宋_GB2312" w:cs="Times New Roman"/>
                <w:color w:val="000000"/>
                <w:sz w:val="21"/>
                <w:szCs w:val="21"/>
                <w:highlight w:val="none"/>
              </w:rPr>
              <w:t>5000m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5000m</w:t>
            </w:r>
            <w:r>
              <w:rPr>
                <w:rFonts w:ascii="Times New Roman" w:hAnsi="Times New Roman" w:eastAsia="仿宋_GB2312" w:cs="Times New Roman"/>
                <w:color w:val="000000"/>
                <w:highlight w:val="none"/>
                <w:vertAlign w:val="superscript"/>
              </w:rPr>
              <w:t>2</w:t>
            </w:r>
            <w:r>
              <w:rPr>
                <w:rFonts w:hint="eastAsia" w:ascii="Times New Roman" w:hAnsi="Times New Roman" w:eastAsia="仿宋_GB2312" w:cs="仿宋_GB2312"/>
                <w:color w:val="000000"/>
                <w:highlight w:val="none"/>
              </w:rPr>
              <w:t>以上</w:t>
            </w:r>
            <w:r>
              <w:rPr>
                <w:rFonts w:ascii="Times New Roman" w:hAnsi="Times New Roman" w:eastAsia="仿宋_GB2312" w:cs="Times New Roman"/>
                <w:color w:val="000000"/>
                <w:highlight w:val="none"/>
              </w:rPr>
              <w:t>10000m</w:t>
            </w:r>
            <w:r>
              <w:rPr>
                <w:rFonts w:ascii="Times New Roman" w:hAnsi="Times New Roman" w:eastAsia="仿宋_GB2312" w:cs="Times New Roman"/>
                <w:color w:val="000000"/>
                <w:highlight w:val="none"/>
                <w:vertAlign w:val="superscript"/>
              </w:rPr>
              <w:t>2</w:t>
            </w:r>
            <w:r>
              <w:rPr>
                <w:rFonts w:hint="eastAsia" w:ascii="Times New Roman" w:hAnsi="Times New Roman" w:eastAsia="仿宋_GB2312" w:cs="仿宋_GB2312"/>
                <w:color w:val="000000"/>
                <w:highlight w:val="none"/>
              </w:rPr>
              <w:t>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10000m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以上</w:t>
            </w:r>
            <w:r>
              <w:rPr>
                <w:rFonts w:ascii="Times New Roman" w:hAnsi="Times New Roman" w:eastAsia="仿宋_GB2312" w:cs="Times New Roman"/>
                <w:color w:val="000000"/>
                <w:sz w:val="21"/>
                <w:szCs w:val="21"/>
                <w:highlight w:val="none"/>
              </w:rPr>
              <w:t>20000m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20000m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以上</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Merge w:val="restart"/>
            <w:vAlign w:val="center"/>
          </w:tcPr>
          <w:p>
            <w:pPr>
              <w:snapToGrid w:val="0"/>
              <w:rPr>
                <w:rFonts w:ascii="Times New Roman" w:hAnsi="Times New Roman" w:cs="宋体"/>
                <w:b/>
                <w:bCs/>
                <w:highlight w:val="none"/>
              </w:rPr>
            </w:pPr>
            <w:r>
              <w:rPr>
                <w:rFonts w:hint="eastAsia" w:ascii="Times New Roman" w:hAnsi="Times New Roman" w:cs="宋体"/>
                <w:b/>
                <w:bCs/>
                <w:highlight w:val="none"/>
              </w:rPr>
              <w:t>土壤环境</w:t>
            </w:r>
          </w:p>
        </w:tc>
        <w:tc>
          <w:tcPr>
            <w:tcW w:w="5245" w:type="dxa"/>
            <w:vAlign w:val="center"/>
          </w:tcPr>
          <w:p>
            <w:pPr>
              <w:pStyle w:val="11"/>
              <w:jc w:val="center"/>
              <w:rPr>
                <w:rFonts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第二类</w:t>
            </w:r>
            <w:r>
              <w:rPr>
                <w:rFonts w:ascii="Times New Roman" w:hAnsi="Times New Roman" w:eastAsia="仿宋_GB2312" w:cs="仿宋_GB2312"/>
                <w:sz w:val="21"/>
                <w:szCs w:val="21"/>
                <w:highlight w:val="none"/>
              </w:rPr>
              <w:t>建设用地</w:t>
            </w:r>
          </w:p>
        </w:tc>
        <w:tc>
          <w:tcPr>
            <w:tcW w:w="2693" w:type="dxa"/>
            <w:vAlign w:val="center"/>
          </w:tcPr>
          <w:p>
            <w:pPr>
              <w:pStyle w:val="11"/>
              <w:jc w:val="center"/>
              <w:rPr>
                <w:rFonts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rPr>
                <w:rFonts w:ascii="Times New Roman" w:hAnsi="Times New Roman" w:cs="宋体"/>
                <w:b/>
                <w:bCs/>
                <w:highlight w:val="none"/>
              </w:rPr>
            </w:pPr>
          </w:p>
        </w:tc>
        <w:tc>
          <w:tcPr>
            <w:tcW w:w="5245" w:type="dxa"/>
            <w:vAlign w:val="center"/>
          </w:tcPr>
          <w:p>
            <w:pPr>
              <w:pStyle w:val="11"/>
              <w:jc w:val="center"/>
              <w:rPr>
                <w:rFonts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第一类</w:t>
            </w:r>
            <w:r>
              <w:rPr>
                <w:rFonts w:ascii="Times New Roman" w:hAnsi="Times New Roman" w:eastAsia="仿宋_GB2312" w:cs="仿宋_GB2312"/>
                <w:sz w:val="21"/>
                <w:szCs w:val="21"/>
                <w:highlight w:val="none"/>
              </w:rPr>
              <w:t>建设用地</w:t>
            </w:r>
          </w:p>
        </w:tc>
        <w:tc>
          <w:tcPr>
            <w:tcW w:w="2693" w:type="dxa"/>
            <w:vAlign w:val="center"/>
          </w:tcPr>
          <w:p>
            <w:pPr>
              <w:pStyle w:val="11"/>
              <w:jc w:val="center"/>
              <w:rPr>
                <w:rFonts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rPr>
                <w:rFonts w:ascii="Times New Roman" w:hAnsi="Times New Roman" w:cs="宋体"/>
                <w:b/>
                <w:bCs/>
                <w:highlight w:val="none"/>
              </w:rPr>
            </w:pPr>
          </w:p>
        </w:tc>
        <w:tc>
          <w:tcPr>
            <w:tcW w:w="5245" w:type="dxa"/>
            <w:vAlign w:val="center"/>
          </w:tcPr>
          <w:p>
            <w:pPr>
              <w:pStyle w:val="11"/>
              <w:jc w:val="center"/>
              <w:rPr>
                <w:rFonts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严格管控类农用地</w:t>
            </w:r>
          </w:p>
        </w:tc>
        <w:tc>
          <w:tcPr>
            <w:tcW w:w="2693" w:type="dxa"/>
            <w:vAlign w:val="center"/>
          </w:tcPr>
          <w:p>
            <w:pPr>
              <w:pStyle w:val="11"/>
              <w:jc w:val="center"/>
              <w:rPr>
                <w:rFonts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rPr>
                <w:rFonts w:ascii="Times New Roman" w:hAnsi="Times New Roman" w:cs="Times New Roman"/>
                <w:b/>
                <w:bCs/>
                <w:highlight w:val="none"/>
              </w:rPr>
            </w:pPr>
          </w:p>
        </w:tc>
        <w:tc>
          <w:tcPr>
            <w:tcW w:w="5245" w:type="dxa"/>
            <w:vAlign w:val="center"/>
          </w:tcPr>
          <w:p>
            <w:pPr>
              <w:pStyle w:val="11"/>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安全利用类农用地</w:t>
            </w:r>
          </w:p>
        </w:tc>
        <w:tc>
          <w:tcPr>
            <w:tcW w:w="2693" w:type="dxa"/>
            <w:vAlign w:val="center"/>
          </w:tcPr>
          <w:p>
            <w:pPr>
              <w:pStyle w:val="11"/>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优先保护类农用地</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2"/>
              <w:rPr>
                <w:rFonts w:ascii="Times New Roman" w:hAnsi="Times New Roman" w:cs="Times New Roman"/>
                <w:b/>
                <w:bCs/>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09" w:type="dxa"/>
            <w:gridSpan w:val="3"/>
            <w:vAlign w:val="center"/>
          </w:tcPr>
          <w:p>
            <w:pPr>
              <w:snapToGrid w:val="0"/>
              <w:ind w:firstLine="643"/>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（五）土壤污染防治类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ind w:firstLine="420"/>
              <w:jc w:val="center"/>
              <w:rPr>
                <w:rFonts w:ascii="Times New Roman" w:hAnsi="Times New Roman" w:cs="Times New Roman"/>
                <w:highlight w:val="none"/>
              </w:rPr>
            </w:pPr>
            <w:r>
              <w:rPr>
                <w:rFonts w:ascii="Times New Roman" w:hAnsi="Times New Roman" w:cs="Times New Roman"/>
                <w:highlight w:val="none"/>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ind w:firstLine="42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土壤污染责任人或者土地使用权人未按照规定实施修复的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vAlign w:val="center"/>
          </w:tcPr>
          <w:p>
            <w:pPr>
              <w:pStyle w:val="12"/>
              <w:spacing w:before="0" w:beforeAutospacing="0" w:after="0" w:afterAutospacing="0"/>
              <w:ind w:firstLine="422"/>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《中华人民共和国土壤污染防</w:t>
            </w:r>
            <w:r>
              <w:rPr>
                <w:rFonts w:hint="eastAsia" w:ascii="Times New Roman" w:hAnsi="Times New Roman" w:eastAsia="仿宋_GB2312" w:cs="仿宋_GB2312"/>
                <w:b/>
                <w:bCs/>
                <w:color w:val="000000"/>
                <w:sz w:val="21"/>
                <w:szCs w:val="21"/>
                <w:highlight w:val="none"/>
              </w:rPr>
              <w:t>治法》第六十四条</w:t>
            </w:r>
            <w:r>
              <w:rPr>
                <w:rFonts w:ascii="Times New Roman" w:hAnsi="Times New Roman" w:eastAsia="仿宋_GB2312" w:cs="Times New Roman"/>
                <w:color w:val="000000"/>
                <w:sz w:val="21"/>
                <w:szCs w:val="21"/>
                <w:highlight w:val="none"/>
              </w:rPr>
              <w:t xml:space="preserve"> </w:t>
            </w:r>
            <w:r>
              <w:rPr>
                <w:rFonts w:hint="eastAsia" w:ascii="Times New Roman" w:hAnsi="Times New Roman" w:eastAsia="仿宋_GB2312" w:cs="仿宋_GB2312"/>
                <w:sz w:val="21"/>
                <w:szCs w:val="21"/>
                <w:highlight w:val="none"/>
              </w:rPr>
              <w:t>对建设用地土壤污染风险管控和修复名录中需要实施修复的地块，土壤污染责任人应当结合土地利用总体规划和城乡规划编制修复方案，报地方人民政府生态环境主管部门备案并实施。修复方案应当包括地下水污染防治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vAlign w:val="center"/>
          </w:tcPr>
          <w:p>
            <w:pPr>
              <w:pStyle w:val="12"/>
              <w:spacing w:before="0" w:beforeAutospacing="0" w:after="0" w:afterAutospacing="0"/>
              <w:ind w:firstLine="422"/>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《中华人民共和国土壤污染防治法》第九十四条</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pPr>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（四）未按照规定实施修复的。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违法事实</w:t>
            </w:r>
            <w:r>
              <w:rPr>
                <w:rFonts w:hint="eastAsia" w:ascii="Times New Roman" w:hAnsi="Times New Roman" w:cs="宋体"/>
                <w:b/>
                <w:bCs/>
                <w:color w:val="000000"/>
                <w:highlight w:val="none"/>
              </w:rPr>
              <w:t>★</w:t>
            </w:r>
          </w:p>
        </w:tc>
        <w:tc>
          <w:tcPr>
            <w:tcW w:w="5245" w:type="dxa"/>
            <w:vAlign w:val="center"/>
          </w:tcPr>
          <w:p>
            <w:pPr>
              <w:pStyle w:val="11"/>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已编制修复方案，但未规范实施修复的</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未规范编制修复方案，且未规范实施修复的</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未编制修复方案，或未实施修复的</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宋体"/>
                <w:b/>
                <w:bCs/>
                <w:highlight w:val="none"/>
              </w:rPr>
            </w:pPr>
            <w:r>
              <w:rPr>
                <w:rFonts w:hint="eastAsia" w:ascii="Times New Roman" w:hAnsi="Times New Roman" w:cs="宋体"/>
                <w:b/>
                <w:bCs/>
                <w:highlight w:val="none"/>
              </w:rPr>
              <w:t>土壤环境敏感度</w:t>
            </w:r>
          </w:p>
        </w:tc>
        <w:tc>
          <w:tcPr>
            <w:tcW w:w="5245" w:type="dxa"/>
            <w:vAlign w:val="center"/>
          </w:tcPr>
          <w:p>
            <w:pPr>
              <w:pStyle w:val="11"/>
              <w:jc w:val="center"/>
              <w:rPr>
                <w:rFonts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第二类</w:t>
            </w:r>
            <w:r>
              <w:rPr>
                <w:rFonts w:ascii="Times New Roman" w:hAnsi="Times New Roman" w:eastAsia="仿宋_GB2312" w:cs="仿宋_GB2312"/>
                <w:sz w:val="21"/>
                <w:szCs w:val="21"/>
                <w:highlight w:val="none"/>
              </w:rPr>
              <w:t>建设用地</w:t>
            </w:r>
          </w:p>
        </w:tc>
        <w:tc>
          <w:tcPr>
            <w:tcW w:w="2693" w:type="dxa"/>
            <w:vAlign w:val="center"/>
          </w:tcPr>
          <w:p>
            <w:pPr>
              <w:snapToGrid w:val="0"/>
              <w:jc w:val="center"/>
              <w:rPr>
                <w:rFonts w:ascii="Times New Roman" w:hAnsi="Times New Roman" w:cs="Times New Roman"/>
                <w:highlight w:val="none"/>
              </w:rPr>
            </w:pPr>
            <w:r>
              <w:rPr>
                <w:rFonts w:hint="eastAsia"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宋体"/>
                <w:b/>
                <w:bCs/>
                <w:highlight w:val="none"/>
              </w:rPr>
            </w:pPr>
          </w:p>
        </w:tc>
        <w:tc>
          <w:tcPr>
            <w:tcW w:w="5245" w:type="dxa"/>
            <w:vAlign w:val="center"/>
          </w:tcPr>
          <w:p>
            <w:pPr>
              <w:pStyle w:val="11"/>
              <w:jc w:val="center"/>
              <w:rPr>
                <w:rFonts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第一类</w:t>
            </w:r>
            <w:r>
              <w:rPr>
                <w:rFonts w:ascii="Times New Roman" w:hAnsi="Times New Roman" w:eastAsia="仿宋_GB2312" w:cs="仿宋_GB2312"/>
                <w:sz w:val="21"/>
                <w:szCs w:val="21"/>
                <w:highlight w:val="none"/>
              </w:rPr>
              <w:t>建设用地</w:t>
            </w:r>
          </w:p>
        </w:tc>
        <w:tc>
          <w:tcPr>
            <w:tcW w:w="2693" w:type="dxa"/>
            <w:vAlign w:val="center"/>
          </w:tcPr>
          <w:p>
            <w:pPr>
              <w:snapToGrid w:val="0"/>
              <w:jc w:val="center"/>
              <w:rPr>
                <w:rFonts w:ascii="Times New Roman" w:hAnsi="Times New Roman" w:cs="Times New Roman"/>
                <w:highlight w:val="none"/>
              </w:rPr>
            </w:pPr>
            <w:r>
              <w:rPr>
                <w:rFonts w:hint="eastAsia"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严格管控类农用地</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安全利用类农用地</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优先保护类农用地</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涉及面积</w:t>
            </w: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以上</w:t>
            </w:r>
            <w:r>
              <w:rPr>
                <w:rFonts w:ascii="Times New Roman" w:hAnsi="Times New Roman" w:eastAsia="仿宋_GB2312" w:cs="Times New Roman"/>
                <w:color w:val="000000"/>
                <w:sz w:val="21"/>
                <w:szCs w:val="21"/>
                <w:highlight w:val="none"/>
              </w:rPr>
              <w:t>5000m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5000m</w:t>
            </w:r>
            <w:r>
              <w:rPr>
                <w:rFonts w:ascii="Times New Roman" w:hAnsi="Times New Roman" w:eastAsia="仿宋_GB2312" w:cs="Times New Roman"/>
                <w:color w:val="000000"/>
                <w:highlight w:val="none"/>
                <w:vertAlign w:val="superscript"/>
              </w:rPr>
              <w:t>2</w:t>
            </w:r>
            <w:r>
              <w:rPr>
                <w:rFonts w:hint="eastAsia" w:ascii="Times New Roman" w:hAnsi="Times New Roman" w:eastAsia="仿宋_GB2312" w:cs="仿宋_GB2312"/>
                <w:color w:val="000000"/>
                <w:highlight w:val="none"/>
              </w:rPr>
              <w:t>以上</w:t>
            </w:r>
            <w:r>
              <w:rPr>
                <w:rFonts w:ascii="Times New Roman" w:hAnsi="Times New Roman" w:eastAsia="仿宋_GB2312" w:cs="Times New Roman"/>
                <w:color w:val="000000"/>
                <w:highlight w:val="none"/>
              </w:rPr>
              <w:t>10000m</w:t>
            </w:r>
            <w:r>
              <w:rPr>
                <w:rFonts w:ascii="Times New Roman" w:hAnsi="Times New Roman" w:eastAsia="仿宋_GB2312" w:cs="Times New Roman"/>
                <w:color w:val="000000"/>
                <w:highlight w:val="none"/>
                <w:vertAlign w:val="superscript"/>
              </w:rPr>
              <w:t>2</w:t>
            </w:r>
            <w:r>
              <w:rPr>
                <w:rFonts w:hint="eastAsia" w:ascii="Times New Roman" w:hAnsi="Times New Roman" w:eastAsia="仿宋_GB2312" w:cs="仿宋_GB2312"/>
                <w:color w:val="000000"/>
                <w:highlight w:val="none"/>
              </w:rPr>
              <w:t>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10000m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以上</w:t>
            </w:r>
            <w:r>
              <w:rPr>
                <w:rFonts w:ascii="Times New Roman" w:hAnsi="Times New Roman" w:eastAsia="仿宋_GB2312" w:cs="Times New Roman"/>
                <w:color w:val="000000"/>
                <w:sz w:val="21"/>
                <w:szCs w:val="21"/>
                <w:highlight w:val="none"/>
              </w:rPr>
              <w:t>20000m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20000m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以上</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排放污染物类型</w:t>
            </w: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一般污染物</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一类污染物</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有毒有害物质</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2"/>
              <w:rPr>
                <w:rFonts w:ascii="Times New Roman" w:hAnsi="Times New Roman" w:cs="Times New Roman"/>
                <w:b/>
                <w:bCs/>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858"/>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09" w:type="dxa"/>
            <w:gridSpan w:val="3"/>
            <w:vAlign w:val="center"/>
          </w:tcPr>
          <w:p>
            <w:pPr>
              <w:snapToGrid w:val="0"/>
              <w:ind w:firstLine="643"/>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（五）土壤污染防治类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ind w:firstLine="420"/>
              <w:jc w:val="center"/>
              <w:rPr>
                <w:rFonts w:ascii="Times New Roman" w:hAnsi="Times New Roman" w:cs="Times New Roman"/>
                <w:highlight w:val="none"/>
              </w:rPr>
            </w:pPr>
            <w:r>
              <w:rPr>
                <w:rFonts w:ascii="Times New Roman" w:hAnsi="Times New Roman" w:cs="Times New Roman"/>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38" w:type="dxa"/>
            <w:gridSpan w:val="2"/>
            <w:vAlign w:val="center"/>
          </w:tcPr>
          <w:p>
            <w:pPr>
              <w:snapToGrid w:val="0"/>
              <w:ind w:firstLine="420"/>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风险管控、修复活动完成后，土壤污染责任人或者土地使用权人未另行委托有关单位对风险管控效果、修复效果进行评估的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vAlign w:val="center"/>
          </w:tcPr>
          <w:p>
            <w:pPr>
              <w:pStyle w:val="12"/>
              <w:snapToGrid w:val="0"/>
              <w:spacing w:before="0" w:beforeAutospacing="0" w:after="0" w:afterAutospacing="0"/>
              <w:ind w:firstLine="420"/>
              <w:rPr>
                <w:rFonts w:ascii="Times New Roman" w:hAnsi="Times New Roman" w:eastAsia="仿宋_GB2312" w:cs="仿宋_GB2312"/>
                <w:sz w:val="21"/>
                <w:szCs w:val="21"/>
                <w:highlight w:val="none"/>
              </w:rPr>
            </w:pPr>
            <w:r>
              <w:rPr>
                <w:rFonts w:ascii="Times New Roman" w:hAnsi="Times New Roman" w:eastAsia="仿宋_GB2312" w:cs="Times New Roman"/>
                <w:b/>
                <w:bCs/>
                <w:sz w:val="21"/>
                <w:szCs w:val="21"/>
                <w:highlight w:val="none"/>
              </w:rPr>
              <w:t>1.</w:t>
            </w:r>
            <w:r>
              <w:rPr>
                <w:rFonts w:hint="eastAsia" w:ascii="Times New Roman" w:hAnsi="Times New Roman" w:eastAsia="仿宋_GB2312" w:cs="仿宋_GB2312"/>
                <w:b/>
                <w:bCs/>
                <w:sz w:val="21"/>
                <w:szCs w:val="21"/>
                <w:highlight w:val="none"/>
              </w:rPr>
              <w:t>《中华人民共和国土壤污染防治法》</w:t>
            </w:r>
          </w:p>
          <w:p>
            <w:pPr>
              <w:pStyle w:val="12"/>
              <w:snapToGrid w:val="0"/>
              <w:spacing w:before="0" w:beforeAutospacing="0" w:after="0" w:afterAutospacing="0"/>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sz w:val="21"/>
                <w:szCs w:val="21"/>
                <w:highlight w:val="none"/>
              </w:rPr>
              <w:t>第六十五条</w:t>
            </w:r>
            <w:r>
              <w:rPr>
                <w:rFonts w:hint="eastAsia" w:ascii="Times New Roman" w:hAnsi="Times New Roman" w:eastAsia="仿宋_GB2312" w:cs="仿宋_GB2312"/>
                <w:sz w:val="21"/>
                <w:szCs w:val="21"/>
                <w:highlight w:val="none"/>
              </w:rPr>
              <w:t xml:space="preserve">  风险管控、修复活动完成后，土壤污染责任人应当另行委托有关单位对风险管控效果、修复效果进行评估，并将效果评估报告报地方人民政府生态环境主管部门备案。</w:t>
            </w:r>
          </w:p>
          <w:p>
            <w:pPr>
              <w:pStyle w:val="12"/>
              <w:snapToGrid w:val="0"/>
              <w:spacing w:before="0" w:beforeAutospacing="0" w:after="0" w:afterAutospacing="0"/>
              <w:ind w:firstLine="420"/>
              <w:rPr>
                <w:rFonts w:ascii="Times New Roman" w:hAnsi="Times New Roman" w:eastAsia="仿宋_GB2312" w:cs="Times New Roman"/>
                <w:sz w:val="21"/>
                <w:szCs w:val="21"/>
                <w:highlight w:val="none"/>
              </w:rPr>
            </w:pPr>
            <w:r>
              <w:rPr>
                <w:rFonts w:ascii="Times New Roman" w:hAnsi="Times New Roman" w:eastAsia="仿宋_GB2312" w:cs="Times New Roman"/>
                <w:b/>
                <w:bCs/>
                <w:sz w:val="21"/>
                <w:szCs w:val="21"/>
                <w:highlight w:val="none"/>
              </w:rPr>
              <w:t>2.</w:t>
            </w:r>
            <w:r>
              <w:rPr>
                <w:rFonts w:hint="eastAsia" w:ascii="Times New Roman" w:hAnsi="Times New Roman" w:eastAsia="仿宋_GB2312" w:cs="仿宋_GB2312"/>
                <w:b/>
                <w:bCs/>
                <w:sz w:val="21"/>
                <w:szCs w:val="21"/>
                <w:highlight w:val="none"/>
              </w:rPr>
              <w:t>《山东省土壤污染防治条例》第五十六条</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建设用地风险管控、修复活动完成后，土壤污染责任人应当另行委托有关单位对风险管控效果、修复效果进行评估，编制效果评估报告，报设区的市人民政府生态环境主管部门备案。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vAlign w:val="center"/>
          </w:tcPr>
          <w:p>
            <w:pPr>
              <w:pStyle w:val="12"/>
              <w:snapToGrid w:val="0"/>
              <w:spacing w:before="0" w:beforeAutospacing="0" w:after="0" w:afterAutospacing="0"/>
              <w:ind w:firstLine="422"/>
              <w:rPr>
                <w:rFonts w:ascii="Times New Roman" w:hAnsi="Times New Roman" w:eastAsia="仿宋_GB2312" w:cs="Times New Roman"/>
                <w:sz w:val="21"/>
                <w:szCs w:val="21"/>
                <w:highlight w:val="none"/>
              </w:rPr>
            </w:pPr>
            <w:r>
              <w:rPr>
                <w:rFonts w:ascii="Times New Roman" w:hAnsi="Times New Roman" w:eastAsia="仿宋_GB2312" w:cs="Times New Roman"/>
                <w:b/>
                <w:bCs/>
                <w:sz w:val="21"/>
                <w:szCs w:val="21"/>
                <w:highlight w:val="none"/>
              </w:rPr>
              <w:t>1.</w:t>
            </w:r>
            <w:r>
              <w:rPr>
                <w:rFonts w:hint="eastAsia" w:ascii="Times New Roman" w:hAnsi="Times New Roman" w:eastAsia="仿宋_GB2312" w:cs="仿宋_GB2312"/>
                <w:b/>
                <w:bCs/>
                <w:sz w:val="21"/>
                <w:szCs w:val="21"/>
                <w:highlight w:val="none"/>
              </w:rPr>
              <w:t>《中华人民共和国土壤污染防治法》第九十四条第（六）项</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pPr>
              <w:snapToGrid w:val="0"/>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highlight w:val="none"/>
              </w:rPr>
              <w:t>（六）风险管控、修复活动完成后，未另行委托有关单位对风险管控效果、修复效果进行评估的。</w:t>
            </w:r>
          </w:p>
          <w:p>
            <w:pPr>
              <w:snapToGrid w:val="0"/>
              <w:ind w:firstLine="422" w:firstLineChars="200"/>
              <w:rPr>
                <w:rFonts w:ascii="Times New Roman" w:hAnsi="Times New Roman" w:eastAsia="仿宋_GB2312" w:cs="Times New Roman"/>
                <w:highlight w:val="none"/>
              </w:rPr>
            </w:pPr>
            <w:r>
              <w:rPr>
                <w:rFonts w:ascii="Times New Roman" w:hAnsi="Times New Roman" w:eastAsia="仿宋_GB2312" w:cs="Times New Roman"/>
                <w:b/>
                <w:bCs/>
                <w:highlight w:val="none"/>
              </w:rPr>
              <w:t>2.</w:t>
            </w:r>
            <w:r>
              <w:rPr>
                <w:rFonts w:hint="eastAsia" w:ascii="Times New Roman" w:hAnsi="Times New Roman" w:eastAsia="仿宋_GB2312" w:cs="仿宋_GB2312"/>
                <w:b/>
                <w:bCs/>
                <w:highlight w:val="none"/>
              </w:rPr>
              <w:t>《山东省土壤污染防治条例》第七十六条</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违反本条例规定，土壤污染责任人或者土地使用权人委托同一单位从事土壤污染状况调查和风险评估、风险管控和修复、风险管控和修复效果评估等活动的，由生态环境主管部门或者其他负有土壤污染防治监督管理职责的部门责令改正，处二万元以上二十万元以下的罚款；拒不改正的，处二十万元以上一百万元以下的罚款，并依法另行委托有关单位对风险管控效果、修复效果进行评估，所需费用由土壤污染责任人或者土地使用权人承担；对直接负责的主管人员和其他直接责任人员处五千元以上二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858" w:type="dxa"/>
            <w:vAlign w:val="center"/>
          </w:tcPr>
          <w:p>
            <w:pPr>
              <w:snapToGrid w:val="0"/>
              <w:ind w:firstLine="422"/>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080" w:type="dxa"/>
            <w:vAlign w:val="center"/>
          </w:tcPr>
          <w:p>
            <w:pPr>
              <w:snapToGrid w:val="0"/>
              <w:ind w:firstLine="422"/>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858" w:type="dxa"/>
            <w:vAlign w:val="center"/>
          </w:tcPr>
          <w:p>
            <w:pPr>
              <w:snapToGrid w:val="0"/>
              <w:ind w:firstLine="422"/>
              <w:jc w:val="center"/>
              <w:rPr>
                <w:rFonts w:ascii="Times New Roman" w:hAnsi="Times New Roman" w:cs="Times New Roman"/>
                <w:b/>
                <w:bCs/>
                <w:color w:val="000000"/>
                <w:highlight w:val="none"/>
              </w:rPr>
            </w:pPr>
            <w:r>
              <w:rPr>
                <w:rFonts w:hint="eastAsia" w:ascii="Times New Roman" w:hAnsi="Times New Roman" w:eastAsia="仿宋_GB2312" w:cs="仿宋_GB2312"/>
                <w:color w:val="000000"/>
                <w:highlight w:val="none"/>
              </w:rPr>
              <w:t>未另行委托有关单位对风险管控效果、修复效果进行评估</w:t>
            </w:r>
          </w:p>
        </w:tc>
        <w:tc>
          <w:tcPr>
            <w:tcW w:w="2080"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858" w:type="dxa"/>
            <w:vAlign w:val="center"/>
          </w:tcPr>
          <w:p>
            <w:pPr>
              <w:pStyle w:val="11"/>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未对风险管控效果、修复效果进行评估</w:t>
            </w:r>
          </w:p>
        </w:tc>
        <w:tc>
          <w:tcPr>
            <w:tcW w:w="2080"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土壤环境</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敏感度</w:t>
            </w:r>
          </w:p>
        </w:tc>
        <w:tc>
          <w:tcPr>
            <w:tcW w:w="5858" w:type="dxa"/>
            <w:vAlign w:val="center"/>
          </w:tcPr>
          <w:p>
            <w:pPr>
              <w:pStyle w:val="11"/>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第二类建设用地</w:t>
            </w:r>
          </w:p>
        </w:tc>
        <w:tc>
          <w:tcPr>
            <w:tcW w:w="2080"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858" w:type="dxa"/>
            <w:vAlign w:val="center"/>
          </w:tcPr>
          <w:p>
            <w:pPr>
              <w:pStyle w:val="11"/>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第一类建设用地</w:t>
            </w:r>
          </w:p>
        </w:tc>
        <w:tc>
          <w:tcPr>
            <w:tcW w:w="2080"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858" w:type="dxa"/>
            <w:vAlign w:val="center"/>
          </w:tcPr>
          <w:p>
            <w:pPr>
              <w:pStyle w:val="11"/>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严格管控类农用地</w:t>
            </w:r>
          </w:p>
        </w:tc>
        <w:tc>
          <w:tcPr>
            <w:tcW w:w="2080"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858"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安全利用类农用地</w:t>
            </w:r>
          </w:p>
        </w:tc>
        <w:tc>
          <w:tcPr>
            <w:tcW w:w="2080"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858"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优先保护类农用地</w:t>
            </w:r>
          </w:p>
        </w:tc>
        <w:tc>
          <w:tcPr>
            <w:tcW w:w="2080"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涉及面积</w:t>
            </w:r>
          </w:p>
        </w:tc>
        <w:tc>
          <w:tcPr>
            <w:tcW w:w="5858"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w:t>
            </w:r>
          </w:p>
        </w:tc>
        <w:tc>
          <w:tcPr>
            <w:tcW w:w="2080"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858"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以上</w:t>
            </w:r>
            <w:r>
              <w:rPr>
                <w:rFonts w:ascii="Times New Roman" w:hAnsi="Times New Roman" w:eastAsia="仿宋_GB2312" w:cs="Times New Roman"/>
                <w:color w:val="000000"/>
                <w:sz w:val="21"/>
                <w:szCs w:val="21"/>
                <w:highlight w:val="none"/>
              </w:rPr>
              <w:t>5000m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w:t>
            </w:r>
          </w:p>
        </w:tc>
        <w:tc>
          <w:tcPr>
            <w:tcW w:w="2080"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858"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5000m</w:t>
            </w:r>
            <w:r>
              <w:rPr>
                <w:rFonts w:ascii="Times New Roman" w:hAnsi="Times New Roman" w:eastAsia="仿宋_GB2312" w:cs="Times New Roman"/>
                <w:color w:val="000000"/>
                <w:highlight w:val="none"/>
                <w:vertAlign w:val="superscript"/>
              </w:rPr>
              <w:t>2</w:t>
            </w:r>
            <w:r>
              <w:rPr>
                <w:rFonts w:hint="eastAsia" w:ascii="Times New Roman" w:hAnsi="Times New Roman" w:eastAsia="仿宋_GB2312" w:cs="仿宋_GB2312"/>
                <w:color w:val="000000"/>
                <w:highlight w:val="none"/>
              </w:rPr>
              <w:t>以上</w:t>
            </w:r>
            <w:r>
              <w:rPr>
                <w:rFonts w:ascii="Times New Roman" w:hAnsi="Times New Roman" w:eastAsia="仿宋_GB2312" w:cs="Times New Roman"/>
                <w:color w:val="000000"/>
                <w:highlight w:val="none"/>
              </w:rPr>
              <w:t>10000m</w:t>
            </w:r>
            <w:r>
              <w:rPr>
                <w:rFonts w:ascii="Times New Roman" w:hAnsi="Times New Roman" w:eastAsia="仿宋_GB2312" w:cs="Times New Roman"/>
                <w:color w:val="000000"/>
                <w:highlight w:val="none"/>
                <w:vertAlign w:val="superscript"/>
              </w:rPr>
              <w:t>2</w:t>
            </w:r>
            <w:r>
              <w:rPr>
                <w:rFonts w:hint="eastAsia" w:ascii="Times New Roman" w:hAnsi="Times New Roman" w:eastAsia="仿宋_GB2312" w:cs="仿宋_GB2312"/>
                <w:color w:val="000000"/>
                <w:highlight w:val="none"/>
              </w:rPr>
              <w:t>以下</w:t>
            </w:r>
          </w:p>
        </w:tc>
        <w:tc>
          <w:tcPr>
            <w:tcW w:w="2080"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858"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10000m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以上</w:t>
            </w:r>
            <w:r>
              <w:rPr>
                <w:rFonts w:ascii="Times New Roman" w:hAnsi="Times New Roman" w:eastAsia="仿宋_GB2312" w:cs="Times New Roman"/>
                <w:color w:val="000000"/>
                <w:sz w:val="21"/>
                <w:szCs w:val="21"/>
                <w:highlight w:val="none"/>
              </w:rPr>
              <w:t>20000m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w:t>
            </w:r>
          </w:p>
        </w:tc>
        <w:tc>
          <w:tcPr>
            <w:tcW w:w="2080"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858"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20000m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以上</w:t>
            </w:r>
          </w:p>
        </w:tc>
        <w:tc>
          <w:tcPr>
            <w:tcW w:w="2080"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938" w:type="dxa"/>
            <w:gridSpan w:val="2"/>
            <w:vAlign w:val="center"/>
          </w:tcPr>
          <w:p>
            <w:pPr>
              <w:snapToGrid w:val="0"/>
              <w:ind w:firstLine="422"/>
              <w:jc w:val="center"/>
              <w:rPr>
                <w:rFonts w:ascii="Times New Roman" w:hAnsi="Times New Roman" w:cs="Times New Roman"/>
                <w:b/>
                <w:bCs/>
                <w:color w:val="000000"/>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09" w:type="dxa"/>
            <w:gridSpan w:val="3"/>
            <w:vAlign w:val="center"/>
          </w:tcPr>
          <w:p>
            <w:pPr>
              <w:snapToGrid w:val="0"/>
              <w:ind w:firstLine="643"/>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（五）土壤污染防治类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ind w:firstLine="420"/>
              <w:jc w:val="center"/>
              <w:rPr>
                <w:rFonts w:ascii="Times New Roman" w:hAnsi="Times New Roman" w:cs="Times New Roman"/>
                <w:highlight w:val="none"/>
              </w:rPr>
            </w:pPr>
            <w:r>
              <w:rPr>
                <w:rFonts w:ascii="Times New Roman" w:hAnsi="Times New Roman" w:cs="Times New Roman"/>
                <w:highlight w:val="none"/>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土壤污染重点监管单位未按照规定将土壤污染防治工作方案报地方人民政府生态环境主管部门备案，责令改正拒不改正的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vAlign w:val="center"/>
          </w:tcPr>
          <w:p>
            <w:pPr>
              <w:pStyle w:val="12"/>
              <w:snapToGrid w:val="0"/>
              <w:spacing w:before="0" w:beforeAutospacing="0" w:after="0" w:afterAutospacing="0"/>
              <w:ind w:firstLine="422"/>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《中华人民共和国土壤污染防治法》第二十二条第二款</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土壤污染重点监管单位拆除设施、设备或者建筑物、构筑物的，应当制定包括应急措施在内的土壤污染防治工作方案，报地方人民政府生态环境、工业和信息化主管部门备案并实施。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vAlign w:val="center"/>
          </w:tcPr>
          <w:p>
            <w:pPr>
              <w:pStyle w:val="12"/>
              <w:snapToGrid w:val="0"/>
              <w:spacing w:before="0" w:beforeAutospacing="0" w:after="0" w:afterAutospacing="0"/>
              <w:ind w:firstLine="422"/>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b/>
                <w:bCs/>
                <w:sz w:val="21"/>
                <w:szCs w:val="21"/>
                <w:highlight w:val="none"/>
              </w:rPr>
              <w:t>《中华人民共和国土壤污染防治法》第九十五条第（一）项</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违反本法规定，有下列行为之一的，由地方人民政府有关部门责令改正</w:t>
            </w:r>
            <w:r>
              <w:rPr>
                <w:rFonts w:hint="eastAsia" w:ascii="Times New Roman" w:hAnsi="Times New Roman" w:eastAsia="仿宋_GB2312" w:cs="仿宋_GB2312"/>
                <w:color w:val="000000"/>
                <w:sz w:val="21"/>
                <w:szCs w:val="21"/>
                <w:highlight w:val="none"/>
              </w:rPr>
              <w:t>；拒不改正的，处一万元以上五万元以下的罚款：</w:t>
            </w:r>
          </w:p>
          <w:p>
            <w:pPr>
              <w:snapToGrid w:val="0"/>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（一）土壤污染重点监管单位未按照规定将土壤污染防治工作方案报地方人民政府生态环境、工业和信息化主管部门备案的。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ind w:firstLine="422"/>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ind w:firstLine="422"/>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土壤环境</w:t>
            </w:r>
          </w:p>
          <w:p>
            <w:pPr>
              <w:snapToGrid w:val="0"/>
              <w:jc w:val="center"/>
              <w:rPr>
                <w:rFonts w:ascii="Times New Roman" w:hAnsi="Times New Roman" w:cs="宋体"/>
                <w:b/>
                <w:bCs/>
                <w:color w:val="000000"/>
                <w:highlight w:val="none"/>
              </w:rPr>
            </w:pPr>
            <w:r>
              <w:rPr>
                <w:rFonts w:hint="eastAsia" w:ascii="Times New Roman" w:hAnsi="Times New Roman" w:cs="宋体"/>
                <w:b/>
                <w:bCs/>
                <w:color w:val="000000"/>
                <w:highlight w:val="none"/>
              </w:rPr>
              <w:t>敏感度★</w:t>
            </w:r>
          </w:p>
        </w:tc>
        <w:tc>
          <w:tcPr>
            <w:tcW w:w="5245" w:type="dxa"/>
            <w:vAlign w:val="center"/>
          </w:tcPr>
          <w:p>
            <w:pPr>
              <w:pStyle w:val="11"/>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第二类建设用地</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highlight w:val="none"/>
              </w:rPr>
            </w:pPr>
          </w:p>
        </w:tc>
        <w:tc>
          <w:tcPr>
            <w:tcW w:w="5245" w:type="dxa"/>
            <w:vAlign w:val="center"/>
          </w:tcPr>
          <w:p>
            <w:pPr>
              <w:pStyle w:val="11"/>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第一类建设用地</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严格管控类农用地</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安全利用类农用地</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优先保护类农用地</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排污类型</w:t>
            </w: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一般污染物</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一类污染物</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有毒有害物质</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涉及面积</w:t>
            </w: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以上</w:t>
            </w:r>
            <w:r>
              <w:rPr>
                <w:rFonts w:ascii="Times New Roman" w:hAnsi="Times New Roman" w:eastAsia="仿宋_GB2312" w:cs="Times New Roman"/>
                <w:color w:val="000000"/>
                <w:sz w:val="21"/>
                <w:szCs w:val="21"/>
                <w:highlight w:val="none"/>
              </w:rPr>
              <w:t>5000m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5000m</w:t>
            </w:r>
            <w:r>
              <w:rPr>
                <w:rFonts w:ascii="Times New Roman" w:hAnsi="Times New Roman" w:eastAsia="仿宋_GB2312" w:cs="Times New Roman"/>
                <w:color w:val="000000"/>
                <w:highlight w:val="none"/>
                <w:vertAlign w:val="superscript"/>
              </w:rPr>
              <w:t>2</w:t>
            </w:r>
            <w:r>
              <w:rPr>
                <w:rFonts w:hint="eastAsia" w:ascii="Times New Roman" w:hAnsi="Times New Roman" w:eastAsia="仿宋_GB2312" w:cs="仿宋_GB2312"/>
                <w:color w:val="000000"/>
                <w:highlight w:val="none"/>
              </w:rPr>
              <w:t>以上</w:t>
            </w:r>
            <w:r>
              <w:rPr>
                <w:rFonts w:ascii="Times New Roman" w:hAnsi="Times New Roman" w:eastAsia="仿宋_GB2312" w:cs="Times New Roman"/>
                <w:color w:val="000000"/>
                <w:highlight w:val="none"/>
              </w:rPr>
              <w:t>10000m</w:t>
            </w:r>
            <w:r>
              <w:rPr>
                <w:rFonts w:ascii="Times New Roman" w:hAnsi="Times New Roman" w:eastAsia="仿宋_GB2312" w:cs="Times New Roman"/>
                <w:color w:val="000000"/>
                <w:highlight w:val="none"/>
                <w:vertAlign w:val="superscript"/>
              </w:rPr>
              <w:t>2</w:t>
            </w:r>
            <w:r>
              <w:rPr>
                <w:rFonts w:hint="eastAsia" w:ascii="Times New Roman" w:hAnsi="Times New Roman" w:eastAsia="仿宋_GB2312" w:cs="仿宋_GB2312"/>
                <w:color w:val="000000"/>
                <w:highlight w:val="none"/>
              </w:rPr>
              <w:t>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10000m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以上</w:t>
            </w:r>
            <w:r>
              <w:rPr>
                <w:rFonts w:ascii="Times New Roman" w:hAnsi="Times New Roman" w:eastAsia="仿宋_GB2312" w:cs="Times New Roman"/>
                <w:color w:val="000000"/>
                <w:sz w:val="21"/>
                <w:szCs w:val="21"/>
                <w:highlight w:val="none"/>
              </w:rPr>
              <w:t>20000m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tcBorders>
              <w:bottom w:val="single" w:color="auto" w:sz="4" w:space="0"/>
            </w:tcBorders>
            <w:vAlign w:val="center"/>
          </w:tcPr>
          <w:p>
            <w:pPr>
              <w:snapToGrid w:val="0"/>
              <w:ind w:firstLine="422"/>
              <w:jc w:val="center"/>
              <w:rPr>
                <w:rFonts w:ascii="Times New Roman" w:hAnsi="Times New Roman" w:cs="Times New Roman"/>
                <w:b/>
                <w:bCs/>
                <w:color w:val="000000"/>
                <w:highlight w:val="none"/>
              </w:rPr>
            </w:pPr>
          </w:p>
        </w:tc>
        <w:tc>
          <w:tcPr>
            <w:tcW w:w="5245" w:type="dxa"/>
            <w:tcBorders>
              <w:bottom w:val="single" w:color="auto" w:sz="4" w:space="0"/>
            </w:tcBorders>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20000m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以上</w:t>
            </w:r>
          </w:p>
        </w:tc>
        <w:tc>
          <w:tcPr>
            <w:tcW w:w="2693" w:type="dxa"/>
            <w:tcBorders>
              <w:bottom w:val="single" w:color="auto" w:sz="4" w:space="0"/>
            </w:tcBorders>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2"/>
              <w:jc w:val="center"/>
              <w:rPr>
                <w:rFonts w:ascii="Times New Roman" w:hAnsi="Times New Roman" w:cs="Times New Roman"/>
                <w:b/>
                <w:bCs/>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09" w:type="dxa"/>
            <w:gridSpan w:val="3"/>
            <w:vAlign w:val="center"/>
          </w:tcPr>
          <w:p>
            <w:pPr>
              <w:snapToGrid w:val="0"/>
              <w:ind w:firstLine="643"/>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（五）土壤污染防治类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ind w:firstLine="420"/>
              <w:jc w:val="center"/>
              <w:rPr>
                <w:rFonts w:ascii="Times New Roman" w:hAnsi="Times New Roman" w:cs="Times New Roman"/>
                <w:highlight w:val="none"/>
              </w:rPr>
            </w:pPr>
            <w:r>
              <w:rPr>
                <w:rFonts w:ascii="Times New Roman" w:hAnsi="Times New Roman" w:cs="Times New Roman"/>
                <w:highlight w:val="none"/>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spacing w:before="62" w:beforeLines="20"/>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土壤污染责任人或者土地使用权人未按照规定将修复方案、效果评估报告报地方人民政府生态环境主管部门备案，责令改正拒不改正的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违反条款</w:t>
            </w:r>
          </w:p>
        </w:tc>
        <w:tc>
          <w:tcPr>
            <w:tcW w:w="7938" w:type="dxa"/>
            <w:gridSpan w:val="2"/>
            <w:vAlign w:val="center"/>
          </w:tcPr>
          <w:p>
            <w:pPr>
              <w:pStyle w:val="12"/>
              <w:snapToGrid w:val="0"/>
              <w:spacing w:before="62" w:beforeLines="20" w:beforeAutospacing="0" w:after="0" w:afterAutospacing="0"/>
              <w:ind w:firstLine="420"/>
              <w:rPr>
                <w:rFonts w:ascii="Times New Roman" w:hAnsi="Times New Roman" w:eastAsia="仿宋_GB2312" w:cs="仿宋_GB2312"/>
                <w:sz w:val="21"/>
                <w:szCs w:val="21"/>
                <w:highlight w:val="none"/>
              </w:rPr>
            </w:pPr>
            <w:r>
              <w:rPr>
                <w:rFonts w:hint="eastAsia" w:ascii="Times New Roman" w:hAnsi="Times New Roman" w:eastAsia="仿宋_GB2312" w:cs="仿宋_GB2312"/>
                <w:b/>
                <w:bCs/>
                <w:sz w:val="21"/>
                <w:szCs w:val="21"/>
                <w:highlight w:val="none"/>
              </w:rPr>
              <w:t>《中华人民共和国土壤污染防治法》</w:t>
            </w:r>
            <w:r>
              <w:rPr>
                <w:rFonts w:hint="eastAsia" w:ascii="Times New Roman" w:hAnsi="Times New Roman" w:eastAsia="仿宋_GB2312" w:cs="仿宋_GB2312"/>
                <w:b/>
                <w:sz w:val="21"/>
                <w:szCs w:val="21"/>
                <w:highlight w:val="none"/>
              </w:rPr>
              <w:t xml:space="preserve">第六十四条  </w:t>
            </w:r>
            <w:r>
              <w:rPr>
                <w:rFonts w:hint="eastAsia" w:ascii="Times New Roman" w:hAnsi="Times New Roman" w:eastAsia="仿宋_GB2312" w:cs="仿宋_GB2312"/>
                <w:sz w:val="21"/>
                <w:szCs w:val="21"/>
                <w:highlight w:val="none"/>
              </w:rPr>
              <w:t>对建设用地土壤污染风险管控和修复名录中需要实施修复的地块，土壤污染责任人应当结合土地利用总体规划和城乡规划编制修复方案，报地方人民政府生态环境主管部门备案并实施。修复方案应当包括地下水污染防治的内容。</w:t>
            </w:r>
          </w:p>
          <w:p>
            <w:pPr>
              <w:pStyle w:val="12"/>
              <w:snapToGrid w:val="0"/>
              <w:spacing w:before="0" w:beforeAutospacing="0" w:after="0" w:afterAutospacing="0"/>
              <w:ind w:firstLine="422"/>
              <w:rPr>
                <w:rFonts w:ascii="Times New Roman" w:hAnsi="Times New Roman" w:eastAsia="仿宋_GB2312" w:cs="仿宋_GB2312"/>
                <w:sz w:val="21"/>
                <w:szCs w:val="21"/>
                <w:highlight w:val="none"/>
              </w:rPr>
            </w:pPr>
            <w:r>
              <w:rPr>
                <w:rFonts w:hint="eastAsia" w:ascii="Times New Roman" w:hAnsi="Times New Roman" w:eastAsia="仿宋_GB2312" w:cs="仿宋_GB2312"/>
                <w:b/>
                <w:sz w:val="21"/>
                <w:szCs w:val="21"/>
                <w:highlight w:val="none"/>
              </w:rPr>
              <w:t xml:space="preserve">第六十五条  </w:t>
            </w:r>
            <w:r>
              <w:rPr>
                <w:rFonts w:hint="eastAsia" w:ascii="Times New Roman" w:hAnsi="Times New Roman" w:eastAsia="仿宋_GB2312" w:cs="仿宋_GB2312"/>
                <w:sz w:val="21"/>
                <w:szCs w:val="21"/>
                <w:highlight w:val="none"/>
              </w:rPr>
              <w:t>风险管控、修复活动完成后，土壤污染责任人应当另行委托有关单位对风险管控效果、修复效果进行评估，并将效果评估报告报地方人民政府生态环境主管部门备案。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vAlign w:val="center"/>
          </w:tcPr>
          <w:p>
            <w:pPr>
              <w:pStyle w:val="12"/>
              <w:snapToGrid w:val="0"/>
              <w:spacing w:before="62" w:beforeLines="20" w:beforeAutospacing="0" w:after="0" w:afterAutospacing="0"/>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《中华人民共和国土壤污染防治法》第九十五条第（二）项</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违反本法规定，有下列行为之一的，由地方人民政府有关部门责令改正；拒不改正的，处一万元以上五万元以下的罚款：</w:t>
            </w:r>
          </w:p>
          <w:p>
            <w:pPr>
              <w:snapToGrid w:val="0"/>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（二）土壤污染责任人或者土地使用权人未按照规定将修复方案、效果评估报告报地方人民政府生态环境、农业农村、林业草原主管部门备案的。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ind w:firstLine="422"/>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ind w:firstLine="422"/>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土壤环境</w:t>
            </w:r>
          </w:p>
          <w:p>
            <w:pPr>
              <w:snapToGrid w:val="0"/>
              <w:jc w:val="center"/>
              <w:rPr>
                <w:rFonts w:ascii="Times New Roman" w:hAnsi="Times New Roman" w:cs="宋体"/>
                <w:b/>
                <w:bCs/>
                <w:color w:val="000000"/>
                <w:highlight w:val="none"/>
              </w:rPr>
            </w:pPr>
            <w:r>
              <w:rPr>
                <w:rFonts w:hint="eastAsia" w:ascii="Times New Roman" w:hAnsi="Times New Roman" w:cs="宋体"/>
                <w:b/>
                <w:bCs/>
                <w:color w:val="000000"/>
                <w:highlight w:val="none"/>
              </w:rPr>
              <w:t>敏感度★</w:t>
            </w:r>
          </w:p>
        </w:tc>
        <w:tc>
          <w:tcPr>
            <w:tcW w:w="5245" w:type="dxa"/>
            <w:vAlign w:val="center"/>
          </w:tcPr>
          <w:p>
            <w:pPr>
              <w:pStyle w:val="11"/>
              <w:jc w:val="center"/>
              <w:rPr>
                <w:rFonts w:ascii="Times New Roman" w:hAnsi="Times New Roman" w:eastAsia="仿宋_GB2312" w:cs="仿宋_GB2312"/>
                <w:color w:val="000000"/>
                <w:sz w:val="21"/>
                <w:szCs w:val="21"/>
                <w:highlight w:val="none"/>
              </w:rPr>
            </w:pPr>
            <w:r>
              <w:rPr>
                <w:rFonts w:hint="eastAsia" w:ascii="Times New Roman" w:hAnsi="Times New Roman" w:eastAsia="仿宋_GB2312" w:cs="仿宋_GB2312"/>
                <w:color w:val="000000"/>
                <w:sz w:val="21"/>
                <w:szCs w:val="21"/>
                <w:highlight w:val="none"/>
              </w:rPr>
              <w:t>第二类建设用地</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宋体"/>
                <w:b/>
                <w:bCs/>
                <w:color w:val="000000"/>
                <w:highlight w:val="none"/>
              </w:rPr>
            </w:pPr>
          </w:p>
        </w:tc>
        <w:tc>
          <w:tcPr>
            <w:tcW w:w="5245" w:type="dxa"/>
            <w:vAlign w:val="center"/>
          </w:tcPr>
          <w:p>
            <w:pPr>
              <w:pStyle w:val="11"/>
              <w:jc w:val="center"/>
              <w:rPr>
                <w:rFonts w:ascii="Times New Roman" w:hAnsi="Times New Roman" w:eastAsia="仿宋_GB2312" w:cs="仿宋_GB2312"/>
                <w:color w:val="000000"/>
                <w:sz w:val="21"/>
                <w:szCs w:val="21"/>
                <w:highlight w:val="none"/>
              </w:rPr>
            </w:pPr>
            <w:r>
              <w:rPr>
                <w:rFonts w:hint="eastAsia" w:ascii="Times New Roman" w:hAnsi="Times New Roman" w:eastAsia="仿宋_GB2312" w:cs="仿宋_GB2312"/>
                <w:color w:val="000000"/>
                <w:sz w:val="21"/>
                <w:szCs w:val="21"/>
                <w:highlight w:val="none"/>
              </w:rPr>
              <w:t>第一类建设用地</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排污类型</w:t>
            </w: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一般污染物</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一类污染物</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有毒有害物质</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涉及面积</w:t>
            </w: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以上</w:t>
            </w:r>
            <w:r>
              <w:rPr>
                <w:rFonts w:ascii="Times New Roman" w:hAnsi="Times New Roman" w:eastAsia="仿宋_GB2312" w:cs="Times New Roman"/>
                <w:color w:val="000000"/>
                <w:sz w:val="21"/>
                <w:szCs w:val="21"/>
                <w:highlight w:val="none"/>
              </w:rPr>
              <w:t>5000m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5000m</w:t>
            </w:r>
            <w:r>
              <w:rPr>
                <w:rFonts w:ascii="Times New Roman" w:hAnsi="Times New Roman" w:eastAsia="仿宋_GB2312" w:cs="Times New Roman"/>
                <w:color w:val="000000"/>
                <w:highlight w:val="none"/>
                <w:vertAlign w:val="superscript"/>
              </w:rPr>
              <w:t>2</w:t>
            </w:r>
            <w:r>
              <w:rPr>
                <w:rFonts w:hint="eastAsia" w:ascii="Times New Roman" w:hAnsi="Times New Roman" w:eastAsia="仿宋_GB2312" w:cs="仿宋_GB2312"/>
                <w:color w:val="000000"/>
                <w:highlight w:val="none"/>
              </w:rPr>
              <w:t>以上</w:t>
            </w:r>
            <w:r>
              <w:rPr>
                <w:rFonts w:ascii="Times New Roman" w:hAnsi="Times New Roman" w:eastAsia="仿宋_GB2312" w:cs="Times New Roman"/>
                <w:color w:val="000000"/>
                <w:highlight w:val="none"/>
              </w:rPr>
              <w:t>10000m</w:t>
            </w:r>
            <w:r>
              <w:rPr>
                <w:rFonts w:ascii="Times New Roman" w:hAnsi="Times New Roman" w:eastAsia="仿宋_GB2312" w:cs="Times New Roman"/>
                <w:color w:val="000000"/>
                <w:highlight w:val="none"/>
                <w:vertAlign w:val="superscript"/>
              </w:rPr>
              <w:t>2</w:t>
            </w:r>
            <w:r>
              <w:rPr>
                <w:rFonts w:hint="eastAsia" w:ascii="Times New Roman" w:hAnsi="Times New Roman" w:eastAsia="仿宋_GB2312" w:cs="仿宋_GB2312"/>
                <w:color w:val="000000"/>
                <w:highlight w:val="none"/>
              </w:rPr>
              <w:t>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10000m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以上</w:t>
            </w:r>
            <w:r>
              <w:rPr>
                <w:rFonts w:ascii="Times New Roman" w:hAnsi="Times New Roman" w:eastAsia="仿宋_GB2312" w:cs="Times New Roman"/>
                <w:color w:val="000000"/>
                <w:sz w:val="21"/>
                <w:szCs w:val="21"/>
                <w:highlight w:val="none"/>
              </w:rPr>
              <w:t>20000m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20000m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以上</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拒不改正</w:t>
            </w:r>
          </w:p>
          <w:p>
            <w:pPr>
              <w:snapToGrid w:val="0"/>
              <w:jc w:val="center"/>
              <w:rPr>
                <w:rFonts w:ascii="Times New Roman" w:hAnsi="Times New Roman" w:cs="Times New Roman"/>
                <w:b/>
                <w:bCs/>
                <w:color w:val="FF0000"/>
                <w:highlight w:val="none"/>
              </w:rPr>
            </w:pPr>
            <w:r>
              <w:rPr>
                <w:rFonts w:hint="eastAsia" w:ascii="Times New Roman" w:hAnsi="Times New Roman" w:cs="宋体"/>
                <w:b/>
                <w:bCs/>
                <w:color w:val="000000"/>
                <w:highlight w:val="none"/>
              </w:rPr>
              <w:t>持续时间</w:t>
            </w: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不满</w:t>
            </w:r>
            <w:r>
              <w:rPr>
                <w:rFonts w:ascii="Times New Roman" w:hAnsi="Times New Roman" w:eastAsia="仿宋_GB2312" w:cs="Times New Roman"/>
                <w:highlight w:val="none"/>
              </w:rPr>
              <w:t>1</w:t>
            </w:r>
            <w:r>
              <w:rPr>
                <w:rFonts w:hint="eastAsia" w:ascii="Times New Roman" w:hAnsi="Times New Roman" w:eastAsia="仿宋_GB2312" w:cs="仿宋_GB2312"/>
                <w:highlight w:val="none"/>
              </w:rPr>
              <w:t>个月</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highlight w:val="none"/>
              </w:rPr>
            </w:pPr>
          </w:p>
        </w:tc>
        <w:tc>
          <w:tcPr>
            <w:tcW w:w="5245" w:type="dxa"/>
            <w:vAlign w:val="center"/>
          </w:tcPr>
          <w:p>
            <w:pPr>
              <w:pStyle w:val="11"/>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1</w:t>
            </w:r>
            <w:r>
              <w:rPr>
                <w:rFonts w:hint="eastAsia" w:ascii="Times New Roman" w:hAnsi="Times New Roman" w:eastAsia="仿宋_GB2312" w:cs="仿宋_GB2312"/>
                <w:sz w:val="21"/>
                <w:szCs w:val="21"/>
                <w:highlight w:val="none"/>
              </w:rPr>
              <w:t>个月以上，不满</w:t>
            </w:r>
            <w:r>
              <w:rPr>
                <w:rFonts w:ascii="Times New Roman" w:hAnsi="Times New Roman" w:eastAsia="仿宋_GB2312" w:cs="Times New Roman"/>
                <w:sz w:val="21"/>
                <w:szCs w:val="21"/>
                <w:highlight w:val="none"/>
              </w:rPr>
              <w:t>3</w:t>
            </w:r>
            <w:r>
              <w:rPr>
                <w:rFonts w:hint="eastAsia" w:ascii="Times New Roman" w:hAnsi="Times New Roman" w:eastAsia="仿宋_GB2312" w:cs="仿宋_GB2312"/>
                <w:sz w:val="21"/>
                <w:szCs w:val="21"/>
                <w:highlight w:val="none"/>
              </w:rPr>
              <w:t>个月</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highlight w:val="none"/>
              </w:rPr>
            </w:pPr>
          </w:p>
        </w:tc>
        <w:tc>
          <w:tcPr>
            <w:tcW w:w="5245" w:type="dxa"/>
            <w:vAlign w:val="center"/>
          </w:tcPr>
          <w:p>
            <w:pPr>
              <w:pStyle w:val="11"/>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3</w:t>
            </w:r>
            <w:r>
              <w:rPr>
                <w:rFonts w:hint="eastAsia" w:ascii="Times New Roman" w:hAnsi="Times New Roman" w:eastAsia="仿宋_GB2312" w:cs="仿宋_GB2312"/>
                <w:sz w:val="21"/>
                <w:szCs w:val="21"/>
                <w:highlight w:val="none"/>
              </w:rPr>
              <w:t>个月以上，不满</w:t>
            </w:r>
            <w:r>
              <w:rPr>
                <w:rFonts w:ascii="Times New Roman" w:hAnsi="Times New Roman" w:eastAsia="仿宋_GB2312" w:cs="Times New Roman"/>
                <w:sz w:val="21"/>
                <w:szCs w:val="21"/>
                <w:highlight w:val="none"/>
              </w:rPr>
              <w:t>6</w:t>
            </w:r>
            <w:r>
              <w:rPr>
                <w:rFonts w:hint="eastAsia" w:ascii="Times New Roman" w:hAnsi="Times New Roman" w:eastAsia="仿宋_GB2312" w:cs="仿宋_GB2312"/>
                <w:sz w:val="21"/>
                <w:szCs w:val="21"/>
                <w:highlight w:val="none"/>
              </w:rPr>
              <w:t>个月</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highlight w:val="none"/>
              </w:rPr>
            </w:pPr>
          </w:p>
        </w:tc>
        <w:tc>
          <w:tcPr>
            <w:tcW w:w="5245" w:type="dxa"/>
            <w:vAlign w:val="center"/>
          </w:tcPr>
          <w:p>
            <w:pPr>
              <w:pStyle w:val="11"/>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6</w:t>
            </w:r>
            <w:r>
              <w:rPr>
                <w:rFonts w:hint="eastAsia" w:ascii="Times New Roman" w:hAnsi="Times New Roman" w:eastAsia="仿宋_GB2312" w:cs="仿宋_GB2312"/>
                <w:sz w:val="21"/>
                <w:szCs w:val="21"/>
                <w:highlight w:val="none"/>
              </w:rPr>
              <w:t>个月以上，不满</w:t>
            </w:r>
            <w:r>
              <w:rPr>
                <w:rFonts w:ascii="Times New Roman" w:hAnsi="Times New Roman" w:eastAsia="仿宋_GB2312" w:cs="Times New Roman"/>
                <w:sz w:val="21"/>
                <w:szCs w:val="21"/>
                <w:highlight w:val="none"/>
              </w:rPr>
              <w:t>12</w:t>
            </w:r>
            <w:r>
              <w:rPr>
                <w:rFonts w:hint="eastAsia" w:ascii="Times New Roman" w:hAnsi="Times New Roman" w:eastAsia="仿宋_GB2312" w:cs="仿宋_GB2312"/>
                <w:sz w:val="21"/>
                <w:szCs w:val="21"/>
                <w:highlight w:val="none"/>
              </w:rPr>
              <w:t>个月</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highlight w:val="none"/>
              </w:rPr>
            </w:pPr>
          </w:p>
        </w:tc>
        <w:tc>
          <w:tcPr>
            <w:tcW w:w="5245" w:type="dxa"/>
            <w:vAlign w:val="center"/>
          </w:tcPr>
          <w:p>
            <w:pPr>
              <w:pStyle w:val="11"/>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12</w:t>
            </w:r>
            <w:r>
              <w:rPr>
                <w:rFonts w:hint="eastAsia" w:ascii="Times New Roman" w:hAnsi="Times New Roman" w:eastAsia="仿宋_GB2312" w:cs="仿宋_GB2312"/>
                <w:sz w:val="21"/>
                <w:szCs w:val="21"/>
                <w:highlight w:val="none"/>
              </w:rPr>
              <w:t>个月以上</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2"/>
              <w:jc w:val="center"/>
              <w:rPr>
                <w:rFonts w:ascii="Times New Roman" w:hAnsi="Times New Roman" w:cs="Times New Roman"/>
                <w:b/>
                <w:bCs/>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09" w:type="dxa"/>
            <w:gridSpan w:val="3"/>
            <w:vAlign w:val="center"/>
          </w:tcPr>
          <w:p>
            <w:pPr>
              <w:snapToGrid w:val="0"/>
              <w:ind w:firstLine="643"/>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（五）土壤污染防治类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ind w:firstLine="420"/>
              <w:jc w:val="center"/>
              <w:rPr>
                <w:rFonts w:ascii="Times New Roman" w:hAnsi="Times New Roman" w:cs="Times New Roman"/>
                <w:highlight w:val="none"/>
              </w:rPr>
            </w:pPr>
            <w:r>
              <w:rPr>
                <w:rFonts w:ascii="Times New Roman" w:hAnsi="Times New Roman" w:cs="Times New Roman"/>
                <w:highlight w:val="none"/>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土地使用权人未按照规定将土壤污染状况调查报告报地方人民政府生态环境主管部门备案的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vAlign w:val="center"/>
          </w:tcPr>
          <w:p>
            <w:pPr>
              <w:pStyle w:val="12"/>
              <w:snapToGrid w:val="0"/>
              <w:spacing w:before="62" w:beforeLines="20" w:beforeAutospacing="0" w:after="0" w:afterAutospacing="0"/>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《中华人民共和国土壤污染防治法》第六十七条</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土壤污染重点监管单位生产经营用地的用途变更或者在其土地使用权收回、转让前，应当由土地使用权人按照规定进行土壤污染状况调查。土壤污染状况调查报告应当作为不动产登记资料送交地方人民政府不动产登记机构，并报地方人民政府生态环境主管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vAlign w:val="center"/>
          </w:tcPr>
          <w:p>
            <w:pPr>
              <w:pStyle w:val="12"/>
              <w:snapToGrid w:val="0"/>
              <w:spacing w:before="62" w:beforeLines="20" w:beforeAutospacing="0" w:after="0" w:afterAutospacing="0"/>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《中华人民共和国土壤污染防治法》第九十五条第（三）项</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违反本法规定，有下列行为之一的，由地方人民政府有关部门责令改正；拒不改正的，处一万元以上五万元以下的罚款：</w:t>
            </w:r>
          </w:p>
          <w:p>
            <w:pPr>
              <w:snapToGrid w:val="0"/>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（三）土地使用权人未按照规定将土壤污染状况调查报告报地方人民政府生态环境主管部门备案的。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ind w:firstLine="422"/>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ind w:firstLine="422"/>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土壤环境</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敏感度★</w:t>
            </w: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第二类建设用地</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第一类建设用地</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排污类型</w:t>
            </w: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一般污染物</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一类污染物</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有毒有害物质</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涉及面积</w:t>
            </w: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以上</w:t>
            </w:r>
            <w:r>
              <w:rPr>
                <w:rFonts w:ascii="Times New Roman" w:hAnsi="Times New Roman" w:eastAsia="仿宋_GB2312" w:cs="Times New Roman"/>
                <w:color w:val="000000"/>
                <w:sz w:val="21"/>
                <w:szCs w:val="21"/>
                <w:highlight w:val="none"/>
              </w:rPr>
              <w:t>5000m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5000m</w:t>
            </w:r>
            <w:r>
              <w:rPr>
                <w:rFonts w:ascii="Times New Roman" w:hAnsi="Times New Roman" w:eastAsia="仿宋_GB2312" w:cs="Times New Roman"/>
                <w:color w:val="000000"/>
                <w:highlight w:val="none"/>
                <w:vertAlign w:val="superscript"/>
              </w:rPr>
              <w:t>2</w:t>
            </w:r>
            <w:r>
              <w:rPr>
                <w:rFonts w:hint="eastAsia" w:ascii="Times New Roman" w:hAnsi="Times New Roman" w:eastAsia="仿宋_GB2312" w:cs="仿宋_GB2312"/>
                <w:color w:val="000000"/>
                <w:highlight w:val="none"/>
              </w:rPr>
              <w:t>以上</w:t>
            </w:r>
            <w:r>
              <w:rPr>
                <w:rFonts w:ascii="Times New Roman" w:hAnsi="Times New Roman" w:eastAsia="仿宋_GB2312" w:cs="Times New Roman"/>
                <w:color w:val="000000"/>
                <w:highlight w:val="none"/>
              </w:rPr>
              <w:t>10000m</w:t>
            </w:r>
            <w:r>
              <w:rPr>
                <w:rFonts w:ascii="Times New Roman" w:hAnsi="Times New Roman" w:eastAsia="仿宋_GB2312" w:cs="Times New Roman"/>
                <w:color w:val="000000"/>
                <w:highlight w:val="none"/>
                <w:vertAlign w:val="superscript"/>
              </w:rPr>
              <w:t>2</w:t>
            </w:r>
            <w:r>
              <w:rPr>
                <w:rFonts w:hint="eastAsia" w:ascii="Times New Roman" w:hAnsi="Times New Roman" w:eastAsia="仿宋_GB2312" w:cs="仿宋_GB2312"/>
                <w:color w:val="000000"/>
                <w:highlight w:val="none"/>
              </w:rPr>
              <w:t>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10000m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以上</w:t>
            </w:r>
            <w:r>
              <w:rPr>
                <w:rFonts w:ascii="Times New Roman" w:hAnsi="Times New Roman" w:eastAsia="仿宋_GB2312" w:cs="Times New Roman"/>
                <w:color w:val="000000"/>
                <w:sz w:val="21"/>
                <w:szCs w:val="21"/>
                <w:highlight w:val="none"/>
              </w:rPr>
              <w:t>20000m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20000m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以上</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拒不改正</w:t>
            </w:r>
          </w:p>
          <w:p>
            <w:pPr>
              <w:snapToGrid w:val="0"/>
              <w:jc w:val="center"/>
              <w:rPr>
                <w:rFonts w:ascii="Times New Roman" w:hAnsi="Times New Roman" w:cs="Times New Roman"/>
                <w:b/>
                <w:bCs/>
                <w:color w:val="FF0000"/>
                <w:highlight w:val="none"/>
              </w:rPr>
            </w:pPr>
            <w:r>
              <w:rPr>
                <w:rFonts w:hint="eastAsia" w:ascii="Times New Roman" w:hAnsi="Times New Roman" w:cs="宋体"/>
                <w:b/>
                <w:bCs/>
                <w:color w:val="000000"/>
                <w:highlight w:val="none"/>
              </w:rPr>
              <w:t>持续时间</w:t>
            </w: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不满</w:t>
            </w:r>
            <w:r>
              <w:rPr>
                <w:rFonts w:ascii="Times New Roman" w:hAnsi="Times New Roman" w:eastAsia="仿宋_GB2312" w:cs="Times New Roman"/>
                <w:highlight w:val="none"/>
              </w:rPr>
              <w:t>1</w:t>
            </w:r>
            <w:r>
              <w:rPr>
                <w:rFonts w:hint="eastAsia" w:ascii="Times New Roman" w:hAnsi="Times New Roman" w:eastAsia="仿宋_GB2312" w:cs="仿宋_GB2312"/>
                <w:highlight w:val="none"/>
              </w:rPr>
              <w:t>个月</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highlight w:val="none"/>
              </w:rPr>
            </w:pPr>
          </w:p>
        </w:tc>
        <w:tc>
          <w:tcPr>
            <w:tcW w:w="5245" w:type="dxa"/>
            <w:vAlign w:val="center"/>
          </w:tcPr>
          <w:p>
            <w:pPr>
              <w:pStyle w:val="11"/>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1</w:t>
            </w:r>
            <w:r>
              <w:rPr>
                <w:rFonts w:hint="eastAsia" w:ascii="Times New Roman" w:hAnsi="Times New Roman" w:eastAsia="仿宋_GB2312" w:cs="仿宋_GB2312"/>
                <w:sz w:val="21"/>
                <w:szCs w:val="21"/>
                <w:highlight w:val="none"/>
              </w:rPr>
              <w:t>个月以上，不满</w:t>
            </w:r>
            <w:r>
              <w:rPr>
                <w:rFonts w:ascii="Times New Roman" w:hAnsi="Times New Roman" w:eastAsia="仿宋_GB2312" w:cs="Times New Roman"/>
                <w:sz w:val="21"/>
                <w:szCs w:val="21"/>
                <w:highlight w:val="none"/>
              </w:rPr>
              <w:t>3</w:t>
            </w:r>
            <w:r>
              <w:rPr>
                <w:rFonts w:hint="eastAsia" w:ascii="Times New Roman" w:hAnsi="Times New Roman" w:eastAsia="仿宋_GB2312" w:cs="仿宋_GB2312"/>
                <w:sz w:val="21"/>
                <w:szCs w:val="21"/>
                <w:highlight w:val="none"/>
              </w:rPr>
              <w:t>个月</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highlight w:val="none"/>
              </w:rPr>
            </w:pPr>
          </w:p>
        </w:tc>
        <w:tc>
          <w:tcPr>
            <w:tcW w:w="5245" w:type="dxa"/>
            <w:vAlign w:val="center"/>
          </w:tcPr>
          <w:p>
            <w:pPr>
              <w:pStyle w:val="11"/>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3</w:t>
            </w:r>
            <w:r>
              <w:rPr>
                <w:rFonts w:hint="eastAsia" w:ascii="Times New Roman" w:hAnsi="Times New Roman" w:eastAsia="仿宋_GB2312" w:cs="仿宋_GB2312"/>
                <w:sz w:val="21"/>
                <w:szCs w:val="21"/>
                <w:highlight w:val="none"/>
              </w:rPr>
              <w:t>个月以上，不满</w:t>
            </w:r>
            <w:r>
              <w:rPr>
                <w:rFonts w:ascii="Times New Roman" w:hAnsi="Times New Roman" w:eastAsia="仿宋_GB2312" w:cs="Times New Roman"/>
                <w:sz w:val="21"/>
                <w:szCs w:val="21"/>
                <w:highlight w:val="none"/>
              </w:rPr>
              <w:t>6</w:t>
            </w:r>
            <w:r>
              <w:rPr>
                <w:rFonts w:hint="eastAsia" w:ascii="Times New Roman" w:hAnsi="Times New Roman" w:eastAsia="仿宋_GB2312" w:cs="仿宋_GB2312"/>
                <w:sz w:val="21"/>
                <w:szCs w:val="21"/>
                <w:highlight w:val="none"/>
              </w:rPr>
              <w:t>个月</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highlight w:val="none"/>
              </w:rPr>
            </w:pPr>
          </w:p>
        </w:tc>
        <w:tc>
          <w:tcPr>
            <w:tcW w:w="5245" w:type="dxa"/>
            <w:vAlign w:val="center"/>
          </w:tcPr>
          <w:p>
            <w:pPr>
              <w:pStyle w:val="11"/>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6</w:t>
            </w:r>
            <w:r>
              <w:rPr>
                <w:rFonts w:hint="eastAsia" w:ascii="Times New Roman" w:hAnsi="Times New Roman" w:eastAsia="仿宋_GB2312" w:cs="仿宋_GB2312"/>
                <w:sz w:val="21"/>
                <w:szCs w:val="21"/>
                <w:highlight w:val="none"/>
              </w:rPr>
              <w:t>个月以上，不满</w:t>
            </w:r>
            <w:r>
              <w:rPr>
                <w:rFonts w:ascii="Times New Roman" w:hAnsi="Times New Roman" w:eastAsia="仿宋_GB2312" w:cs="Times New Roman"/>
                <w:sz w:val="21"/>
                <w:szCs w:val="21"/>
                <w:highlight w:val="none"/>
              </w:rPr>
              <w:t>12</w:t>
            </w:r>
            <w:r>
              <w:rPr>
                <w:rFonts w:hint="eastAsia" w:ascii="Times New Roman" w:hAnsi="Times New Roman" w:eastAsia="仿宋_GB2312" w:cs="仿宋_GB2312"/>
                <w:sz w:val="21"/>
                <w:szCs w:val="21"/>
                <w:highlight w:val="none"/>
              </w:rPr>
              <w:t>个月</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highlight w:val="none"/>
              </w:rPr>
            </w:pPr>
          </w:p>
        </w:tc>
        <w:tc>
          <w:tcPr>
            <w:tcW w:w="5245" w:type="dxa"/>
            <w:vAlign w:val="center"/>
          </w:tcPr>
          <w:p>
            <w:pPr>
              <w:pStyle w:val="11"/>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12</w:t>
            </w:r>
            <w:r>
              <w:rPr>
                <w:rFonts w:hint="eastAsia" w:ascii="Times New Roman" w:hAnsi="Times New Roman" w:eastAsia="仿宋_GB2312" w:cs="仿宋_GB2312"/>
                <w:sz w:val="21"/>
                <w:szCs w:val="21"/>
                <w:highlight w:val="none"/>
              </w:rPr>
              <w:t>个月以上</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2"/>
              <w:jc w:val="center"/>
              <w:rPr>
                <w:rFonts w:ascii="Times New Roman" w:hAnsi="Times New Roman" w:cs="Times New Roman"/>
                <w:b/>
                <w:bCs/>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209" w:type="dxa"/>
            <w:gridSpan w:val="3"/>
            <w:vAlign w:val="center"/>
          </w:tcPr>
          <w:p>
            <w:pPr>
              <w:snapToGrid w:val="0"/>
              <w:ind w:firstLine="643"/>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（五）土壤污染防治类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ind w:firstLine="420"/>
              <w:jc w:val="center"/>
              <w:rPr>
                <w:rFonts w:ascii="Times New Roman" w:hAnsi="Times New Roman" w:cs="Times New Roman"/>
                <w:highlight w:val="none"/>
              </w:rPr>
            </w:pPr>
            <w:r>
              <w:rPr>
                <w:rFonts w:ascii="Times New Roman" w:hAnsi="Times New Roman" w:cs="Times New Roman"/>
                <w:highlight w:val="none"/>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土壤污染重点监管单位未按照规定和监测规范进行监测的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vAlign w:val="center"/>
          </w:tcPr>
          <w:p>
            <w:pPr>
              <w:pStyle w:val="12"/>
              <w:snapToGrid w:val="0"/>
              <w:spacing w:before="0" w:beforeAutospacing="0" w:after="0" w:afterAutospacing="0"/>
              <w:ind w:firstLine="422"/>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《山东省土壤污染防治条例》第二十条第一款</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土壤污染重点监管单位应当建立有毒有害污染物管理制度和土壤污染隐患排查制度，严格控制有毒有害物质排放，按照监测规范对其用地土壤、地下水环境每年至少开展一次监测。排放情况、监测结果按照规定报所在地设区的市人民政府生态环境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vAlign w:val="center"/>
          </w:tcPr>
          <w:p>
            <w:pPr>
              <w:pStyle w:val="12"/>
              <w:snapToGrid w:val="0"/>
              <w:spacing w:before="0" w:beforeAutospacing="0" w:after="0" w:afterAutospacing="0"/>
              <w:ind w:firstLine="422"/>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《山东省土壤污染防治条例》第七十三条第（一）项</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违反本条例规定，有下列行为之一的，由生态环境主管部门或者其他负有土壤污染防治监督管理职责的部门责令改正，处以罚款；拒不改正的，责令停产整治：</w:t>
            </w:r>
          </w:p>
          <w:p>
            <w:pPr>
              <w:snapToGrid w:val="0"/>
              <w:ind w:left="420"/>
              <w:rPr>
                <w:rFonts w:ascii="Times New Roman" w:hAnsi="Times New Roman" w:eastAsia="仿宋_GB2312" w:cs="Times New Roman"/>
                <w:highlight w:val="none"/>
              </w:rPr>
            </w:pPr>
            <w:r>
              <w:rPr>
                <w:rFonts w:hint="eastAsia" w:ascii="Times New Roman" w:hAnsi="Times New Roman" w:eastAsia="仿宋_GB2312" w:cs="仿宋_GB2312"/>
                <w:highlight w:val="none"/>
              </w:rPr>
              <w:t>（一）土壤污染重点监管单位未按照规定和监测规范进行监测的。</w:t>
            </w:r>
          </w:p>
          <w:p>
            <w:pPr>
              <w:snapToGrid w:val="0"/>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highlight w:val="none"/>
              </w:rPr>
              <w:t>有前款规定行为之一的，处二万元以上二十万元以下的罚款；有前款第二项、第三项、第四项、第五项规定行为之一，造成严重后果的，处二十万元以上二百万元以下的罚款。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ind w:firstLine="422"/>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ind w:firstLine="422"/>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45" w:type="dxa"/>
            <w:vAlign w:val="center"/>
          </w:tcPr>
          <w:p>
            <w:pPr>
              <w:pStyle w:val="11"/>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已定期进行监测，但监测不规范的</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color w:val="FF0000"/>
                <w:highlight w:val="none"/>
              </w:rPr>
            </w:pPr>
          </w:p>
        </w:tc>
        <w:tc>
          <w:tcPr>
            <w:tcW w:w="5245" w:type="dxa"/>
            <w:vAlign w:val="center"/>
          </w:tcPr>
          <w:p>
            <w:pPr>
              <w:pStyle w:val="11"/>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未定期进行监测，或者监测不全的</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color w:val="FF0000"/>
                <w:highlight w:val="none"/>
              </w:rPr>
            </w:pPr>
          </w:p>
        </w:tc>
        <w:tc>
          <w:tcPr>
            <w:tcW w:w="5245" w:type="dxa"/>
            <w:vAlign w:val="center"/>
          </w:tcPr>
          <w:p>
            <w:pPr>
              <w:pStyle w:val="11"/>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未进行监测的</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土壤环境</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敏感度</w:t>
            </w: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第二类建设用地</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第一类建设用地</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涉及面积</w:t>
            </w: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highlight w:val="none"/>
              </w:rPr>
            </w:pP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以上</w:t>
            </w:r>
            <w:r>
              <w:rPr>
                <w:rFonts w:ascii="Times New Roman" w:hAnsi="Times New Roman" w:eastAsia="仿宋_GB2312" w:cs="Times New Roman"/>
                <w:color w:val="000000"/>
                <w:sz w:val="21"/>
                <w:szCs w:val="21"/>
                <w:highlight w:val="none"/>
              </w:rPr>
              <w:t>5000m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5000m</w:t>
            </w:r>
            <w:r>
              <w:rPr>
                <w:rFonts w:ascii="Times New Roman" w:hAnsi="Times New Roman" w:eastAsia="仿宋_GB2312" w:cs="Times New Roman"/>
                <w:color w:val="000000"/>
                <w:highlight w:val="none"/>
                <w:vertAlign w:val="superscript"/>
              </w:rPr>
              <w:t>2</w:t>
            </w:r>
            <w:r>
              <w:rPr>
                <w:rFonts w:hint="eastAsia" w:ascii="Times New Roman" w:hAnsi="Times New Roman" w:eastAsia="仿宋_GB2312" w:cs="仿宋_GB2312"/>
                <w:color w:val="000000"/>
                <w:highlight w:val="none"/>
              </w:rPr>
              <w:t>以上</w:t>
            </w:r>
            <w:r>
              <w:rPr>
                <w:rFonts w:ascii="Times New Roman" w:hAnsi="Times New Roman" w:eastAsia="仿宋_GB2312" w:cs="Times New Roman"/>
                <w:color w:val="000000"/>
                <w:highlight w:val="none"/>
              </w:rPr>
              <w:t>10000m</w:t>
            </w:r>
            <w:r>
              <w:rPr>
                <w:rFonts w:ascii="Times New Roman" w:hAnsi="Times New Roman" w:eastAsia="仿宋_GB2312" w:cs="Times New Roman"/>
                <w:color w:val="000000"/>
                <w:highlight w:val="none"/>
                <w:vertAlign w:val="superscript"/>
              </w:rPr>
              <w:t>2</w:t>
            </w:r>
            <w:r>
              <w:rPr>
                <w:rFonts w:hint="eastAsia" w:ascii="Times New Roman" w:hAnsi="Times New Roman" w:eastAsia="仿宋_GB2312" w:cs="仿宋_GB2312"/>
                <w:color w:val="000000"/>
                <w:highlight w:val="none"/>
              </w:rPr>
              <w:t>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highlight w:val="none"/>
              </w:rPr>
            </w:pP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10000m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以上</w:t>
            </w:r>
            <w:r>
              <w:rPr>
                <w:rFonts w:ascii="Times New Roman" w:hAnsi="Times New Roman" w:eastAsia="仿宋_GB2312" w:cs="Times New Roman"/>
                <w:color w:val="000000"/>
                <w:sz w:val="21"/>
                <w:szCs w:val="21"/>
                <w:highlight w:val="none"/>
              </w:rPr>
              <w:t>20000m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highlight w:val="none"/>
              </w:rPr>
            </w:pP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20000m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以上</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2"/>
              <w:jc w:val="center"/>
              <w:rPr>
                <w:rFonts w:ascii="Times New Roman" w:hAnsi="Times New Roman" w:cs="Times New Roman"/>
                <w:b/>
                <w:bCs/>
                <w:highlight w:val="none"/>
              </w:rPr>
            </w:pPr>
          </w:p>
        </w:tc>
      </w:tr>
    </w:tbl>
    <w:p>
      <w:pPr>
        <w:rPr>
          <w:rFonts w:ascii="Times New Roman" w:hAnsi="Times New Roman" w:cs="Times New Roman"/>
          <w:highlight w:val="none"/>
        </w:rPr>
      </w:pPr>
      <w:r>
        <w:rPr>
          <w:rFonts w:ascii="Times New Roman" w:hAnsi="Times New Roman" w:cs="Times New Roman"/>
          <w:highlight w:val="none"/>
        </w:rPr>
        <w:br w:type="page"/>
      </w:r>
    </w:p>
    <w:tbl>
      <w:tblPr>
        <w:tblStyle w:val="1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6"/>
        <w:gridCol w:w="5170"/>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09" w:type="dxa"/>
            <w:gridSpan w:val="3"/>
            <w:vAlign w:val="center"/>
          </w:tcPr>
          <w:p>
            <w:pPr>
              <w:snapToGrid w:val="0"/>
              <w:ind w:firstLine="643"/>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（五）土壤污染防治类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863" w:type="dxa"/>
            <w:gridSpan w:val="2"/>
            <w:vAlign w:val="center"/>
          </w:tcPr>
          <w:p>
            <w:pPr>
              <w:snapToGrid w:val="0"/>
              <w:ind w:firstLine="420"/>
              <w:jc w:val="center"/>
              <w:rPr>
                <w:rFonts w:ascii="Times New Roman" w:hAnsi="Times New Roman" w:cs="Times New Roman"/>
                <w:highlight w:val="none"/>
              </w:rPr>
            </w:pPr>
            <w:r>
              <w:rPr>
                <w:rFonts w:ascii="Times New Roman" w:hAnsi="Times New Roman" w:cs="Times New Roman"/>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863" w:type="dxa"/>
            <w:gridSpan w:val="2"/>
            <w:vAlign w:val="center"/>
          </w:tcPr>
          <w:p>
            <w:pPr>
              <w:snapToGrid w:val="0"/>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矿山企业在开采、选矿、运输、仓储等矿产资源开发活动中未按照规定采取措施防止土壤污染的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3" w:hRule="atLeast"/>
          <w:jc w:val="center"/>
        </w:trPr>
        <w:tc>
          <w:tcPr>
            <w:tcW w:w="134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863" w:type="dxa"/>
            <w:gridSpan w:val="2"/>
            <w:vAlign w:val="center"/>
          </w:tcPr>
          <w:p>
            <w:pPr>
              <w:pStyle w:val="12"/>
              <w:snapToGrid w:val="0"/>
              <w:spacing w:before="0" w:beforeAutospacing="0" w:after="0" w:afterAutospacing="0"/>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《山东省土壤污染防治条例》第二十二条</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矿山企业在开采、选矿、运输、仓储等矿产资源开发活动中应当采取防护措施，防止废气、废水、尾矿、矸石等污染土壤环境。</w:t>
            </w:r>
          </w:p>
          <w:p>
            <w:pPr>
              <w:pStyle w:val="12"/>
              <w:snapToGrid w:val="0"/>
              <w:spacing w:before="0" w:beforeAutospacing="0" w:after="0" w:afterAutospacing="0"/>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矿山企业应当加强对废物贮存设施和废弃矿场的管理，采取防渗漏、封场、闭库、生态修复等措施，防止污染土壤环境。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863" w:type="dxa"/>
            <w:gridSpan w:val="2"/>
            <w:vAlign w:val="center"/>
          </w:tcPr>
          <w:p>
            <w:pPr>
              <w:pStyle w:val="12"/>
              <w:snapToGrid w:val="0"/>
              <w:spacing w:before="0" w:beforeAutospacing="0" w:after="0" w:afterAutospacing="0"/>
              <w:ind w:firstLine="422"/>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《山东省土壤污染防治条例》第七十三条第（二）项</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违反本条例规定，有下列行为之一的，由生态环境主管部门或者其他负有土壤污染防治监督管理职责的部门责令改正，处以罚款；拒不改正的，责令停产整治：</w:t>
            </w:r>
          </w:p>
          <w:p>
            <w:pPr>
              <w:snapToGrid w:val="0"/>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highlight w:val="none"/>
              </w:rPr>
              <w:t>（二）矿山企业在开采、选矿、运输、仓储等矿产资源开发活动中未按照规定采取措施防止土壤污染的。</w:t>
            </w:r>
          </w:p>
          <w:p>
            <w:pPr>
              <w:snapToGrid w:val="0"/>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highlight w:val="none"/>
              </w:rPr>
              <w:t>有前款规定行为之一的，处二万元以上二十万元以下的罚款；有前款第二项、第三项、第四项、第五项规定行为之一，造成严重后果的，处二十万元以上二百万元以下的罚款。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170" w:type="dxa"/>
            <w:vAlign w:val="center"/>
          </w:tcPr>
          <w:p>
            <w:pPr>
              <w:snapToGrid w:val="0"/>
              <w:ind w:firstLine="422"/>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93" w:type="dxa"/>
            <w:vAlign w:val="center"/>
          </w:tcPr>
          <w:p>
            <w:pPr>
              <w:snapToGrid w:val="0"/>
              <w:ind w:firstLine="422"/>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34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170" w:type="dxa"/>
            <w:vAlign w:val="center"/>
          </w:tcPr>
          <w:p>
            <w:pPr>
              <w:snapToGrid w:val="0"/>
              <w:ind w:firstLine="422"/>
              <w:jc w:val="center"/>
              <w:rPr>
                <w:rFonts w:ascii="Times New Roman" w:hAnsi="Times New Roman" w:eastAsia="仿宋_GB2312" w:cs="Times New Roman"/>
                <w:color w:val="000000"/>
                <w:kern w:val="0"/>
                <w:highlight w:val="none"/>
              </w:rPr>
            </w:pPr>
            <w:r>
              <w:rPr>
                <w:rFonts w:hint="eastAsia" w:ascii="Times New Roman" w:hAnsi="Times New Roman" w:eastAsia="仿宋_GB2312" w:cs="仿宋_GB2312"/>
                <w:color w:val="000000"/>
                <w:kern w:val="0"/>
                <w:highlight w:val="none"/>
              </w:rPr>
              <w:t>采取防止土壤污染措施，但不规范的</w:t>
            </w:r>
          </w:p>
        </w:tc>
        <w:tc>
          <w:tcPr>
            <w:tcW w:w="2693" w:type="dxa"/>
            <w:vAlign w:val="center"/>
          </w:tcPr>
          <w:p>
            <w:pPr>
              <w:snapToGrid w:val="0"/>
              <w:jc w:val="center"/>
              <w:rPr>
                <w:rFonts w:ascii="Times New Roman" w:hAnsi="Times New Roman" w:eastAsia="仿宋_GB2312" w:cs="Times New Roman"/>
                <w:color w:val="000000"/>
                <w:kern w:val="0"/>
                <w:highlight w:val="none"/>
              </w:rPr>
            </w:pPr>
            <w:r>
              <w:rPr>
                <w:rFonts w:ascii="Times New Roman" w:hAnsi="Times New Roman" w:eastAsia="仿宋_GB2312" w:cs="Times New Roman"/>
                <w:color w:val="000000"/>
                <w:kern w:val="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6" w:type="dxa"/>
            <w:vMerge w:val="continue"/>
            <w:vAlign w:val="center"/>
          </w:tcPr>
          <w:p>
            <w:pPr>
              <w:snapToGrid w:val="0"/>
              <w:jc w:val="center"/>
              <w:rPr>
                <w:rFonts w:ascii="Times New Roman" w:hAnsi="Times New Roman" w:cs="Times New Roman"/>
                <w:b/>
                <w:bCs/>
                <w:color w:val="000000"/>
                <w:highlight w:val="none"/>
              </w:rPr>
            </w:pPr>
          </w:p>
        </w:tc>
        <w:tc>
          <w:tcPr>
            <w:tcW w:w="5170" w:type="dxa"/>
            <w:vAlign w:val="center"/>
          </w:tcPr>
          <w:p>
            <w:pPr>
              <w:pStyle w:val="11"/>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未采取防止土壤污染措施</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kern w:val="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34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涉及面积</w:t>
            </w:r>
          </w:p>
        </w:tc>
        <w:tc>
          <w:tcPr>
            <w:tcW w:w="5170"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346" w:type="dxa"/>
            <w:vMerge w:val="continue"/>
            <w:vAlign w:val="center"/>
          </w:tcPr>
          <w:p>
            <w:pPr>
              <w:snapToGrid w:val="0"/>
              <w:ind w:firstLine="422"/>
              <w:jc w:val="center"/>
              <w:rPr>
                <w:rFonts w:ascii="Times New Roman" w:hAnsi="Times New Roman" w:cs="Times New Roman"/>
                <w:b/>
                <w:bCs/>
                <w:color w:val="000000"/>
                <w:highlight w:val="none"/>
              </w:rPr>
            </w:pPr>
          </w:p>
        </w:tc>
        <w:tc>
          <w:tcPr>
            <w:tcW w:w="5170"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以上</w:t>
            </w:r>
            <w:r>
              <w:rPr>
                <w:rFonts w:ascii="Times New Roman" w:hAnsi="Times New Roman" w:eastAsia="仿宋_GB2312" w:cs="Times New Roman"/>
                <w:color w:val="000000"/>
                <w:sz w:val="21"/>
                <w:szCs w:val="21"/>
                <w:highlight w:val="none"/>
              </w:rPr>
              <w:t>5000m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6" w:type="dxa"/>
            <w:vMerge w:val="continue"/>
            <w:vAlign w:val="center"/>
          </w:tcPr>
          <w:p>
            <w:pPr>
              <w:snapToGrid w:val="0"/>
              <w:ind w:firstLine="422"/>
              <w:jc w:val="center"/>
              <w:rPr>
                <w:rFonts w:ascii="Times New Roman" w:hAnsi="Times New Roman" w:cs="Times New Roman"/>
                <w:b/>
                <w:bCs/>
                <w:color w:val="000000"/>
                <w:highlight w:val="none"/>
              </w:rPr>
            </w:pPr>
          </w:p>
        </w:tc>
        <w:tc>
          <w:tcPr>
            <w:tcW w:w="5170"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5000m</w:t>
            </w:r>
            <w:r>
              <w:rPr>
                <w:rFonts w:ascii="Times New Roman" w:hAnsi="Times New Roman" w:eastAsia="仿宋_GB2312" w:cs="Times New Roman"/>
                <w:color w:val="000000"/>
                <w:highlight w:val="none"/>
                <w:vertAlign w:val="superscript"/>
              </w:rPr>
              <w:t>2</w:t>
            </w:r>
            <w:r>
              <w:rPr>
                <w:rFonts w:hint="eastAsia" w:ascii="Times New Roman" w:hAnsi="Times New Roman" w:eastAsia="仿宋_GB2312" w:cs="仿宋_GB2312"/>
                <w:color w:val="000000"/>
                <w:highlight w:val="none"/>
              </w:rPr>
              <w:t>以上</w:t>
            </w:r>
            <w:r>
              <w:rPr>
                <w:rFonts w:ascii="Times New Roman" w:hAnsi="Times New Roman" w:eastAsia="仿宋_GB2312" w:cs="Times New Roman"/>
                <w:color w:val="000000"/>
                <w:highlight w:val="none"/>
              </w:rPr>
              <w:t>10000m</w:t>
            </w:r>
            <w:r>
              <w:rPr>
                <w:rFonts w:ascii="Times New Roman" w:hAnsi="Times New Roman" w:eastAsia="仿宋_GB2312" w:cs="Times New Roman"/>
                <w:color w:val="000000"/>
                <w:highlight w:val="none"/>
                <w:vertAlign w:val="superscript"/>
              </w:rPr>
              <w:t>2</w:t>
            </w:r>
            <w:r>
              <w:rPr>
                <w:rFonts w:hint="eastAsia" w:ascii="Times New Roman" w:hAnsi="Times New Roman" w:eastAsia="仿宋_GB2312" w:cs="仿宋_GB2312"/>
                <w:color w:val="000000"/>
                <w:highlight w:val="none"/>
              </w:rPr>
              <w:t>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6" w:type="dxa"/>
            <w:vMerge w:val="continue"/>
            <w:vAlign w:val="center"/>
          </w:tcPr>
          <w:p>
            <w:pPr>
              <w:snapToGrid w:val="0"/>
              <w:ind w:firstLine="422"/>
              <w:jc w:val="center"/>
              <w:rPr>
                <w:rFonts w:ascii="Times New Roman" w:hAnsi="Times New Roman" w:cs="Times New Roman"/>
                <w:b/>
                <w:bCs/>
                <w:color w:val="000000"/>
                <w:highlight w:val="none"/>
              </w:rPr>
            </w:pPr>
          </w:p>
        </w:tc>
        <w:tc>
          <w:tcPr>
            <w:tcW w:w="5170"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10000m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以上</w:t>
            </w:r>
            <w:r>
              <w:rPr>
                <w:rFonts w:ascii="Times New Roman" w:hAnsi="Times New Roman" w:eastAsia="仿宋_GB2312" w:cs="Times New Roman"/>
                <w:color w:val="000000"/>
                <w:sz w:val="21"/>
                <w:szCs w:val="21"/>
                <w:highlight w:val="none"/>
              </w:rPr>
              <w:t>20000m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6" w:type="dxa"/>
            <w:vMerge w:val="continue"/>
            <w:vAlign w:val="center"/>
          </w:tcPr>
          <w:p>
            <w:pPr>
              <w:snapToGrid w:val="0"/>
              <w:ind w:firstLine="422"/>
              <w:jc w:val="center"/>
              <w:rPr>
                <w:rFonts w:ascii="Times New Roman" w:hAnsi="Times New Roman" w:cs="Times New Roman"/>
                <w:b/>
                <w:bCs/>
                <w:color w:val="000000"/>
                <w:highlight w:val="none"/>
              </w:rPr>
            </w:pPr>
          </w:p>
        </w:tc>
        <w:tc>
          <w:tcPr>
            <w:tcW w:w="5170"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20000m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以上</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34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863" w:type="dxa"/>
            <w:gridSpan w:val="2"/>
            <w:vAlign w:val="center"/>
          </w:tcPr>
          <w:p>
            <w:pPr>
              <w:snapToGrid w:val="0"/>
              <w:ind w:firstLine="422"/>
              <w:jc w:val="center"/>
              <w:rPr>
                <w:rFonts w:ascii="Times New Roman" w:hAnsi="Times New Roman" w:cs="Times New Roman"/>
                <w:b/>
                <w:bCs/>
                <w:highlight w:val="none"/>
              </w:rPr>
            </w:pPr>
          </w:p>
        </w:tc>
      </w:tr>
    </w:tbl>
    <w:p>
      <w:pPr>
        <w:rPr>
          <w:rFonts w:ascii="Times New Roman" w:hAnsi="Times New Roman" w:cs="Times New Roman"/>
          <w:highlight w:val="none"/>
        </w:rPr>
      </w:pPr>
      <w:r>
        <w:rPr>
          <w:rFonts w:ascii="Times New Roman" w:hAnsi="Times New Roman" w:cs="Times New Roman"/>
          <w:highlight w:val="none"/>
        </w:rPr>
        <w:br w:type="page"/>
      </w:r>
    </w:p>
    <w:tbl>
      <w:tblPr>
        <w:tblStyle w:val="1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433"/>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09" w:type="dxa"/>
            <w:gridSpan w:val="3"/>
            <w:vAlign w:val="center"/>
          </w:tcPr>
          <w:p>
            <w:pPr>
              <w:snapToGrid w:val="0"/>
              <w:ind w:firstLine="643"/>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（五）土壤污染防治类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ind w:firstLine="420"/>
              <w:jc w:val="center"/>
              <w:rPr>
                <w:rFonts w:ascii="Times New Roman" w:hAnsi="Times New Roman" w:cs="Times New Roman"/>
                <w:highlight w:val="none"/>
              </w:rPr>
            </w:pPr>
            <w:r>
              <w:rPr>
                <w:rFonts w:ascii="Times New Roman" w:hAnsi="Times New Roman" w:cs="Times New Roman"/>
                <w:highlight w:val="none"/>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石油勘探开发单位未对钻井、采油、集输等环节实施全过程管理，或者未按照规定采取措施防止土壤污染的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3"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vAlign w:val="center"/>
          </w:tcPr>
          <w:p>
            <w:pPr>
              <w:pStyle w:val="12"/>
              <w:snapToGrid w:val="0"/>
              <w:spacing w:before="0" w:beforeAutospacing="0" w:after="0" w:afterAutospacing="0"/>
              <w:ind w:firstLine="422"/>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《山东省土壤污染防治条例》第三十条</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石油勘探开发单位应当对钻井、采油、集输等环节实施全过程管理，采取防渗漏、防扬散、防流失等措施，防止原油、化学药剂以及其他有害物质落地，并对废弃钻井液、废水、岩屑、污油、油泥等及时进行安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vAlign w:val="center"/>
          </w:tcPr>
          <w:p>
            <w:pPr>
              <w:pStyle w:val="12"/>
              <w:snapToGrid w:val="0"/>
              <w:spacing w:before="0" w:beforeAutospacing="0" w:after="0" w:afterAutospacing="0"/>
              <w:ind w:firstLine="422"/>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《山东省土壤污染防治条例》第七十三条第（四）项</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违反本条例规定，有下列行为之一的，由生态环境主管部门或者其他负有土壤污染防治监督管理职责的部门责令改正，处以罚款；拒不改正的，责令停产整治：</w:t>
            </w:r>
          </w:p>
          <w:p>
            <w:pPr>
              <w:snapToGrid w:val="0"/>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highlight w:val="none"/>
              </w:rPr>
              <w:t>（四）石油勘探开发单位未对钻井、采油、集输等环节实施全过程管理，或者未按照规定采取措施防止土壤污染的。</w:t>
            </w:r>
          </w:p>
          <w:p>
            <w:pPr>
              <w:snapToGrid w:val="0"/>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highlight w:val="none"/>
              </w:rPr>
              <w:t>有前款规定行为之一的，处二万元以上二十万元以下的罚款；有前款第二项、第三项、第四项、第五项规定行为之一，造成严重后果的，处二十万元以上二百万元以下的罚款。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433" w:type="dxa"/>
            <w:vAlign w:val="center"/>
          </w:tcPr>
          <w:p>
            <w:pPr>
              <w:snapToGrid w:val="0"/>
              <w:ind w:firstLine="422"/>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505" w:type="dxa"/>
            <w:vAlign w:val="center"/>
          </w:tcPr>
          <w:p>
            <w:pPr>
              <w:snapToGrid w:val="0"/>
              <w:ind w:firstLine="422"/>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433" w:type="dxa"/>
            <w:vAlign w:val="center"/>
          </w:tcPr>
          <w:p>
            <w:pPr>
              <w:snapToGrid w:val="0"/>
              <w:ind w:firstLine="422"/>
              <w:jc w:val="center"/>
              <w:rPr>
                <w:rFonts w:ascii="Times New Roman" w:hAnsi="Times New Roman" w:eastAsia="仿宋_GB2312" w:cs="Times New Roman"/>
                <w:color w:val="000000"/>
                <w:kern w:val="0"/>
                <w:highlight w:val="none"/>
              </w:rPr>
            </w:pPr>
            <w:r>
              <w:rPr>
                <w:rFonts w:hint="eastAsia" w:ascii="Times New Roman" w:hAnsi="Times New Roman" w:eastAsia="仿宋_GB2312" w:cs="仿宋_GB2312"/>
                <w:color w:val="000000"/>
                <w:kern w:val="0"/>
                <w:highlight w:val="none"/>
              </w:rPr>
              <w:t>采取防止土壤污染措施，但不规范的</w:t>
            </w:r>
          </w:p>
        </w:tc>
        <w:tc>
          <w:tcPr>
            <w:tcW w:w="2505" w:type="dxa"/>
            <w:vAlign w:val="center"/>
          </w:tcPr>
          <w:p>
            <w:pPr>
              <w:snapToGrid w:val="0"/>
              <w:jc w:val="center"/>
              <w:rPr>
                <w:rFonts w:ascii="Times New Roman" w:hAnsi="Times New Roman" w:eastAsia="仿宋_GB2312" w:cs="Times New Roman"/>
                <w:color w:val="000000"/>
                <w:kern w:val="0"/>
                <w:highlight w:val="none"/>
              </w:rPr>
            </w:pPr>
            <w:r>
              <w:rPr>
                <w:rFonts w:ascii="Times New Roman" w:hAnsi="Times New Roman" w:eastAsia="仿宋_GB2312" w:cs="Times New Roman"/>
                <w:color w:val="000000"/>
                <w:kern w:val="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433" w:type="dxa"/>
            <w:vAlign w:val="center"/>
          </w:tcPr>
          <w:p>
            <w:pPr>
              <w:pStyle w:val="11"/>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未实施全过程管理或者未采取防止土壤污染措施</w:t>
            </w:r>
          </w:p>
        </w:tc>
        <w:tc>
          <w:tcPr>
            <w:tcW w:w="2505"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kern w:val="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涉及面积</w:t>
            </w:r>
          </w:p>
        </w:tc>
        <w:tc>
          <w:tcPr>
            <w:tcW w:w="5433"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w:t>
            </w:r>
          </w:p>
        </w:tc>
        <w:tc>
          <w:tcPr>
            <w:tcW w:w="2505"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433"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以上</w:t>
            </w:r>
            <w:r>
              <w:rPr>
                <w:rFonts w:ascii="Times New Roman" w:hAnsi="Times New Roman" w:eastAsia="仿宋_GB2312" w:cs="Times New Roman"/>
                <w:color w:val="000000"/>
                <w:sz w:val="21"/>
                <w:szCs w:val="21"/>
                <w:highlight w:val="none"/>
              </w:rPr>
              <w:t>5000m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w:t>
            </w:r>
          </w:p>
        </w:tc>
        <w:tc>
          <w:tcPr>
            <w:tcW w:w="2505"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43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5000m</w:t>
            </w:r>
            <w:r>
              <w:rPr>
                <w:rFonts w:ascii="Times New Roman" w:hAnsi="Times New Roman" w:eastAsia="仿宋_GB2312" w:cs="Times New Roman"/>
                <w:color w:val="000000"/>
                <w:highlight w:val="none"/>
                <w:vertAlign w:val="superscript"/>
              </w:rPr>
              <w:t>2</w:t>
            </w:r>
            <w:r>
              <w:rPr>
                <w:rFonts w:hint="eastAsia" w:ascii="Times New Roman" w:hAnsi="Times New Roman" w:eastAsia="仿宋_GB2312" w:cs="仿宋_GB2312"/>
                <w:color w:val="000000"/>
                <w:highlight w:val="none"/>
              </w:rPr>
              <w:t>以上</w:t>
            </w:r>
            <w:r>
              <w:rPr>
                <w:rFonts w:ascii="Times New Roman" w:hAnsi="Times New Roman" w:eastAsia="仿宋_GB2312" w:cs="Times New Roman"/>
                <w:color w:val="000000"/>
                <w:highlight w:val="none"/>
              </w:rPr>
              <w:t>10000m</w:t>
            </w:r>
            <w:r>
              <w:rPr>
                <w:rFonts w:ascii="Times New Roman" w:hAnsi="Times New Roman" w:eastAsia="仿宋_GB2312" w:cs="Times New Roman"/>
                <w:color w:val="000000"/>
                <w:highlight w:val="none"/>
                <w:vertAlign w:val="superscript"/>
              </w:rPr>
              <w:t>2</w:t>
            </w:r>
            <w:r>
              <w:rPr>
                <w:rFonts w:hint="eastAsia" w:ascii="Times New Roman" w:hAnsi="Times New Roman" w:eastAsia="仿宋_GB2312" w:cs="仿宋_GB2312"/>
                <w:color w:val="000000"/>
                <w:highlight w:val="none"/>
              </w:rPr>
              <w:t>以下</w:t>
            </w:r>
          </w:p>
        </w:tc>
        <w:tc>
          <w:tcPr>
            <w:tcW w:w="2505"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433"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10000m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以上</w:t>
            </w:r>
            <w:r>
              <w:rPr>
                <w:rFonts w:ascii="Times New Roman" w:hAnsi="Times New Roman" w:eastAsia="仿宋_GB2312" w:cs="Times New Roman"/>
                <w:color w:val="000000"/>
                <w:sz w:val="21"/>
                <w:szCs w:val="21"/>
                <w:highlight w:val="none"/>
              </w:rPr>
              <w:t>20000m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w:t>
            </w:r>
          </w:p>
        </w:tc>
        <w:tc>
          <w:tcPr>
            <w:tcW w:w="2505"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433"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20000m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以上</w:t>
            </w:r>
          </w:p>
        </w:tc>
        <w:tc>
          <w:tcPr>
            <w:tcW w:w="2505"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2"/>
              <w:jc w:val="center"/>
              <w:rPr>
                <w:rFonts w:ascii="Times New Roman" w:hAnsi="Times New Roman" w:cs="Times New Roman"/>
                <w:b/>
                <w:bCs/>
                <w:highlight w:val="none"/>
              </w:rPr>
            </w:pPr>
          </w:p>
        </w:tc>
      </w:tr>
    </w:tbl>
    <w:p>
      <w:pPr>
        <w:rPr>
          <w:rFonts w:ascii="Times New Roman" w:hAnsi="Times New Roman" w:cs="Times New Roman"/>
          <w:highlight w:val="none"/>
        </w:rPr>
      </w:pPr>
      <w:r>
        <w:rPr>
          <w:rFonts w:ascii="Times New Roman" w:hAnsi="Times New Roman" w:cs="Times New Roman"/>
          <w:highlight w:val="none"/>
        </w:rPr>
        <w:br w:type="page"/>
      </w:r>
    </w:p>
    <w:tbl>
      <w:tblPr>
        <w:tblStyle w:val="1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09" w:type="dxa"/>
            <w:gridSpan w:val="3"/>
            <w:vAlign w:val="center"/>
          </w:tcPr>
          <w:p>
            <w:pPr>
              <w:snapToGrid w:val="0"/>
              <w:ind w:firstLine="643"/>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（五）土壤污染防治类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ind w:firstLine="420"/>
              <w:jc w:val="center"/>
              <w:rPr>
                <w:rFonts w:ascii="Times New Roman" w:hAnsi="Times New Roman" w:cs="Times New Roman"/>
                <w:highlight w:val="none"/>
              </w:rPr>
            </w:pPr>
            <w:r>
              <w:rPr>
                <w:rFonts w:ascii="Times New Roman" w:hAnsi="Times New Roman" w:cs="Times New Roman"/>
                <w:highlight w:val="none"/>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38" w:type="dxa"/>
            <w:gridSpan w:val="2"/>
            <w:vAlign w:val="center"/>
          </w:tcPr>
          <w:p>
            <w:pPr>
              <w:snapToGrid w:val="0"/>
              <w:ind w:firstLine="420"/>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输油管、储油罐、加油站的所有者或者运营者未按照规定采取措施防止土壤污染的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vAlign w:val="center"/>
          </w:tcPr>
          <w:p>
            <w:pPr>
              <w:pStyle w:val="12"/>
              <w:snapToGrid w:val="0"/>
              <w:spacing w:before="0" w:beforeAutospacing="0" w:after="0" w:afterAutospacing="0"/>
              <w:ind w:firstLine="422"/>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《山东省土壤污染防治条例》第三十一条</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输油管、储油罐、加油站的设计、建设和使用应当符合防腐蚀、防渗漏、防挥发等要求，设施的所有者或者运营者应当对设施进行定期维护和腐蚀、泄露检测，防止污染土壤和地下水。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vAlign w:val="center"/>
          </w:tcPr>
          <w:p>
            <w:pPr>
              <w:pStyle w:val="12"/>
              <w:snapToGrid w:val="0"/>
              <w:spacing w:before="0" w:beforeAutospacing="0" w:after="0" w:afterAutospacing="0"/>
              <w:ind w:firstLine="422"/>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《山东省土壤污染防治条例》第七十三条第（五）项</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违反本条例规定，有下列行为之一的，由生态环境主管部门或者其他负有土壤污染防治监督管理职责的部门责令改正，处以罚款；拒不改正的，责令停产整治：</w:t>
            </w:r>
          </w:p>
          <w:p>
            <w:pPr>
              <w:snapToGrid w:val="0"/>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highlight w:val="none"/>
              </w:rPr>
              <w:t>（五）输油管、储油罐、加油站的所有者或者运营者未按照规定采取措施防止土壤污染的。</w:t>
            </w:r>
          </w:p>
          <w:p>
            <w:pPr>
              <w:snapToGrid w:val="0"/>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highlight w:val="none"/>
              </w:rPr>
              <w:t>有前款规定行为之一的，处二万元以上二十万元以下的罚款；有前款第二项、第三项、第四项、第五项规定行为之一，造成严重后果的，处二十万元以上二百万元以下的罚款。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ind w:firstLine="422"/>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ind w:firstLine="422"/>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45" w:type="dxa"/>
            <w:vAlign w:val="center"/>
          </w:tcPr>
          <w:p>
            <w:pPr>
              <w:snapToGrid w:val="0"/>
              <w:jc w:val="center"/>
              <w:rPr>
                <w:rFonts w:ascii="Times New Roman" w:hAnsi="Times New Roman" w:eastAsia="仿宋_GB2312" w:cs="Times New Roman"/>
                <w:color w:val="000000"/>
                <w:kern w:val="0"/>
                <w:highlight w:val="none"/>
              </w:rPr>
            </w:pPr>
            <w:r>
              <w:rPr>
                <w:rFonts w:hint="eastAsia" w:ascii="Times New Roman" w:hAnsi="Times New Roman" w:eastAsia="仿宋_GB2312" w:cs="仿宋_GB2312"/>
                <w:color w:val="000000"/>
                <w:highlight w:val="none"/>
              </w:rPr>
              <w:t>未对输油管、储油罐、加油站设施进行定期维护和腐蚀、泄露检测</w:t>
            </w:r>
          </w:p>
        </w:tc>
        <w:tc>
          <w:tcPr>
            <w:tcW w:w="2693" w:type="dxa"/>
            <w:vAlign w:val="center"/>
          </w:tcPr>
          <w:p>
            <w:pPr>
              <w:snapToGrid w:val="0"/>
              <w:jc w:val="center"/>
              <w:rPr>
                <w:rFonts w:ascii="Times New Roman" w:hAnsi="Times New Roman" w:eastAsia="仿宋_GB2312" w:cs="Times New Roman"/>
                <w:color w:val="000000"/>
                <w:kern w:val="0"/>
                <w:highlight w:val="none"/>
              </w:rPr>
            </w:pPr>
            <w:r>
              <w:rPr>
                <w:rFonts w:ascii="Times New Roman" w:hAnsi="Times New Roman" w:eastAsia="仿宋_GB2312" w:cs="Times New Roman"/>
                <w:color w:val="000000"/>
                <w:kern w:val="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输油管、储油罐、加油站的设计、建设和使用未符合防腐蚀、防渗漏、防挥发等要求</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kern w:val="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涉及面积</w:t>
            </w: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以上</w:t>
            </w:r>
            <w:r>
              <w:rPr>
                <w:rFonts w:ascii="Times New Roman" w:hAnsi="Times New Roman" w:eastAsia="仿宋_GB2312" w:cs="Times New Roman"/>
                <w:color w:val="000000"/>
                <w:sz w:val="21"/>
                <w:szCs w:val="21"/>
                <w:highlight w:val="none"/>
              </w:rPr>
              <w:t>5000m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5000m</w:t>
            </w:r>
            <w:r>
              <w:rPr>
                <w:rFonts w:ascii="Times New Roman" w:hAnsi="Times New Roman" w:eastAsia="仿宋_GB2312" w:cs="Times New Roman"/>
                <w:color w:val="000000"/>
                <w:highlight w:val="none"/>
                <w:vertAlign w:val="superscript"/>
              </w:rPr>
              <w:t>2</w:t>
            </w:r>
            <w:r>
              <w:rPr>
                <w:rFonts w:hint="eastAsia" w:ascii="Times New Roman" w:hAnsi="Times New Roman" w:eastAsia="仿宋_GB2312" w:cs="仿宋_GB2312"/>
                <w:color w:val="000000"/>
                <w:highlight w:val="none"/>
              </w:rPr>
              <w:t>以上</w:t>
            </w:r>
            <w:r>
              <w:rPr>
                <w:rFonts w:ascii="Times New Roman" w:hAnsi="Times New Roman" w:eastAsia="仿宋_GB2312" w:cs="Times New Roman"/>
                <w:color w:val="000000"/>
                <w:highlight w:val="none"/>
              </w:rPr>
              <w:t>10000m</w:t>
            </w:r>
            <w:r>
              <w:rPr>
                <w:rFonts w:ascii="Times New Roman" w:hAnsi="Times New Roman" w:eastAsia="仿宋_GB2312" w:cs="Times New Roman"/>
                <w:color w:val="000000"/>
                <w:highlight w:val="none"/>
                <w:vertAlign w:val="superscript"/>
              </w:rPr>
              <w:t>2</w:t>
            </w:r>
            <w:r>
              <w:rPr>
                <w:rFonts w:hint="eastAsia" w:ascii="Times New Roman" w:hAnsi="Times New Roman" w:eastAsia="仿宋_GB2312" w:cs="仿宋_GB2312"/>
                <w:color w:val="000000"/>
                <w:highlight w:val="none"/>
              </w:rPr>
              <w:t>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10000m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以上</w:t>
            </w:r>
            <w:r>
              <w:rPr>
                <w:rFonts w:ascii="Times New Roman" w:hAnsi="Times New Roman" w:eastAsia="仿宋_GB2312" w:cs="Times New Roman"/>
                <w:color w:val="000000"/>
                <w:sz w:val="21"/>
                <w:szCs w:val="21"/>
                <w:highlight w:val="none"/>
              </w:rPr>
              <w:t>20000m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以下</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ind w:firstLine="422"/>
              <w:jc w:val="center"/>
              <w:rPr>
                <w:rFonts w:ascii="Times New Roman" w:hAnsi="Times New Roman" w:cs="Times New Roman"/>
                <w:b/>
                <w:bCs/>
                <w:color w:val="000000"/>
                <w:highlight w:val="none"/>
              </w:rPr>
            </w:pPr>
          </w:p>
        </w:tc>
        <w:tc>
          <w:tcPr>
            <w:tcW w:w="5245" w:type="dxa"/>
            <w:vAlign w:val="center"/>
          </w:tcPr>
          <w:p>
            <w:pPr>
              <w:pStyle w:val="11"/>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20000m</w:t>
            </w:r>
            <w:r>
              <w:rPr>
                <w:rFonts w:ascii="Times New Roman" w:hAnsi="Times New Roman" w:eastAsia="仿宋_GB2312" w:cs="Times New Roman"/>
                <w:color w:val="000000"/>
                <w:sz w:val="21"/>
                <w:szCs w:val="21"/>
                <w:highlight w:val="none"/>
                <w:vertAlign w:val="superscript"/>
              </w:rPr>
              <w:t>2</w:t>
            </w:r>
            <w:r>
              <w:rPr>
                <w:rFonts w:hint="eastAsia" w:ascii="Times New Roman" w:hAnsi="Times New Roman" w:eastAsia="仿宋_GB2312" w:cs="仿宋_GB2312"/>
                <w:color w:val="000000"/>
                <w:sz w:val="21"/>
                <w:szCs w:val="21"/>
                <w:highlight w:val="none"/>
              </w:rPr>
              <w:t>以上</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2"/>
              <w:jc w:val="center"/>
              <w:rPr>
                <w:rFonts w:ascii="Times New Roman" w:hAnsi="Times New Roman" w:cs="Times New Roman"/>
                <w:b/>
                <w:bCs/>
                <w:highlight w:val="none"/>
              </w:rPr>
            </w:pPr>
          </w:p>
        </w:tc>
      </w:tr>
    </w:tbl>
    <w:p>
      <w:pPr>
        <w:rPr>
          <w:rFonts w:ascii="Times New Roman" w:hAnsi="Times New Roman" w:cs="Times New Roman"/>
          <w:highlight w:val="none"/>
        </w:rPr>
      </w:pPr>
      <w:r>
        <w:rPr>
          <w:rFonts w:ascii="Times New Roman" w:hAnsi="Times New Roman" w:cs="Times New Roman"/>
          <w:highlight w:val="none"/>
        </w:rPr>
        <w:br w:type="page"/>
      </w:r>
    </w:p>
    <w:p>
      <w:pPr>
        <w:widowControl/>
        <w:ind w:left="420"/>
        <w:jc w:val="center"/>
        <w:outlineLvl w:val="1"/>
        <w:rPr>
          <w:rFonts w:ascii="Times New Roman" w:hAnsi="Times New Roman" w:eastAsia="仿宋_GB2312" w:cs="Times New Roman"/>
          <w:b/>
          <w:bCs/>
          <w:sz w:val="32"/>
          <w:szCs w:val="32"/>
          <w:highlight w:val="none"/>
        </w:rPr>
      </w:pPr>
      <w:bookmarkStart w:id="61" w:name="_Toc91081273"/>
      <w:r>
        <w:rPr>
          <w:rFonts w:hint="eastAsia" w:ascii="Times New Roman" w:hAnsi="Times New Roman" w:eastAsia="仿宋_GB2312" w:cs="仿宋_GB2312"/>
          <w:b/>
          <w:bCs/>
          <w:sz w:val="32"/>
          <w:szCs w:val="32"/>
          <w:highlight w:val="none"/>
        </w:rPr>
        <w:t>（六）海洋污染防治类</w:t>
      </w:r>
      <w:bookmarkEnd w:id="61"/>
    </w:p>
    <w:p>
      <w:pPr>
        <w:widowControl/>
        <w:ind w:left="420"/>
        <w:jc w:val="center"/>
        <w:outlineLvl w:val="1"/>
        <w:rPr>
          <w:rFonts w:ascii="Times New Roman" w:hAnsi="Times New Roman" w:eastAsia="仿宋_GB2312" w:cs="Times New Roman"/>
          <w:b/>
          <w:bCs/>
          <w:sz w:val="32"/>
          <w:szCs w:val="32"/>
          <w:highlight w:val="none"/>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640" w:firstLineChars="200"/>
        <w:jc w:val="lef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1.</w:t>
      </w:r>
      <w:r>
        <w:rPr>
          <w:rFonts w:hint="eastAsia" w:ascii="Times New Roman" w:hAnsi="Times New Roman" w:eastAsia="仿宋_GB2312" w:cs="仿宋_GB2312"/>
          <w:color w:val="000000"/>
          <w:sz w:val="32"/>
          <w:szCs w:val="32"/>
          <w:highlight w:val="none"/>
        </w:rPr>
        <w:t>向海域排放禁止排放的污染物或者其他物质的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640" w:firstLineChars="200"/>
        <w:jc w:val="lef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2.</w:t>
      </w:r>
      <w:r>
        <w:rPr>
          <w:rFonts w:hint="eastAsia" w:ascii="Times New Roman" w:hAnsi="Times New Roman" w:eastAsia="仿宋_GB2312" w:cs="仿宋_GB2312"/>
          <w:color w:val="000000"/>
          <w:sz w:val="32"/>
          <w:szCs w:val="32"/>
          <w:highlight w:val="none"/>
        </w:rPr>
        <w:t>不按照规定向海洋排放污染物，或者超过标准、总量控制指标排放污染物的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left="640"/>
        <w:jc w:val="lef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3.</w:t>
      </w:r>
      <w:r>
        <w:rPr>
          <w:rFonts w:hint="eastAsia" w:ascii="Times New Roman" w:hAnsi="Times New Roman" w:eastAsia="仿宋_GB2312" w:cs="仿宋_GB2312"/>
          <w:color w:val="000000"/>
          <w:sz w:val="32"/>
          <w:szCs w:val="32"/>
          <w:highlight w:val="none"/>
        </w:rPr>
        <w:t>未取得海洋倾倒许可证，向海洋倾倒废弃物的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640" w:firstLineChars="200"/>
        <w:jc w:val="lef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4.</w:t>
      </w:r>
      <w:r>
        <w:rPr>
          <w:rFonts w:hint="eastAsia" w:ascii="Times New Roman" w:hAnsi="Times New Roman" w:eastAsia="仿宋_GB2312" w:cs="仿宋_GB2312"/>
          <w:color w:val="000000"/>
          <w:sz w:val="32"/>
          <w:szCs w:val="32"/>
          <w:highlight w:val="none"/>
        </w:rPr>
        <w:t>因发生事故或者其他突发性事件，造成海洋环境污染事故，不立即采取处理措施的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640" w:firstLineChars="200"/>
        <w:jc w:val="lef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5.</w:t>
      </w:r>
      <w:r>
        <w:rPr>
          <w:rFonts w:hint="eastAsia" w:ascii="Times New Roman" w:hAnsi="Times New Roman" w:eastAsia="仿宋_GB2312" w:cs="仿宋_GB2312"/>
          <w:color w:val="000000"/>
          <w:sz w:val="32"/>
          <w:szCs w:val="32"/>
          <w:highlight w:val="none"/>
        </w:rPr>
        <w:t>不按照规定申报，甚至拒报污染物排放有关事项，或者在申报时弄虚作假的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640" w:firstLineChars="200"/>
        <w:jc w:val="lef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6.</w:t>
      </w:r>
      <w:r>
        <w:rPr>
          <w:rFonts w:hint="eastAsia" w:ascii="Times New Roman" w:hAnsi="Times New Roman" w:eastAsia="仿宋_GB2312" w:cs="仿宋_GB2312"/>
          <w:color w:val="000000"/>
          <w:sz w:val="32"/>
          <w:szCs w:val="32"/>
          <w:highlight w:val="none"/>
        </w:rPr>
        <w:t>发生事故或者其他突发性事件不按照规定报告的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640" w:firstLineChars="200"/>
        <w:jc w:val="lef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7.</w:t>
      </w:r>
      <w:r>
        <w:rPr>
          <w:rFonts w:hint="eastAsia" w:ascii="Times New Roman" w:hAnsi="Times New Roman" w:eastAsia="仿宋_GB2312" w:cs="仿宋_GB2312"/>
          <w:color w:val="000000"/>
          <w:sz w:val="32"/>
          <w:szCs w:val="32"/>
          <w:highlight w:val="none"/>
        </w:rPr>
        <w:t>不按照规定记录倾倒情况，或者不按照规定提交倾倒报告的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640" w:firstLineChars="200"/>
        <w:jc w:val="lef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8.</w:t>
      </w:r>
      <w:r>
        <w:rPr>
          <w:rFonts w:hint="eastAsia" w:ascii="Times New Roman" w:hAnsi="Times New Roman" w:eastAsia="仿宋_GB2312" w:cs="仿宋_GB2312"/>
          <w:color w:val="000000"/>
          <w:sz w:val="32"/>
          <w:szCs w:val="32"/>
          <w:highlight w:val="none"/>
        </w:rPr>
        <w:t>拒绝现场检查，或者在被检查时弄虚作假的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640" w:firstLineChars="200"/>
        <w:jc w:val="lef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9.</w:t>
      </w:r>
      <w:r>
        <w:rPr>
          <w:rFonts w:hint="eastAsia" w:ascii="Times New Roman" w:hAnsi="Times New Roman" w:eastAsia="仿宋_GB2312" w:cs="仿宋_GB2312"/>
          <w:color w:val="000000"/>
          <w:sz w:val="32"/>
          <w:szCs w:val="32"/>
          <w:highlight w:val="none"/>
        </w:rPr>
        <w:t>造成海洋生态系统破坏的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640" w:firstLineChars="200"/>
        <w:jc w:val="lef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10.</w:t>
      </w:r>
      <w:r>
        <w:rPr>
          <w:rFonts w:hint="eastAsia" w:ascii="Times New Roman" w:hAnsi="Times New Roman" w:eastAsia="仿宋_GB2312" w:cs="仿宋_GB2312"/>
          <w:color w:val="000000"/>
          <w:sz w:val="32"/>
          <w:szCs w:val="32"/>
          <w:highlight w:val="none"/>
        </w:rPr>
        <w:t>违法设置入海排污口的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640" w:firstLineChars="200"/>
        <w:jc w:val="lef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11.</w:t>
      </w:r>
      <w:r>
        <w:rPr>
          <w:rFonts w:hint="eastAsia" w:ascii="Times New Roman" w:hAnsi="Times New Roman" w:eastAsia="仿宋_GB2312" w:cs="仿宋_GB2312"/>
          <w:color w:val="000000"/>
          <w:sz w:val="32"/>
          <w:szCs w:val="32"/>
          <w:highlight w:val="none"/>
        </w:rPr>
        <w:t>海岸工程建设项目未建成环境保护设施，或者环境保护设施未达到规定要求即投入生产、使用的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640" w:firstLineChars="200"/>
        <w:jc w:val="lef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12.</w:t>
      </w:r>
      <w:r>
        <w:rPr>
          <w:rFonts w:hint="eastAsia" w:ascii="Times New Roman" w:hAnsi="Times New Roman" w:eastAsia="仿宋_GB2312" w:cs="仿宋_GB2312"/>
          <w:color w:val="000000"/>
          <w:sz w:val="32"/>
          <w:szCs w:val="32"/>
          <w:highlight w:val="none"/>
        </w:rPr>
        <w:t>环境影响报告书（表）未依法报批或者未经批准同意，擅自开工建设的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640" w:firstLineChars="200"/>
        <w:jc w:val="lef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13.</w:t>
      </w:r>
      <w:r>
        <w:rPr>
          <w:rFonts w:hint="eastAsia" w:ascii="Times New Roman" w:hAnsi="Times New Roman" w:eastAsia="仿宋_GB2312" w:cs="仿宋_GB2312"/>
          <w:color w:val="000000"/>
          <w:sz w:val="32"/>
          <w:szCs w:val="32"/>
          <w:highlight w:val="none"/>
        </w:rPr>
        <w:t>海洋工程建设项目未建成环境保护设施、环境保护设施未达到规定要求即投入生产、使用的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640" w:firstLineChars="200"/>
        <w:jc w:val="lef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14.</w:t>
      </w:r>
      <w:r>
        <w:rPr>
          <w:rFonts w:hint="eastAsia" w:ascii="Times New Roman" w:hAnsi="Times New Roman" w:eastAsia="仿宋_GB2312" w:cs="仿宋_GB2312"/>
          <w:color w:val="000000"/>
          <w:sz w:val="32"/>
          <w:szCs w:val="32"/>
          <w:highlight w:val="none"/>
        </w:rPr>
        <w:t>使用含超标准放射性物质或者易溶出有毒有害物质材料的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640" w:firstLineChars="200"/>
        <w:jc w:val="lef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15.</w:t>
      </w:r>
      <w:r>
        <w:rPr>
          <w:rFonts w:hint="eastAsia" w:ascii="Times New Roman" w:hAnsi="Times New Roman" w:eastAsia="仿宋_GB2312" w:cs="仿宋_GB2312"/>
          <w:color w:val="000000"/>
          <w:sz w:val="32"/>
          <w:szCs w:val="32"/>
          <w:highlight w:val="none"/>
        </w:rPr>
        <w:t>不按照许可证的规定倾倒，或者向已经封闭的倾倒区倾倒废弃物的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640" w:firstLineChars="200"/>
        <w:jc w:val="lef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16.</w:t>
      </w:r>
      <w:r>
        <w:rPr>
          <w:rFonts w:hint="eastAsia" w:ascii="Times New Roman" w:hAnsi="Times New Roman" w:eastAsia="仿宋_GB2312" w:cs="仿宋_GB2312"/>
          <w:color w:val="000000"/>
          <w:sz w:val="32"/>
          <w:szCs w:val="32"/>
          <w:highlight w:val="none"/>
        </w:rPr>
        <w:t>港口、码头、装卸站及船舶未配备防污设施、器材的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640" w:firstLineChars="200"/>
        <w:jc w:val="lef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17.</w:t>
      </w:r>
      <w:r>
        <w:rPr>
          <w:rFonts w:hint="eastAsia" w:ascii="Times New Roman" w:hAnsi="Times New Roman" w:eastAsia="仿宋_GB2312" w:cs="仿宋_GB2312"/>
          <w:color w:val="000000"/>
          <w:sz w:val="32"/>
          <w:szCs w:val="32"/>
          <w:highlight w:val="none"/>
        </w:rPr>
        <w:t>从事水上和港区水域拆船、旧船改装、打捞和其他水上、水下施工作业，造成海洋环境污染损害的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640" w:firstLineChars="200"/>
        <w:jc w:val="lef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18.</w:t>
      </w:r>
      <w:r>
        <w:rPr>
          <w:rFonts w:hint="eastAsia" w:ascii="Times New Roman" w:hAnsi="Times New Roman" w:eastAsia="仿宋_GB2312" w:cs="仿宋_GB2312"/>
          <w:color w:val="000000"/>
          <w:sz w:val="32"/>
          <w:szCs w:val="32"/>
          <w:highlight w:val="none"/>
        </w:rPr>
        <w:t>违反生态保护红线要求，或者违反海洋主体功能区规划、海洋功能区划、海洋环境保护规划、重点海域环境保护专项规划以及有关环境保护标准，开发利用海洋资源的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640" w:firstLineChars="200"/>
        <w:jc w:val="lef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19.</w:t>
      </w:r>
      <w:r>
        <w:rPr>
          <w:rFonts w:hint="eastAsia" w:ascii="Times New Roman" w:hAnsi="Times New Roman" w:eastAsia="仿宋_GB2312" w:cs="仿宋_GB2312"/>
          <w:color w:val="000000"/>
          <w:sz w:val="32"/>
          <w:szCs w:val="32"/>
          <w:highlight w:val="none"/>
        </w:rPr>
        <w:t>采挖海砂、砾石或者开发海岛及周围海域资源，未采取严格的生态保护措施造成海洋生态环境破坏的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640" w:firstLineChars="200"/>
        <w:jc w:val="lef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20.</w:t>
      </w:r>
      <w:r>
        <w:rPr>
          <w:rFonts w:hint="eastAsia" w:ascii="Times New Roman" w:hAnsi="Times New Roman" w:eastAsia="仿宋_GB2312" w:cs="仿宋_GB2312"/>
          <w:color w:val="000000"/>
          <w:sz w:val="32"/>
          <w:szCs w:val="32"/>
          <w:highlight w:val="none"/>
        </w:rPr>
        <w:t>在半封闭海湾、河口兴建影响潮汐通道、降低水体交换能力或者增加通道淤积速度的工程项目的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640" w:firstLineChars="200"/>
        <w:jc w:val="lef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21.</w:t>
      </w:r>
      <w:r>
        <w:rPr>
          <w:rFonts w:hint="eastAsia" w:ascii="Times New Roman" w:hAnsi="Times New Roman" w:eastAsia="仿宋_GB2312" w:cs="仿宋_GB2312"/>
          <w:color w:val="000000"/>
          <w:sz w:val="32"/>
          <w:szCs w:val="32"/>
          <w:highlight w:val="none"/>
        </w:rPr>
        <w:t>使用未经无害化处理的生活垃圾、医疗垃圾或者其他有毒有害物质填海的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640" w:firstLineChars="200"/>
        <w:jc w:val="lef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22.</w:t>
      </w:r>
      <w:r>
        <w:rPr>
          <w:rFonts w:hint="eastAsia" w:ascii="Times New Roman" w:hAnsi="Times New Roman" w:eastAsia="仿宋_GB2312" w:cs="仿宋_GB2312"/>
          <w:color w:val="000000"/>
          <w:sz w:val="32"/>
          <w:szCs w:val="32"/>
          <w:highlight w:val="none"/>
        </w:rPr>
        <w:t>拒不清除本单位用海范围内的生活垃圾、废弃物或者将生产、生活废弃物弃置海域的</w:t>
      </w:r>
    </w:p>
    <w:p>
      <w:pPr>
        <w:widowControl/>
        <w:snapToGrid w:val="0"/>
        <w:outlineLvl w:val="1"/>
        <w:rPr>
          <w:rFonts w:ascii="Times New Roman" w:hAnsi="Times New Roman" w:cs="Times New Roman"/>
          <w:kern w:val="0"/>
          <w:sz w:val="10"/>
          <w:szCs w:val="10"/>
          <w:highlight w:val="none"/>
        </w:rPr>
      </w:pPr>
      <w:r>
        <w:rPr>
          <w:rFonts w:ascii="Times New Roman" w:hAnsi="Times New Roman" w:eastAsia="仿宋_GB2312" w:cs="Times New Roman"/>
          <w:b/>
          <w:bCs/>
          <w:sz w:val="32"/>
          <w:szCs w:val="32"/>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783"/>
        <w:gridCol w:w="2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tcPr>
          <w:p>
            <w:pPr>
              <w:snapToGrid w:val="0"/>
              <w:jc w:val="center"/>
              <w:rPr>
                <w:rFonts w:ascii="Times New Roman" w:hAnsi="Times New Roman" w:cs="Times New Roman"/>
                <w:highlight w:val="none"/>
              </w:rPr>
            </w:pPr>
            <w:r>
              <w:rPr>
                <w:rFonts w:ascii="Times New Roman" w:hAnsi="Times New Roman" w:eastAsia="仿宋_GB2312" w:cs="Times New Roman"/>
                <w:b/>
                <w:bCs/>
                <w:sz w:val="32"/>
                <w:szCs w:val="32"/>
                <w:highlight w:val="none"/>
              </w:rPr>
              <w:br w:type="page"/>
            </w:r>
            <w:r>
              <w:rPr>
                <w:rFonts w:ascii="Times New Roman" w:hAnsi="Times New Roman" w:eastAsia="仿宋_GB2312" w:cs="Times New Roman"/>
                <w:b/>
                <w:bCs/>
                <w:sz w:val="32"/>
                <w:szCs w:val="32"/>
                <w:highlight w:val="none"/>
              </w:rPr>
              <w:br w:type="page"/>
            </w:r>
            <w:r>
              <w:rPr>
                <w:rFonts w:hint="eastAsia" w:ascii="Times New Roman" w:hAnsi="Times New Roman" w:eastAsia="仿宋_GB2312" w:cs="仿宋_GB2312"/>
                <w:b/>
                <w:bCs/>
                <w:sz w:val="32"/>
                <w:szCs w:val="32"/>
                <w:highlight w:val="none"/>
              </w:rPr>
              <w:t>（六）海洋污染防治类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ind w:firstLine="42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向海域排放禁止排放的污染物或者其他物质的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2"/>
              <w:snapToGrid w:val="0"/>
              <w:spacing w:before="62" w:beforeLines="20" w:beforeAutospacing="0" w:after="0" w:afterAutospacing="0" w:line="288" w:lineRule="auto"/>
              <w:ind w:firstLine="482"/>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《中华人民共和国海洋环境保护法》第三十三条第一款</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禁止向海域排放油类、酸液、碱液、剧毒废液和高、中水平放射性废水。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2"/>
              <w:snapToGrid w:val="0"/>
              <w:spacing w:before="62" w:beforeLines="20" w:beforeAutospacing="0" w:after="0" w:afterAutospacing="0" w:line="288" w:lineRule="auto"/>
              <w:ind w:firstLine="422"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《中华人民共和国海洋环境保护法》第七十三条第一款第（一）项、第二款</w:t>
            </w:r>
            <w:r>
              <w:rPr>
                <w:rFonts w:ascii="Times New Roman" w:hAnsi="Times New Roman" w:eastAsia="仿宋_GB2312" w:cs="Times New Roman"/>
                <w:b/>
                <w:bCs/>
                <w:kern w:val="2"/>
                <w:sz w:val="21"/>
                <w:szCs w:val="21"/>
                <w:highlight w:val="none"/>
              </w:rPr>
              <w:t xml:space="preserve"> </w:t>
            </w:r>
            <w:r>
              <w:rPr>
                <w:rFonts w:hint="eastAsia" w:ascii="Times New Roman" w:hAnsi="Times New Roman" w:eastAsia="仿宋_GB2312" w:cs="仿宋_GB2312"/>
                <w:kern w:val="2"/>
                <w:sz w:val="21"/>
                <w:szCs w:val="21"/>
                <w:highlight w:val="none"/>
              </w:rPr>
              <w:t>违反本法有关规定，有下列行为之一的，由依照本法规定行使海洋环境监督管理权的部门责令停止违法行为、限期改正或者责令采取限制生产、停产整治等措施，并处以罚款；拒不改正的，依法作出处罚决定的部门可以自责令改正之日的次日起，按照原罚款数额按日连续处罚；情节严重的，报经有批准权的人民政府批准，责令停业、关闭：</w:t>
            </w:r>
          </w:p>
          <w:p>
            <w:pPr>
              <w:pStyle w:val="12"/>
              <w:snapToGrid w:val="0"/>
              <w:spacing w:before="0" w:beforeAutospacing="0" w:after="0" w:afterAutospacing="0" w:line="288" w:lineRule="auto"/>
              <w:ind w:firstLine="420"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（一）向海域排放本法禁止排放的污染物或者其他物质的。</w:t>
            </w:r>
          </w:p>
          <w:p>
            <w:pPr>
              <w:pStyle w:val="12"/>
              <w:snapToGrid w:val="0"/>
              <w:spacing w:before="0" w:beforeAutospacing="0" w:after="0" w:afterAutospacing="0" w:line="288" w:lineRule="auto"/>
              <w:ind w:firstLine="420"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有前款第（一）、（三）项行为之一的，处三万元以上二十万元以下的罚款；有前款第（二）、（四）项行为之一的，处二万元以上十万元以下的罚款。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78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15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海洋功能</w:t>
            </w:r>
          </w:p>
          <w:p>
            <w:pPr>
              <w:snapToGrid w:val="0"/>
              <w:jc w:val="center"/>
              <w:rPr>
                <w:rFonts w:ascii="Times New Roman" w:hAnsi="Times New Roman" w:cs="Times New Roman"/>
                <w:b/>
                <w:bCs/>
                <w:highlight w:val="none"/>
              </w:rPr>
            </w:pPr>
            <w:r>
              <w:rPr>
                <w:rFonts w:hint="eastAsia" w:ascii="Times New Roman" w:hAnsi="Times New Roman" w:cs="宋体"/>
                <w:b/>
                <w:bCs/>
                <w:color w:val="000000"/>
                <w:highlight w:val="none"/>
              </w:rPr>
              <w:t>区划★</w:t>
            </w:r>
          </w:p>
        </w:tc>
        <w:tc>
          <w:tcPr>
            <w:tcW w:w="578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工业与城镇用海区</w:t>
            </w:r>
          </w:p>
        </w:tc>
        <w:tc>
          <w:tcPr>
            <w:tcW w:w="215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港口航运区、农渔业区</w:t>
            </w:r>
          </w:p>
        </w:tc>
        <w:tc>
          <w:tcPr>
            <w:tcW w:w="215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旅游休闲娱乐区</w:t>
            </w:r>
          </w:p>
        </w:tc>
        <w:tc>
          <w:tcPr>
            <w:tcW w:w="215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矿产与能源区</w:t>
            </w:r>
          </w:p>
        </w:tc>
        <w:tc>
          <w:tcPr>
            <w:tcW w:w="215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海洋保护区、特殊利用区、保留区等需要特殊保护的区域</w:t>
            </w:r>
          </w:p>
        </w:tc>
        <w:tc>
          <w:tcPr>
            <w:tcW w:w="215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排放物质</w:t>
            </w:r>
          </w:p>
        </w:tc>
        <w:tc>
          <w:tcPr>
            <w:tcW w:w="578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油类</w:t>
            </w:r>
          </w:p>
        </w:tc>
        <w:tc>
          <w:tcPr>
            <w:tcW w:w="215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783"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酸液、碱液</w:t>
            </w:r>
          </w:p>
        </w:tc>
        <w:tc>
          <w:tcPr>
            <w:tcW w:w="215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78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剧毒废液和高、中水平放射性废水</w:t>
            </w:r>
          </w:p>
        </w:tc>
        <w:tc>
          <w:tcPr>
            <w:tcW w:w="2155"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污染物</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排放量</w:t>
            </w:r>
          </w:p>
        </w:tc>
        <w:tc>
          <w:tcPr>
            <w:tcW w:w="578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0.5</w:t>
            </w:r>
            <w:r>
              <w:rPr>
                <w:rFonts w:hint="eastAsia" w:ascii="Times New Roman" w:hAnsi="Times New Roman" w:eastAsia="仿宋_GB2312" w:cs="仿宋_GB2312"/>
                <w:color w:val="000000"/>
                <w:highlight w:val="none"/>
              </w:rPr>
              <w:t>吨以下</w:t>
            </w:r>
          </w:p>
        </w:tc>
        <w:tc>
          <w:tcPr>
            <w:tcW w:w="2155"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78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0.5</w:t>
            </w:r>
            <w:r>
              <w:rPr>
                <w:rFonts w:hint="eastAsia" w:ascii="Times New Roman" w:hAnsi="Times New Roman" w:eastAsia="仿宋_GB2312" w:cs="仿宋_GB2312"/>
                <w:color w:val="000000"/>
                <w:highlight w:val="none"/>
              </w:rPr>
              <w:t>吨以下</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吨以上</w:t>
            </w:r>
          </w:p>
        </w:tc>
        <w:tc>
          <w:tcPr>
            <w:tcW w:w="2155"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78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吨以上</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吨以下</w:t>
            </w:r>
          </w:p>
        </w:tc>
        <w:tc>
          <w:tcPr>
            <w:tcW w:w="2155"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r>
              <w:rPr>
                <w:rFonts w:hint="eastAsia" w:ascii="Times New Roman" w:hAnsi="Times New Roman" w:eastAsia="仿宋_GB2312" w:cs="仿宋_GB2312"/>
                <w:highlight w:val="none"/>
              </w:rPr>
              <w:t>吨以上</w:t>
            </w:r>
            <w:r>
              <w:rPr>
                <w:rFonts w:ascii="Times New Roman" w:hAnsi="Times New Roman" w:eastAsia="仿宋_GB2312" w:cs="Times New Roman"/>
                <w:highlight w:val="none"/>
              </w:rPr>
              <w:t>5</w:t>
            </w:r>
            <w:r>
              <w:rPr>
                <w:rFonts w:hint="eastAsia" w:ascii="Times New Roman" w:hAnsi="Times New Roman" w:eastAsia="仿宋_GB2312" w:cs="仿宋_GB2312"/>
                <w:highlight w:val="none"/>
              </w:rPr>
              <w:t>吨以下</w:t>
            </w:r>
          </w:p>
        </w:tc>
        <w:tc>
          <w:tcPr>
            <w:tcW w:w="2155"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r>
              <w:rPr>
                <w:rFonts w:hint="eastAsia" w:ascii="Times New Roman" w:hAnsi="Times New Roman" w:eastAsia="仿宋_GB2312" w:cs="仿宋_GB2312"/>
                <w:highlight w:val="none"/>
              </w:rPr>
              <w:t>吨以上</w:t>
            </w:r>
          </w:p>
        </w:tc>
        <w:tc>
          <w:tcPr>
            <w:tcW w:w="2155"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eastAsia="仿宋_GB2312" w:cs="Times New Roman"/>
                <w:highlight w:val="none"/>
              </w:rPr>
            </w:pPr>
          </w:p>
        </w:tc>
      </w:tr>
    </w:tbl>
    <w:p>
      <w:pPr>
        <w:widowControl/>
        <w:snapToGrid w:val="0"/>
        <w:jc w:val="left"/>
        <w:outlineLvl w:val="1"/>
        <w:rPr>
          <w:rFonts w:ascii="Times New Roman" w:hAnsi="Times New Roman" w:eastAsia="仿宋_GB2312" w:cs="Times New Roman"/>
          <w:b/>
          <w:bCs/>
          <w:sz w:val="10"/>
          <w:szCs w:val="10"/>
          <w:highlight w:val="none"/>
        </w:rPr>
      </w:pPr>
      <w:r>
        <w:rPr>
          <w:rFonts w:ascii="Times New Roman" w:hAnsi="Times New Roman" w:eastAsia="仿宋_GB2312" w:cs="Times New Roman"/>
          <w:b/>
          <w:bCs/>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925"/>
        <w:gridCol w:w="2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tcPr>
          <w:p>
            <w:pPr>
              <w:snapToGrid w:val="0"/>
              <w:jc w:val="center"/>
              <w:rPr>
                <w:rFonts w:ascii="Times New Roman" w:hAnsi="Times New Roman" w:cs="Times New Roman"/>
                <w:highlight w:val="none"/>
              </w:rPr>
            </w:pPr>
            <w:r>
              <w:rPr>
                <w:rFonts w:ascii="Times New Roman" w:hAnsi="Times New Roman" w:eastAsia="仿宋_GB2312" w:cs="Times New Roman"/>
                <w:b/>
                <w:bCs/>
                <w:sz w:val="32"/>
                <w:szCs w:val="32"/>
                <w:highlight w:val="none"/>
              </w:rPr>
              <w:br w:type="page"/>
            </w:r>
            <w:r>
              <w:rPr>
                <w:rFonts w:ascii="Times New Roman" w:hAnsi="Times New Roman" w:eastAsia="仿宋_GB2312" w:cs="Times New Roman"/>
                <w:b/>
                <w:bCs/>
                <w:sz w:val="32"/>
                <w:szCs w:val="32"/>
                <w:highlight w:val="none"/>
              </w:rPr>
              <w:br w:type="page"/>
            </w:r>
            <w:r>
              <w:rPr>
                <w:rFonts w:hint="eastAsia" w:ascii="Times New Roman" w:hAnsi="Times New Roman" w:eastAsia="仿宋_GB2312" w:cs="仿宋_GB2312"/>
                <w:b/>
                <w:bCs/>
                <w:sz w:val="32"/>
                <w:szCs w:val="32"/>
                <w:highlight w:val="none"/>
              </w:rPr>
              <w:t>（六）海洋污染防治类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不按照规定向海洋排放污染物，或者超过标准、总量控制指标排放污染物的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2"/>
              <w:snapToGrid w:val="0"/>
              <w:spacing w:before="62" w:beforeLines="20" w:beforeAutospacing="0" w:after="0" w:afterAutospacing="0" w:line="264" w:lineRule="auto"/>
              <w:ind w:firstLine="482"/>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《中华人民共和国海洋环境保护法》第十一条第二款</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排污单位在执行国家和地方水污染物排放标准的同时，应当遵守分解落实到本单位的主要污染物排海总量控制指标。</w:t>
            </w:r>
          </w:p>
          <w:p>
            <w:pPr>
              <w:pStyle w:val="12"/>
              <w:snapToGrid w:val="0"/>
              <w:spacing w:before="0" w:beforeAutospacing="0" w:after="0" w:afterAutospacing="0" w:line="264" w:lineRule="auto"/>
              <w:ind w:firstLine="482"/>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第二十九条</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向海域排放陆源污染物，必须严格执行国家或者地方规定的标准和有关规定。</w:t>
            </w:r>
          </w:p>
          <w:p>
            <w:pPr>
              <w:pStyle w:val="12"/>
              <w:snapToGrid w:val="0"/>
              <w:spacing w:before="0" w:beforeAutospacing="0" w:after="0" w:afterAutospacing="0" w:line="264" w:lineRule="auto"/>
              <w:ind w:firstLine="482"/>
              <w:rPr>
                <w:rFonts w:ascii="Times New Roman" w:hAnsi="Times New Roman" w:eastAsia="仿宋_GB2312" w:cs="Times New Roman"/>
                <w:b/>
                <w:bCs/>
                <w:kern w:val="2"/>
                <w:sz w:val="21"/>
                <w:szCs w:val="21"/>
                <w:highlight w:val="none"/>
              </w:rPr>
            </w:pPr>
            <w:r>
              <w:rPr>
                <w:rFonts w:hint="eastAsia" w:ascii="Times New Roman" w:hAnsi="Times New Roman" w:eastAsia="仿宋_GB2312" w:cs="仿宋_GB2312"/>
                <w:b/>
                <w:bCs/>
                <w:kern w:val="2"/>
                <w:sz w:val="21"/>
                <w:szCs w:val="21"/>
                <w:highlight w:val="none"/>
              </w:rPr>
              <w:t>第三十四条</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含病原体的医疗污水、生活污水和工业废水必须经过处理，符合国家有关排放标准后，方能排入海域。</w:t>
            </w:r>
          </w:p>
          <w:p>
            <w:pPr>
              <w:pStyle w:val="12"/>
              <w:snapToGrid w:val="0"/>
              <w:spacing w:before="0" w:beforeAutospacing="0" w:after="0" w:afterAutospacing="0" w:line="264" w:lineRule="auto"/>
              <w:ind w:firstLine="482"/>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第三十六条</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向海域排放含热废水，必须采取有效措施，保证邻近渔业水域的水温符合国家海洋环境质量标准，避免热污染对水产资源的危害。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2"/>
              <w:snapToGrid w:val="0"/>
              <w:spacing w:before="62" w:beforeLines="20" w:beforeAutospacing="0" w:after="0" w:afterAutospacing="0" w:line="264" w:lineRule="auto"/>
              <w:ind w:firstLine="422"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《中华人民共和国海洋环境保护法》第七十三条第一款第（二）项、第二款</w:t>
            </w:r>
            <w:r>
              <w:rPr>
                <w:rFonts w:ascii="Times New Roman" w:hAnsi="Times New Roman" w:eastAsia="仿宋_GB2312" w:cs="Times New Roman"/>
                <w:b/>
                <w:bCs/>
                <w:kern w:val="2"/>
                <w:sz w:val="21"/>
                <w:szCs w:val="21"/>
                <w:highlight w:val="none"/>
              </w:rPr>
              <w:t xml:space="preserve"> </w:t>
            </w:r>
            <w:r>
              <w:rPr>
                <w:rFonts w:hint="eastAsia" w:ascii="Times New Roman" w:hAnsi="Times New Roman" w:eastAsia="仿宋_GB2312" w:cs="仿宋_GB2312"/>
                <w:kern w:val="2"/>
                <w:sz w:val="21"/>
                <w:szCs w:val="21"/>
                <w:highlight w:val="none"/>
              </w:rPr>
              <w:t>违反本法有关规定，有下列行为之一的，由依照本法规定行使海洋环境监督管理权的部门责令停止违法行为、限期改正或者责令采取限制生产、停产整治等措施，并处以罚款；拒不改正的，依法作出处罚决定的部门可以自责令改正之日的次日起，按照原罚款数额按日连续处罚；情节严重的，报经有批准权的人民政府批准，责令停业、关闭：</w:t>
            </w:r>
          </w:p>
          <w:p>
            <w:pPr>
              <w:pStyle w:val="12"/>
              <w:snapToGrid w:val="0"/>
              <w:spacing w:before="0" w:beforeAutospacing="0" w:after="0" w:afterAutospacing="0" w:line="264" w:lineRule="auto"/>
              <w:ind w:firstLine="420"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（二）不按照本法规定向海洋排放污染物，或者超过标准、总量控制指标排放污染物的。</w:t>
            </w:r>
          </w:p>
          <w:p>
            <w:pPr>
              <w:pStyle w:val="12"/>
              <w:snapToGrid w:val="0"/>
              <w:spacing w:before="0" w:beforeAutospacing="0" w:after="0" w:afterAutospacing="0" w:line="264" w:lineRule="auto"/>
              <w:ind w:firstLine="420"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有前款第（一）、（三）项行为之一的，处三万元以上二十万元以下的罚款；有前款第（二）、（四）项行为之一的，处二万元以上十万元以下的罚款。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925"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0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宋体"/>
                <w:b/>
                <w:bCs/>
                <w:color w:val="000000"/>
                <w:highlight w:val="none"/>
              </w:rPr>
            </w:pPr>
            <w:r>
              <w:rPr>
                <w:rFonts w:hint="eastAsia" w:ascii="Times New Roman" w:hAnsi="Times New Roman" w:cs="宋体"/>
                <w:b/>
                <w:bCs/>
                <w:color w:val="000000"/>
                <w:highlight w:val="none"/>
              </w:rPr>
              <w:t>排污超标或者超总量状况★</w:t>
            </w:r>
          </w:p>
        </w:tc>
        <w:tc>
          <w:tcPr>
            <w:tcW w:w="5925" w:type="dxa"/>
            <w:vAlign w:val="center"/>
          </w:tcPr>
          <w:p>
            <w:pPr>
              <w:snapToGrid w:val="0"/>
              <w:jc w:val="center"/>
              <w:rPr>
                <w:rFonts w:ascii="Times New Roman" w:hAnsi="Times New Roman" w:cs="宋体"/>
                <w:b/>
                <w:bCs/>
                <w:color w:val="000000"/>
                <w:highlight w:val="none"/>
              </w:rPr>
            </w:pPr>
            <w:r>
              <w:rPr>
                <w:rFonts w:hint="eastAsia" w:ascii="Times New Roman" w:hAnsi="Times New Roman" w:eastAsia="仿宋_GB2312" w:cs="仿宋_GB2312"/>
                <w:color w:val="000000"/>
                <w:highlight w:val="none"/>
              </w:rPr>
              <w:t>超标</w:t>
            </w:r>
            <w:r>
              <w:rPr>
                <w:rFonts w:ascii="Times New Roman" w:hAnsi="Times New Roman" w:eastAsia="仿宋_GB2312" w:cs="Times New Roman"/>
                <w:color w:val="000000"/>
                <w:highlight w:val="none"/>
              </w:rPr>
              <w:t>0.5</w:t>
            </w:r>
            <w:r>
              <w:rPr>
                <w:rFonts w:hint="eastAsia" w:ascii="Times New Roman" w:hAnsi="Times New Roman" w:eastAsia="仿宋_GB2312" w:cs="仿宋_GB2312"/>
                <w:color w:val="000000"/>
                <w:highlight w:val="none"/>
              </w:rPr>
              <w:t>倍以下</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超总量不足</w:t>
            </w:r>
            <w:r>
              <w:rPr>
                <w:rFonts w:ascii="Times New Roman" w:hAnsi="Times New Roman" w:eastAsia="仿宋_GB2312" w:cs="Times New Roman"/>
                <w:color w:val="000000"/>
                <w:highlight w:val="none"/>
              </w:rPr>
              <w:t>5%</w:t>
            </w:r>
          </w:p>
        </w:tc>
        <w:tc>
          <w:tcPr>
            <w:tcW w:w="2013" w:type="dxa"/>
            <w:vAlign w:val="center"/>
          </w:tcPr>
          <w:p>
            <w:pPr>
              <w:snapToGrid w:val="0"/>
              <w:jc w:val="center"/>
              <w:rPr>
                <w:rFonts w:ascii="Times New Roman" w:hAnsi="Times New Roman" w:cs="宋体"/>
                <w:b/>
                <w:bCs/>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宋体"/>
                <w:b/>
                <w:bCs/>
                <w:color w:val="000000"/>
                <w:highlight w:val="none"/>
              </w:rPr>
            </w:pPr>
          </w:p>
        </w:tc>
        <w:tc>
          <w:tcPr>
            <w:tcW w:w="592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超标</w:t>
            </w:r>
            <w:r>
              <w:rPr>
                <w:rFonts w:ascii="Times New Roman" w:hAnsi="Times New Roman" w:eastAsia="仿宋_GB2312" w:cs="Times New Roman"/>
                <w:color w:val="000000"/>
                <w:highlight w:val="none"/>
              </w:rPr>
              <w:t>0.5</w:t>
            </w:r>
            <w:r>
              <w:rPr>
                <w:rFonts w:hint="eastAsia" w:ascii="Times New Roman" w:hAnsi="Times New Roman" w:eastAsia="仿宋_GB2312" w:cs="仿宋_GB2312"/>
                <w:color w:val="000000"/>
                <w:highlight w:val="none"/>
              </w:rPr>
              <w:t>倍以上不</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倍以下（</w:t>
            </w:r>
            <w:r>
              <w:rPr>
                <w:rFonts w:ascii="Times New Roman" w:hAnsi="Times New Roman" w:eastAsia="仿宋_GB2312" w:cs="Times New Roman"/>
                <w:color w:val="000000"/>
                <w:highlight w:val="none"/>
              </w:rPr>
              <w:t>pH</w:t>
            </w:r>
            <w:r>
              <w:rPr>
                <w:rFonts w:hint="eastAsia" w:ascii="Times New Roman" w:hAnsi="Times New Roman" w:eastAsia="仿宋_GB2312" w:cs="仿宋_GB2312"/>
                <w:color w:val="000000"/>
                <w:highlight w:val="none"/>
              </w:rPr>
              <w:t>值</w:t>
            </w:r>
            <w:r>
              <w:rPr>
                <w:rFonts w:ascii="Times New Roman" w:hAnsi="Times New Roman" w:eastAsia="仿宋_GB2312" w:cs="Times New Roman"/>
                <w:color w:val="000000"/>
                <w:highlight w:val="none"/>
              </w:rPr>
              <w:t>9-10</w:t>
            </w:r>
            <w:r>
              <w:rPr>
                <w:rFonts w:hint="eastAsia" w:ascii="Times New Roman" w:hAnsi="Times New Roman" w:eastAsia="仿宋_GB2312" w:cs="仿宋_GB2312"/>
                <w:color w:val="000000"/>
                <w:highlight w:val="none"/>
              </w:rPr>
              <w:t>或</w:t>
            </w:r>
            <w:r>
              <w:rPr>
                <w:rFonts w:ascii="Times New Roman" w:hAnsi="Times New Roman" w:eastAsia="仿宋_GB2312" w:cs="Times New Roman"/>
                <w:color w:val="000000"/>
                <w:highlight w:val="none"/>
              </w:rPr>
              <w:t>pH</w:t>
            </w:r>
            <w:r>
              <w:rPr>
                <w:rFonts w:hint="eastAsia" w:ascii="Times New Roman" w:hAnsi="Times New Roman" w:eastAsia="仿宋_GB2312" w:cs="仿宋_GB2312"/>
                <w:color w:val="000000"/>
                <w:highlight w:val="none"/>
              </w:rPr>
              <w:t>值</w:t>
            </w:r>
            <w:r>
              <w:rPr>
                <w:rFonts w:ascii="Times New Roman" w:hAnsi="Times New Roman" w:eastAsia="仿宋_GB2312" w:cs="Times New Roman"/>
                <w:color w:val="000000"/>
                <w:highlight w:val="none"/>
              </w:rPr>
              <w:t>5-6</w:t>
            </w:r>
            <w:r>
              <w:rPr>
                <w:rFonts w:hint="eastAsia" w:ascii="Times New Roman" w:hAnsi="Times New Roman" w:eastAsia="仿宋_GB2312" w:cs="仿宋_GB2312"/>
                <w:color w:val="000000"/>
                <w:highlight w:val="none"/>
              </w:rPr>
              <w:t>）</w:t>
            </w:r>
            <w:r>
              <w:rPr>
                <w:rFonts w:ascii="Times New Roman" w:hAnsi="Times New Roman" w:eastAsia="仿宋_GB2312" w:cs="Times New Roman"/>
                <w:color w:val="000000"/>
                <w:highlight w:val="none"/>
              </w:rPr>
              <w:t>/</w:t>
            </w:r>
          </w:p>
          <w:p>
            <w:pPr>
              <w:snapToGrid w:val="0"/>
              <w:jc w:val="center"/>
              <w:rPr>
                <w:rFonts w:ascii="Times New Roman" w:hAnsi="Times New Roman" w:cs="宋体"/>
                <w:b/>
                <w:bCs/>
                <w:color w:val="000000"/>
                <w:highlight w:val="none"/>
              </w:rPr>
            </w:pPr>
            <w:r>
              <w:rPr>
                <w:rFonts w:hint="eastAsia" w:ascii="Times New Roman" w:hAnsi="Times New Roman" w:eastAsia="仿宋_GB2312" w:cs="仿宋_GB2312"/>
                <w:color w:val="000000"/>
                <w:highlight w:val="none"/>
              </w:rPr>
              <w:t>超总量</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以上不足</w:t>
            </w:r>
            <w:r>
              <w:rPr>
                <w:rFonts w:ascii="Times New Roman" w:hAnsi="Times New Roman" w:eastAsia="仿宋_GB2312" w:cs="Times New Roman"/>
                <w:color w:val="000000"/>
                <w:highlight w:val="none"/>
              </w:rPr>
              <w:t>10%</w:t>
            </w:r>
          </w:p>
        </w:tc>
        <w:tc>
          <w:tcPr>
            <w:tcW w:w="2013" w:type="dxa"/>
            <w:vAlign w:val="center"/>
          </w:tcPr>
          <w:p>
            <w:pPr>
              <w:snapToGrid w:val="0"/>
              <w:jc w:val="center"/>
              <w:rPr>
                <w:rFonts w:ascii="Times New Roman" w:hAnsi="Times New Roman" w:cs="宋体"/>
                <w:b/>
                <w:bCs/>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宋体"/>
                <w:b/>
                <w:bCs/>
                <w:color w:val="000000"/>
                <w:highlight w:val="none"/>
              </w:rPr>
            </w:pPr>
          </w:p>
        </w:tc>
        <w:tc>
          <w:tcPr>
            <w:tcW w:w="592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超标</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倍以上</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倍以下（</w:t>
            </w:r>
            <w:r>
              <w:rPr>
                <w:rFonts w:ascii="Times New Roman" w:hAnsi="Times New Roman" w:eastAsia="仿宋_GB2312" w:cs="Times New Roman"/>
                <w:color w:val="000000"/>
                <w:highlight w:val="none"/>
              </w:rPr>
              <w:t>pH</w:t>
            </w:r>
            <w:r>
              <w:rPr>
                <w:rFonts w:hint="eastAsia" w:ascii="Times New Roman" w:hAnsi="Times New Roman" w:eastAsia="仿宋_GB2312" w:cs="仿宋_GB2312"/>
                <w:color w:val="000000"/>
                <w:highlight w:val="none"/>
              </w:rPr>
              <w:t>值</w:t>
            </w:r>
            <w:r>
              <w:rPr>
                <w:rFonts w:ascii="Times New Roman" w:hAnsi="Times New Roman" w:eastAsia="仿宋_GB2312" w:cs="Times New Roman"/>
                <w:color w:val="000000"/>
                <w:highlight w:val="none"/>
              </w:rPr>
              <w:t>10-11</w:t>
            </w:r>
            <w:r>
              <w:rPr>
                <w:rFonts w:hint="eastAsia" w:ascii="Times New Roman" w:hAnsi="Times New Roman" w:eastAsia="仿宋_GB2312" w:cs="仿宋_GB2312"/>
                <w:color w:val="000000"/>
                <w:highlight w:val="none"/>
              </w:rPr>
              <w:t>或</w:t>
            </w:r>
            <w:r>
              <w:rPr>
                <w:rFonts w:ascii="Times New Roman" w:hAnsi="Times New Roman" w:eastAsia="仿宋_GB2312" w:cs="Times New Roman"/>
                <w:color w:val="000000"/>
                <w:highlight w:val="none"/>
              </w:rPr>
              <w:t>pH</w:t>
            </w:r>
            <w:r>
              <w:rPr>
                <w:rFonts w:hint="eastAsia" w:ascii="Times New Roman" w:hAnsi="Times New Roman" w:eastAsia="仿宋_GB2312" w:cs="仿宋_GB2312"/>
                <w:color w:val="000000"/>
                <w:highlight w:val="none"/>
              </w:rPr>
              <w:t>值</w:t>
            </w:r>
            <w:r>
              <w:rPr>
                <w:rFonts w:ascii="Times New Roman" w:hAnsi="Times New Roman" w:eastAsia="仿宋_GB2312" w:cs="Times New Roman"/>
                <w:color w:val="000000"/>
                <w:highlight w:val="none"/>
              </w:rPr>
              <w:t>4-5</w:t>
            </w:r>
            <w:r>
              <w:rPr>
                <w:rFonts w:hint="eastAsia" w:ascii="Times New Roman" w:hAnsi="Times New Roman" w:eastAsia="仿宋_GB2312" w:cs="仿宋_GB2312"/>
                <w:color w:val="000000"/>
                <w:highlight w:val="none"/>
              </w:rPr>
              <w:t>）</w:t>
            </w:r>
            <w:r>
              <w:rPr>
                <w:rFonts w:ascii="Times New Roman" w:hAnsi="Times New Roman" w:eastAsia="仿宋_GB2312" w:cs="Times New Roman"/>
                <w:color w:val="000000"/>
                <w:highlight w:val="none"/>
              </w:rPr>
              <w:t>/</w:t>
            </w:r>
          </w:p>
          <w:p>
            <w:pPr>
              <w:snapToGrid w:val="0"/>
              <w:jc w:val="center"/>
              <w:rPr>
                <w:rFonts w:ascii="Times New Roman" w:hAnsi="Times New Roman" w:cs="宋体"/>
                <w:b/>
                <w:bCs/>
                <w:color w:val="000000"/>
                <w:highlight w:val="none"/>
              </w:rPr>
            </w:pPr>
            <w:r>
              <w:rPr>
                <w:rFonts w:hint="eastAsia" w:ascii="Times New Roman" w:hAnsi="Times New Roman" w:eastAsia="仿宋_GB2312" w:cs="仿宋_GB2312"/>
                <w:color w:val="000000"/>
                <w:highlight w:val="none"/>
              </w:rPr>
              <w:t>超总量</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以上不足</w:t>
            </w:r>
            <w:r>
              <w:rPr>
                <w:rFonts w:ascii="Times New Roman" w:hAnsi="Times New Roman" w:eastAsia="仿宋_GB2312" w:cs="Times New Roman"/>
                <w:color w:val="000000"/>
                <w:highlight w:val="none"/>
              </w:rPr>
              <w:t>15%</w:t>
            </w:r>
          </w:p>
        </w:tc>
        <w:tc>
          <w:tcPr>
            <w:tcW w:w="2013" w:type="dxa"/>
            <w:vAlign w:val="center"/>
          </w:tcPr>
          <w:p>
            <w:pPr>
              <w:snapToGrid w:val="0"/>
              <w:jc w:val="center"/>
              <w:rPr>
                <w:rFonts w:ascii="Times New Roman" w:hAnsi="Times New Roman" w:cs="宋体"/>
                <w:b/>
                <w:bCs/>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宋体"/>
                <w:b/>
                <w:bCs/>
                <w:color w:val="000000"/>
                <w:highlight w:val="none"/>
              </w:rPr>
            </w:pPr>
          </w:p>
        </w:tc>
        <w:tc>
          <w:tcPr>
            <w:tcW w:w="592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超标</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倍以上</w:t>
            </w: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倍以下（</w:t>
            </w:r>
            <w:r>
              <w:rPr>
                <w:rFonts w:ascii="Times New Roman" w:hAnsi="Times New Roman" w:eastAsia="仿宋_GB2312" w:cs="Times New Roman"/>
                <w:color w:val="000000"/>
                <w:highlight w:val="none"/>
              </w:rPr>
              <w:t>pH</w:t>
            </w:r>
            <w:r>
              <w:rPr>
                <w:rFonts w:hint="eastAsia" w:ascii="Times New Roman" w:hAnsi="Times New Roman" w:eastAsia="仿宋_GB2312" w:cs="仿宋_GB2312"/>
                <w:color w:val="000000"/>
                <w:highlight w:val="none"/>
              </w:rPr>
              <w:t>值</w:t>
            </w:r>
            <w:r>
              <w:rPr>
                <w:rFonts w:ascii="Times New Roman" w:hAnsi="Times New Roman" w:eastAsia="仿宋_GB2312" w:cs="Times New Roman"/>
                <w:color w:val="000000"/>
                <w:highlight w:val="none"/>
              </w:rPr>
              <w:t>11-12.5</w:t>
            </w:r>
            <w:r>
              <w:rPr>
                <w:rFonts w:hint="eastAsia" w:ascii="Times New Roman" w:hAnsi="Times New Roman" w:eastAsia="仿宋_GB2312" w:cs="仿宋_GB2312"/>
                <w:color w:val="000000"/>
                <w:highlight w:val="none"/>
              </w:rPr>
              <w:t>或</w:t>
            </w:r>
            <w:r>
              <w:rPr>
                <w:rFonts w:ascii="Times New Roman" w:hAnsi="Times New Roman" w:eastAsia="仿宋_GB2312" w:cs="Times New Roman"/>
                <w:color w:val="000000"/>
                <w:highlight w:val="none"/>
              </w:rPr>
              <w:t>pH</w:t>
            </w:r>
            <w:r>
              <w:rPr>
                <w:rFonts w:hint="eastAsia" w:ascii="Times New Roman" w:hAnsi="Times New Roman" w:eastAsia="仿宋_GB2312" w:cs="仿宋_GB2312"/>
                <w:color w:val="000000"/>
                <w:highlight w:val="none"/>
              </w:rPr>
              <w:t>值</w:t>
            </w:r>
            <w:r>
              <w:rPr>
                <w:rFonts w:ascii="Times New Roman" w:hAnsi="Times New Roman" w:eastAsia="仿宋_GB2312" w:cs="Times New Roman"/>
                <w:color w:val="000000"/>
                <w:highlight w:val="none"/>
              </w:rPr>
              <w:t>2-4</w:t>
            </w:r>
            <w:r>
              <w:rPr>
                <w:rFonts w:hint="eastAsia" w:ascii="Times New Roman" w:hAnsi="Times New Roman" w:eastAsia="仿宋_GB2312" w:cs="仿宋_GB2312"/>
                <w:color w:val="000000"/>
                <w:highlight w:val="none"/>
              </w:rPr>
              <w:t>）</w:t>
            </w:r>
            <w:r>
              <w:rPr>
                <w:rFonts w:ascii="Times New Roman" w:hAnsi="Times New Roman" w:eastAsia="仿宋_GB2312" w:cs="Times New Roman"/>
                <w:color w:val="000000"/>
                <w:highlight w:val="none"/>
              </w:rPr>
              <w:t>/</w:t>
            </w:r>
          </w:p>
          <w:p>
            <w:pPr>
              <w:snapToGrid w:val="0"/>
              <w:jc w:val="center"/>
              <w:rPr>
                <w:rFonts w:ascii="Times New Roman" w:hAnsi="Times New Roman" w:cs="宋体"/>
                <w:b/>
                <w:bCs/>
                <w:color w:val="000000"/>
                <w:highlight w:val="none"/>
              </w:rPr>
            </w:pPr>
            <w:r>
              <w:rPr>
                <w:rFonts w:hint="eastAsia" w:ascii="Times New Roman" w:hAnsi="Times New Roman" w:eastAsia="仿宋_GB2312" w:cs="仿宋_GB2312"/>
                <w:color w:val="000000"/>
                <w:highlight w:val="none"/>
              </w:rPr>
              <w:t>超总量</w:t>
            </w:r>
            <w:r>
              <w:rPr>
                <w:rFonts w:ascii="Times New Roman" w:hAnsi="Times New Roman" w:eastAsia="仿宋_GB2312" w:cs="Times New Roman"/>
                <w:color w:val="000000"/>
                <w:highlight w:val="none"/>
              </w:rPr>
              <w:t>15%</w:t>
            </w:r>
            <w:r>
              <w:rPr>
                <w:rFonts w:hint="eastAsia" w:ascii="Times New Roman" w:hAnsi="Times New Roman" w:eastAsia="仿宋_GB2312" w:cs="仿宋_GB2312"/>
                <w:color w:val="000000"/>
                <w:highlight w:val="none"/>
              </w:rPr>
              <w:t>以上不足</w:t>
            </w:r>
            <w:r>
              <w:rPr>
                <w:rFonts w:ascii="Times New Roman" w:hAnsi="Times New Roman" w:eastAsia="仿宋_GB2312" w:cs="Times New Roman"/>
                <w:color w:val="000000"/>
                <w:highlight w:val="none"/>
              </w:rPr>
              <w:t>20%</w:t>
            </w:r>
          </w:p>
        </w:tc>
        <w:tc>
          <w:tcPr>
            <w:tcW w:w="2013" w:type="dxa"/>
            <w:vAlign w:val="center"/>
          </w:tcPr>
          <w:p>
            <w:pPr>
              <w:snapToGrid w:val="0"/>
              <w:jc w:val="center"/>
              <w:rPr>
                <w:rFonts w:ascii="Times New Roman" w:hAnsi="Times New Roman" w:cs="宋体"/>
                <w:b/>
                <w:bCs/>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宋体"/>
                <w:b/>
                <w:bCs/>
                <w:color w:val="000000"/>
                <w:highlight w:val="none"/>
              </w:rPr>
            </w:pPr>
          </w:p>
        </w:tc>
        <w:tc>
          <w:tcPr>
            <w:tcW w:w="592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超标</w:t>
            </w: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倍以上（</w:t>
            </w:r>
            <w:r>
              <w:rPr>
                <w:rFonts w:ascii="Times New Roman" w:hAnsi="Times New Roman" w:eastAsia="仿宋_GB2312" w:cs="Times New Roman"/>
                <w:color w:val="000000"/>
                <w:highlight w:val="none"/>
              </w:rPr>
              <w:t>pH</w:t>
            </w:r>
            <w:r>
              <w:rPr>
                <w:rFonts w:hint="eastAsia" w:ascii="Times New Roman" w:hAnsi="Times New Roman" w:eastAsia="仿宋_GB2312" w:cs="仿宋_GB2312"/>
                <w:color w:val="000000"/>
                <w:highlight w:val="none"/>
              </w:rPr>
              <w:t>值</w:t>
            </w:r>
            <w:r>
              <w:rPr>
                <w:rFonts w:ascii="Times New Roman" w:hAnsi="Times New Roman" w:eastAsia="仿宋_GB2312" w:cs="Times New Roman"/>
                <w:color w:val="000000"/>
                <w:highlight w:val="none"/>
              </w:rPr>
              <w:t>12.5</w:t>
            </w:r>
            <w:r>
              <w:rPr>
                <w:rFonts w:hint="eastAsia" w:ascii="Times New Roman" w:hAnsi="Times New Roman" w:eastAsia="仿宋_GB2312" w:cs="仿宋_GB2312"/>
                <w:color w:val="000000"/>
                <w:highlight w:val="none"/>
              </w:rPr>
              <w:t>以上或</w:t>
            </w:r>
            <w:r>
              <w:rPr>
                <w:rFonts w:ascii="Times New Roman" w:hAnsi="Times New Roman" w:eastAsia="仿宋_GB2312" w:cs="Times New Roman"/>
                <w:color w:val="000000"/>
                <w:highlight w:val="none"/>
              </w:rPr>
              <w:t>pH</w:t>
            </w:r>
            <w:r>
              <w:rPr>
                <w:rFonts w:hint="eastAsia" w:ascii="Times New Roman" w:hAnsi="Times New Roman" w:eastAsia="仿宋_GB2312" w:cs="仿宋_GB2312"/>
                <w:color w:val="000000"/>
                <w:highlight w:val="none"/>
              </w:rPr>
              <w:t>值</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以下）</w:t>
            </w:r>
            <w:r>
              <w:rPr>
                <w:rFonts w:ascii="Times New Roman" w:hAnsi="Times New Roman" w:eastAsia="仿宋_GB2312" w:cs="Times New Roman"/>
                <w:color w:val="000000"/>
                <w:highlight w:val="none"/>
              </w:rPr>
              <w:t>/</w:t>
            </w:r>
          </w:p>
          <w:p>
            <w:pPr>
              <w:snapToGrid w:val="0"/>
              <w:jc w:val="center"/>
              <w:rPr>
                <w:rFonts w:ascii="Times New Roman" w:hAnsi="Times New Roman" w:cs="宋体"/>
                <w:b/>
                <w:bCs/>
                <w:color w:val="000000"/>
                <w:highlight w:val="none"/>
              </w:rPr>
            </w:pPr>
            <w:r>
              <w:rPr>
                <w:rFonts w:hint="eastAsia" w:ascii="Times New Roman" w:hAnsi="Times New Roman" w:eastAsia="仿宋_GB2312" w:cs="仿宋_GB2312"/>
                <w:color w:val="000000"/>
                <w:highlight w:val="none"/>
              </w:rPr>
              <w:t>超总量</w:t>
            </w: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以上</w:t>
            </w:r>
          </w:p>
        </w:tc>
        <w:tc>
          <w:tcPr>
            <w:tcW w:w="2013" w:type="dxa"/>
            <w:vAlign w:val="center"/>
          </w:tcPr>
          <w:p>
            <w:pPr>
              <w:snapToGrid w:val="0"/>
              <w:jc w:val="center"/>
              <w:rPr>
                <w:rFonts w:ascii="Times New Roman" w:hAnsi="Times New Roman" w:cs="宋体"/>
                <w:b/>
                <w:bCs/>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widowControl/>
              <w:jc w:val="center"/>
              <w:textAlignment w:val="center"/>
              <w:rPr>
                <w:rFonts w:ascii="Times New Roman" w:hAnsi="Times New Roman" w:cs="宋体"/>
                <w:b/>
                <w:bCs/>
                <w:color w:val="000000"/>
                <w:highlight w:val="none"/>
              </w:rPr>
            </w:pPr>
            <w:r>
              <w:rPr>
                <w:rFonts w:hint="eastAsia" w:ascii="Times New Roman" w:hAnsi="Times New Roman" w:cs="宋体"/>
                <w:b/>
                <w:bCs/>
                <w:color w:val="000000"/>
                <w:highlight w:val="none"/>
              </w:rPr>
              <w:t>水日排放量★</w:t>
            </w:r>
          </w:p>
        </w:tc>
        <w:tc>
          <w:tcPr>
            <w:tcW w:w="5925" w:type="dxa"/>
            <w:vAlign w:val="center"/>
          </w:tcPr>
          <w:p>
            <w:pPr>
              <w:snapToGrid w:val="0"/>
              <w:jc w:val="center"/>
              <w:rPr>
                <w:rFonts w:ascii="Times New Roman" w:hAnsi="Times New Roman" w:cs="宋体"/>
                <w:b/>
                <w:bCs/>
                <w:color w:val="000000"/>
                <w:highlight w:val="none"/>
              </w:rPr>
            </w:pP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吨（一般排污单位）</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万吨（生活污水处理厂）</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2000</w:t>
            </w:r>
            <w:r>
              <w:rPr>
                <w:rFonts w:hint="eastAsia" w:ascii="Times New Roman" w:hAnsi="Times New Roman" w:eastAsia="仿宋_GB2312" w:cs="仿宋_GB2312"/>
                <w:color w:val="000000"/>
                <w:highlight w:val="none"/>
              </w:rPr>
              <w:t>吨（工业污水处理厂）</w:t>
            </w:r>
          </w:p>
        </w:tc>
        <w:tc>
          <w:tcPr>
            <w:tcW w:w="2013" w:type="dxa"/>
            <w:vAlign w:val="center"/>
          </w:tcPr>
          <w:p>
            <w:pPr>
              <w:widowControl/>
              <w:jc w:val="center"/>
              <w:textAlignment w:val="center"/>
              <w:rPr>
                <w:rFonts w:ascii="Times New Roman" w:hAnsi="Times New Roman" w:cs="宋体"/>
                <w:b/>
                <w:bCs/>
                <w:color w:val="000000"/>
                <w:highlight w:val="none"/>
              </w:rPr>
            </w:pPr>
            <w:r>
              <w:rPr>
                <w:rFonts w:ascii="Times New Roman" w:hAnsi="Times New Roman" w:cs="Times New Roman"/>
                <w:color w:val="000000"/>
                <w:kern w:val="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宋体"/>
                <w:b/>
                <w:bCs/>
                <w:color w:val="000000"/>
                <w:highlight w:val="none"/>
              </w:rPr>
            </w:pPr>
          </w:p>
        </w:tc>
        <w:tc>
          <w:tcPr>
            <w:tcW w:w="5925" w:type="dxa"/>
            <w:vAlign w:val="center"/>
          </w:tcPr>
          <w:p>
            <w:pPr>
              <w:snapToGrid w:val="0"/>
              <w:jc w:val="center"/>
              <w:rPr>
                <w:rFonts w:ascii="Times New Roman" w:hAnsi="Times New Roman" w:cs="宋体"/>
                <w:b/>
                <w:bCs/>
                <w:color w:val="000000"/>
                <w:highlight w:val="none"/>
              </w:rPr>
            </w:pP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吨以上不足</w:t>
            </w:r>
            <w:r>
              <w:rPr>
                <w:rFonts w:ascii="Times New Roman" w:hAnsi="Times New Roman" w:eastAsia="仿宋_GB2312" w:cs="Times New Roman"/>
                <w:color w:val="000000"/>
                <w:highlight w:val="none"/>
              </w:rPr>
              <w:t>100</w:t>
            </w:r>
            <w:r>
              <w:rPr>
                <w:rFonts w:hint="eastAsia" w:ascii="Times New Roman" w:hAnsi="Times New Roman" w:eastAsia="仿宋_GB2312" w:cs="仿宋_GB2312"/>
                <w:color w:val="000000"/>
                <w:highlight w:val="none"/>
              </w:rPr>
              <w:t>吨（一般排污单位）</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万吨以上不足</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万吨（生活污水处理厂）</w:t>
            </w:r>
            <w:r>
              <w:rPr>
                <w:rFonts w:ascii="Times New Roman" w:hAnsi="Times New Roman" w:eastAsia="仿宋_GB2312" w:cs="Times New Roman"/>
                <w:color w:val="000000"/>
                <w:highlight w:val="none"/>
              </w:rPr>
              <w:t>/ 2000</w:t>
            </w:r>
            <w:r>
              <w:rPr>
                <w:rFonts w:hint="eastAsia" w:ascii="Times New Roman" w:hAnsi="Times New Roman" w:eastAsia="仿宋_GB2312" w:cs="仿宋_GB2312"/>
                <w:color w:val="000000"/>
                <w:highlight w:val="none"/>
              </w:rPr>
              <w:t>吨以上不足</w:t>
            </w:r>
            <w:r>
              <w:rPr>
                <w:rFonts w:ascii="Times New Roman" w:hAnsi="Times New Roman" w:eastAsia="仿宋_GB2312" w:cs="Times New Roman"/>
                <w:color w:val="000000"/>
                <w:highlight w:val="none"/>
              </w:rPr>
              <w:t>5000</w:t>
            </w:r>
            <w:r>
              <w:rPr>
                <w:rFonts w:hint="eastAsia" w:ascii="Times New Roman" w:hAnsi="Times New Roman" w:eastAsia="仿宋_GB2312" w:cs="仿宋_GB2312"/>
                <w:color w:val="000000"/>
                <w:highlight w:val="none"/>
              </w:rPr>
              <w:t>吨（工业污水处理厂）</w:t>
            </w:r>
          </w:p>
        </w:tc>
        <w:tc>
          <w:tcPr>
            <w:tcW w:w="2013" w:type="dxa"/>
            <w:vAlign w:val="center"/>
          </w:tcPr>
          <w:p>
            <w:pPr>
              <w:snapToGrid w:val="0"/>
              <w:jc w:val="center"/>
              <w:rPr>
                <w:rFonts w:ascii="Times New Roman" w:hAnsi="Times New Roman" w:cs="宋体"/>
                <w:b/>
                <w:bCs/>
                <w:color w:val="000000"/>
                <w:highlight w:val="none"/>
              </w:rPr>
            </w:pPr>
            <w:r>
              <w:rPr>
                <w:rFonts w:ascii="Times New Roman" w:hAnsi="Times New Roman" w:cs="Times New Roman"/>
                <w:color w:val="000000"/>
                <w:kern w:val="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宋体"/>
                <w:b/>
                <w:bCs/>
                <w:color w:val="000000"/>
                <w:highlight w:val="none"/>
              </w:rPr>
            </w:pPr>
          </w:p>
        </w:tc>
        <w:tc>
          <w:tcPr>
            <w:tcW w:w="5925" w:type="dxa"/>
            <w:vAlign w:val="center"/>
          </w:tcPr>
          <w:p>
            <w:pPr>
              <w:snapToGrid w:val="0"/>
              <w:jc w:val="center"/>
              <w:rPr>
                <w:rFonts w:ascii="Times New Roman" w:hAnsi="Times New Roman" w:cs="宋体"/>
                <w:b/>
                <w:bCs/>
                <w:color w:val="000000"/>
                <w:highlight w:val="none"/>
              </w:rPr>
            </w:pPr>
            <w:r>
              <w:rPr>
                <w:rFonts w:ascii="Times New Roman" w:hAnsi="Times New Roman" w:eastAsia="仿宋_GB2312" w:cs="Times New Roman"/>
                <w:color w:val="000000"/>
                <w:highlight w:val="none"/>
              </w:rPr>
              <w:t>100</w:t>
            </w:r>
            <w:r>
              <w:rPr>
                <w:rFonts w:hint="eastAsia" w:ascii="Times New Roman" w:hAnsi="Times New Roman" w:eastAsia="仿宋_GB2312" w:cs="仿宋_GB2312"/>
                <w:color w:val="000000"/>
                <w:highlight w:val="none"/>
              </w:rPr>
              <w:t>吨以上不足</w:t>
            </w:r>
            <w:r>
              <w:rPr>
                <w:rFonts w:ascii="Times New Roman" w:hAnsi="Times New Roman" w:eastAsia="仿宋_GB2312" w:cs="Times New Roman"/>
                <w:color w:val="000000"/>
                <w:highlight w:val="none"/>
              </w:rPr>
              <w:t>500</w:t>
            </w:r>
            <w:r>
              <w:rPr>
                <w:rFonts w:hint="eastAsia" w:ascii="Times New Roman" w:hAnsi="Times New Roman" w:eastAsia="仿宋_GB2312" w:cs="仿宋_GB2312"/>
                <w:color w:val="000000"/>
                <w:highlight w:val="none"/>
              </w:rPr>
              <w:t>吨（一般排污单位）</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万吨以上不足</w:t>
            </w: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万吨（生活污水处理厂）</w:t>
            </w:r>
            <w:r>
              <w:rPr>
                <w:rFonts w:ascii="Times New Roman" w:hAnsi="Times New Roman" w:eastAsia="仿宋_GB2312" w:cs="Times New Roman"/>
                <w:color w:val="000000"/>
                <w:highlight w:val="none"/>
              </w:rPr>
              <w:t>/5000</w:t>
            </w:r>
            <w:r>
              <w:rPr>
                <w:rFonts w:hint="eastAsia" w:ascii="Times New Roman" w:hAnsi="Times New Roman" w:eastAsia="仿宋_GB2312" w:cs="仿宋_GB2312"/>
                <w:color w:val="000000"/>
                <w:highlight w:val="none"/>
              </w:rPr>
              <w:t>吨以上不足</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万吨（工业污水处理厂）</w:t>
            </w:r>
          </w:p>
        </w:tc>
        <w:tc>
          <w:tcPr>
            <w:tcW w:w="2013" w:type="dxa"/>
            <w:vAlign w:val="center"/>
          </w:tcPr>
          <w:p>
            <w:pPr>
              <w:snapToGrid w:val="0"/>
              <w:jc w:val="center"/>
              <w:rPr>
                <w:rFonts w:ascii="Times New Roman" w:hAnsi="Times New Roman" w:cs="宋体"/>
                <w:b/>
                <w:bCs/>
                <w:color w:val="000000"/>
                <w:highlight w:val="none"/>
              </w:rPr>
            </w:pPr>
            <w:r>
              <w:rPr>
                <w:rFonts w:ascii="Times New Roman" w:hAnsi="Times New Roman" w:cs="Times New Roman"/>
                <w:color w:val="000000"/>
                <w:kern w:val="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宋体"/>
                <w:b/>
                <w:bCs/>
                <w:color w:val="000000"/>
                <w:highlight w:val="none"/>
              </w:rPr>
            </w:pPr>
          </w:p>
        </w:tc>
        <w:tc>
          <w:tcPr>
            <w:tcW w:w="5925" w:type="dxa"/>
            <w:vAlign w:val="center"/>
          </w:tcPr>
          <w:p>
            <w:pPr>
              <w:snapToGrid w:val="0"/>
              <w:jc w:val="center"/>
              <w:rPr>
                <w:rFonts w:ascii="Times New Roman" w:hAnsi="Times New Roman" w:cs="宋体"/>
                <w:b/>
                <w:bCs/>
                <w:color w:val="000000"/>
                <w:highlight w:val="none"/>
              </w:rPr>
            </w:pPr>
            <w:r>
              <w:rPr>
                <w:rFonts w:ascii="Times New Roman" w:hAnsi="Times New Roman" w:eastAsia="仿宋_GB2312" w:cs="Times New Roman"/>
                <w:color w:val="000000"/>
                <w:highlight w:val="none"/>
              </w:rPr>
              <w:t>500</w:t>
            </w:r>
            <w:r>
              <w:rPr>
                <w:rFonts w:hint="eastAsia" w:ascii="Times New Roman" w:hAnsi="Times New Roman" w:eastAsia="仿宋_GB2312" w:cs="仿宋_GB2312"/>
                <w:color w:val="000000"/>
                <w:highlight w:val="none"/>
              </w:rPr>
              <w:t>吨以上不足</w:t>
            </w:r>
            <w:r>
              <w:rPr>
                <w:rFonts w:ascii="Times New Roman" w:hAnsi="Times New Roman" w:eastAsia="仿宋_GB2312" w:cs="Times New Roman"/>
                <w:color w:val="000000"/>
                <w:highlight w:val="none"/>
              </w:rPr>
              <w:t>1000</w:t>
            </w:r>
            <w:r>
              <w:rPr>
                <w:rFonts w:hint="eastAsia" w:ascii="Times New Roman" w:hAnsi="Times New Roman" w:eastAsia="仿宋_GB2312" w:cs="仿宋_GB2312"/>
                <w:color w:val="000000"/>
                <w:highlight w:val="none"/>
              </w:rPr>
              <w:t>吨（一般排污单位）</w:t>
            </w: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万吨以上不足</w:t>
            </w:r>
            <w:r>
              <w:rPr>
                <w:rFonts w:ascii="Times New Roman" w:hAnsi="Times New Roman" w:eastAsia="仿宋_GB2312" w:cs="Times New Roman"/>
                <w:color w:val="000000"/>
                <w:highlight w:val="none"/>
              </w:rPr>
              <w:t>50</w:t>
            </w:r>
            <w:r>
              <w:rPr>
                <w:rFonts w:hint="eastAsia" w:ascii="Times New Roman" w:hAnsi="Times New Roman" w:eastAsia="仿宋_GB2312" w:cs="仿宋_GB2312"/>
                <w:color w:val="000000"/>
                <w:highlight w:val="none"/>
              </w:rPr>
              <w:t>万吨（生活污水处理厂）</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万吨以上不足</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万吨（工业污水处理厂）</w:t>
            </w:r>
          </w:p>
        </w:tc>
        <w:tc>
          <w:tcPr>
            <w:tcW w:w="2013" w:type="dxa"/>
            <w:vAlign w:val="center"/>
          </w:tcPr>
          <w:p>
            <w:pPr>
              <w:snapToGrid w:val="0"/>
              <w:jc w:val="center"/>
              <w:rPr>
                <w:rFonts w:ascii="Times New Roman" w:hAnsi="Times New Roman" w:cs="宋体"/>
                <w:b/>
                <w:bCs/>
                <w:color w:val="000000"/>
                <w:highlight w:val="none"/>
              </w:rPr>
            </w:pPr>
            <w:r>
              <w:rPr>
                <w:rFonts w:ascii="Times New Roman" w:hAnsi="Times New Roman" w:cs="Times New Roman"/>
                <w:color w:val="000000"/>
                <w:kern w:val="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宋体"/>
                <w:b/>
                <w:bCs/>
                <w:color w:val="000000"/>
                <w:highlight w:val="none"/>
              </w:rPr>
            </w:pPr>
          </w:p>
        </w:tc>
        <w:tc>
          <w:tcPr>
            <w:tcW w:w="5925" w:type="dxa"/>
            <w:vAlign w:val="center"/>
          </w:tcPr>
          <w:p>
            <w:pPr>
              <w:pStyle w:val="11"/>
              <w:snapToGrid w:val="0"/>
              <w:jc w:val="center"/>
              <w:rPr>
                <w:rFonts w:ascii="Times New Roman" w:hAnsi="Times New Roman"/>
                <w:b/>
                <w:bCs/>
                <w:color w:val="000000"/>
                <w:highlight w:val="none"/>
              </w:rPr>
            </w:pPr>
            <w:r>
              <w:rPr>
                <w:rFonts w:ascii="Times New Roman" w:hAnsi="Times New Roman" w:eastAsia="仿宋_GB2312" w:cs="Times New Roman"/>
                <w:color w:val="000000"/>
                <w:sz w:val="21"/>
                <w:szCs w:val="21"/>
                <w:highlight w:val="none"/>
              </w:rPr>
              <w:t>1000</w:t>
            </w:r>
            <w:r>
              <w:rPr>
                <w:rFonts w:hint="eastAsia" w:ascii="Times New Roman" w:hAnsi="Times New Roman" w:eastAsia="仿宋_GB2312" w:cs="仿宋_GB2312"/>
                <w:color w:val="000000"/>
                <w:sz w:val="21"/>
                <w:szCs w:val="21"/>
                <w:highlight w:val="none"/>
              </w:rPr>
              <w:t>吨以上（一般排污单位）</w:t>
            </w:r>
            <w:r>
              <w:rPr>
                <w:rFonts w:ascii="Times New Roman" w:hAnsi="Times New Roman" w:eastAsia="仿宋_GB2312" w:cs="Times New Roman"/>
                <w:color w:val="000000"/>
                <w:sz w:val="21"/>
                <w:szCs w:val="21"/>
                <w:highlight w:val="none"/>
              </w:rPr>
              <w:t>/50</w:t>
            </w:r>
            <w:r>
              <w:rPr>
                <w:rFonts w:hint="eastAsia" w:ascii="Times New Roman" w:hAnsi="Times New Roman" w:eastAsia="仿宋_GB2312" w:cs="仿宋_GB2312"/>
                <w:color w:val="000000"/>
                <w:sz w:val="21"/>
                <w:szCs w:val="21"/>
                <w:highlight w:val="none"/>
              </w:rPr>
              <w:t>万吨以上（生活污水处理厂）</w:t>
            </w:r>
            <w:r>
              <w:rPr>
                <w:rFonts w:ascii="Times New Roman" w:hAnsi="Times New Roman" w:eastAsia="仿宋_GB2312" w:cs="Times New Roman"/>
                <w:color w:val="000000"/>
                <w:sz w:val="21"/>
                <w:szCs w:val="21"/>
                <w:highlight w:val="none"/>
              </w:rPr>
              <w:t>/5</w:t>
            </w:r>
            <w:r>
              <w:rPr>
                <w:rFonts w:hint="eastAsia" w:ascii="Times New Roman" w:hAnsi="Times New Roman" w:eastAsia="仿宋_GB2312" w:cs="仿宋_GB2312"/>
                <w:color w:val="000000"/>
                <w:sz w:val="21"/>
                <w:szCs w:val="21"/>
                <w:highlight w:val="none"/>
              </w:rPr>
              <w:t>万吨以上（工业污水处理厂）</w:t>
            </w:r>
          </w:p>
        </w:tc>
        <w:tc>
          <w:tcPr>
            <w:tcW w:w="2013" w:type="dxa"/>
            <w:vAlign w:val="center"/>
          </w:tcPr>
          <w:p>
            <w:pPr>
              <w:snapToGrid w:val="0"/>
              <w:jc w:val="center"/>
              <w:rPr>
                <w:rFonts w:ascii="Times New Roman" w:hAnsi="Times New Roman" w:cs="宋体"/>
                <w:b/>
                <w:bCs/>
                <w:color w:val="000000"/>
                <w:highlight w:val="none"/>
              </w:rPr>
            </w:pPr>
            <w:r>
              <w:rPr>
                <w:rFonts w:ascii="Times New Roman" w:hAnsi="Times New Roman" w:cs="Times New Roman"/>
                <w:color w:val="000000"/>
                <w:kern w:val="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项目应编制的环评文件类型</w:t>
            </w:r>
          </w:p>
        </w:tc>
        <w:tc>
          <w:tcPr>
            <w:tcW w:w="592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登记表</w:t>
            </w:r>
          </w:p>
        </w:tc>
        <w:tc>
          <w:tcPr>
            <w:tcW w:w="20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92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报告表</w:t>
            </w:r>
          </w:p>
        </w:tc>
        <w:tc>
          <w:tcPr>
            <w:tcW w:w="20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92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报告书</w:t>
            </w:r>
          </w:p>
        </w:tc>
        <w:tc>
          <w:tcPr>
            <w:tcW w:w="20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污染物类别</w:t>
            </w:r>
          </w:p>
        </w:tc>
        <w:tc>
          <w:tcPr>
            <w:tcW w:w="592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生活废水</w:t>
            </w:r>
            <w:r>
              <w:rPr>
                <w:rFonts w:ascii="Times New Roman" w:hAnsi="Times New Roman" w:eastAsia="仿宋_GB2312" w:cs="Times New Roman"/>
                <w:color w:val="000000"/>
                <w:highlight w:val="none"/>
              </w:rPr>
              <w:t>/</w:t>
            </w:r>
            <w:r>
              <w:rPr>
                <w:rFonts w:hint="eastAsia" w:ascii="宋体" w:hAnsi="宋体" w:cs="宋体"/>
                <w:color w:val="000000"/>
                <w:highlight w:val="none"/>
              </w:rPr>
              <w:t>Ⅰ</w:t>
            </w:r>
            <w:r>
              <w:rPr>
                <w:rFonts w:hint="eastAsia" w:ascii="Times New Roman" w:hAnsi="Times New Roman" w:eastAsia="仿宋_GB2312" w:cs="仿宋_GB2312"/>
                <w:color w:val="000000"/>
                <w:highlight w:val="none"/>
              </w:rPr>
              <w:t>类一般工业固体废物</w:t>
            </w:r>
          </w:p>
        </w:tc>
        <w:tc>
          <w:tcPr>
            <w:tcW w:w="2013" w:type="dxa"/>
            <w:vAlign w:val="center"/>
          </w:tcPr>
          <w:p>
            <w:pPr>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92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服务业废水</w:t>
            </w:r>
          </w:p>
        </w:tc>
        <w:tc>
          <w:tcPr>
            <w:tcW w:w="20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92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一般工业废水</w:t>
            </w:r>
            <w:r>
              <w:rPr>
                <w:rFonts w:ascii="Times New Roman" w:hAnsi="Times New Roman" w:eastAsia="仿宋_GB2312" w:cs="Times New Roman"/>
                <w:color w:val="000000"/>
                <w:highlight w:val="none"/>
              </w:rPr>
              <w:t>/</w:t>
            </w:r>
            <w:r>
              <w:rPr>
                <w:rFonts w:hint="eastAsia" w:ascii="宋体" w:hAnsi="宋体" w:cs="宋体"/>
                <w:color w:val="000000"/>
                <w:highlight w:val="none"/>
              </w:rPr>
              <w:t>Ⅱ</w:t>
            </w:r>
            <w:r>
              <w:rPr>
                <w:rFonts w:hint="eastAsia" w:ascii="Times New Roman" w:hAnsi="Times New Roman" w:eastAsia="仿宋_GB2312" w:cs="仿宋_GB2312"/>
                <w:color w:val="000000"/>
                <w:highlight w:val="none"/>
              </w:rPr>
              <w:t>类一般工业固体废物</w:t>
            </w:r>
          </w:p>
        </w:tc>
        <w:tc>
          <w:tcPr>
            <w:tcW w:w="20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92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含其他有毒有害物质的废水、医疗废水</w:t>
            </w:r>
          </w:p>
        </w:tc>
        <w:tc>
          <w:tcPr>
            <w:tcW w:w="20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92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含一类污染物或重金属、病原体、放射性物质的废水</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危险废物</w:t>
            </w:r>
          </w:p>
        </w:tc>
        <w:tc>
          <w:tcPr>
            <w:tcW w:w="20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海洋功能</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区划</w:t>
            </w:r>
          </w:p>
        </w:tc>
        <w:tc>
          <w:tcPr>
            <w:tcW w:w="592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工业与城镇用海区</w:t>
            </w:r>
          </w:p>
        </w:tc>
        <w:tc>
          <w:tcPr>
            <w:tcW w:w="20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92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港口航运区、农渔业区</w:t>
            </w:r>
          </w:p>
        </w:tc>
        <w:tc>
          <w:tcPr>
            <w:tcW w:w="20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92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旅游休闲娱乐区</w:t>
            </w:r>
          </w:p>
        </w:tc>
        <w:tc>
          <w:tcPr>
            <w:tcW w:w="20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92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矿产与能源区</w:t>
            </w:r>
          </w:p>
        </w:tc>
        <w:tc>
          <w:tcPr>
            <w:tcW w:w="20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92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海洋保护区、特殊利用区、保留区等需要特殊保护的区域</w:t>
            </w:r>
          </w:p>
        </w:tc>
        <w:tc>
          <w:tcPr>
            <w:tcW w:w="20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超标或者</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超总量因子个数</w:t>
            </w:r>
          </w:p>
        </w:tc>
        <w:tc>
          <w:tcPr>
            <w:tcW w:w="592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w:t>
            </w:r>
          </w:p>
        </w:tc>
        <w:tc>
          <w:tcPr>
            <w:tcW w:w="201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92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个</w:t>
            </w:r>
          </w:p>
        </w:tc>
        <w:tc>
          <w:tcPr>
            <w:tcW w:w="201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92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个及以上</w:t>
            </w:r>
          </w:p>
        </w:tc>
        <w:tc>
          <w:tcPr>
            <w:tcW w:w="201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938" w:type="dxa"/>
            <w:gridSpan w:val="2"/>
            <w:vAlign w:val="center"/>
          </w:tcPr>
          <w:p>
            <w:pPr>
              <w:snapToGrid w:val="0"/>
              <w:rPr>
                <w:rFonts w:ascii="Times New Roman" w:hAnsi="Times New Roman" w:eastAsia="仿宋_GB2312" w:cs="Times New Roman"/>
                <w:color w:val="000000"/>
                <w:highlight w:val="none"/>
              </w:rPr>
            </w:pPr>
          </w:p>
        </w:tc>
      </w:tr>
    </w:tbl>
    <w:p>
      <w:pPr>
        <w:widowControl/>
        <w:snapToGrid w:val="0"/>
        <w:jc w:val="left"/>
        <w:outlineLvl w:val="1"/>
        <w:rPr>
          <w:rFonts w:ascii="Times New Roman" w:hAnsi="Times New Roman" w:eastAsia="仿宋_GB2312" w:cs="Times New Roman"/>
          <w:b/>
          <w:bCs/>
          <w:sz w:val="10"/>
          <w:szCs w:val="10"/>
          <w:highlight w:val="none"/>
        </w:rPr>
      </w:pPr>
      <w:r>
        <w:rPr>
          <w:rFonts w:ascii="Times New Roman" w:hAnsi="Times New Roman" w:eastAsia="仿宋_GB2312" w:cs="Times New Roman"/>
          <w:b/>
          <w:bCs/>
          <w:sz w:val="32"/>
          <w:szCs w:val="32"/>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783"/>
        <w:gridCol w:w="2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209" w:type="dxa"/>
            <w:gridSpan w:val="3"/>
          </w:tcPr>
          <w:p>
            <w:pPr>
              <w:snapToGrid w:val="0"/>
              <w:jc w:val="center"/>
              <w:rPr>
                <w:rFonts w:ascii="Times New Roman" w:hAnsi="Times New Roman" w:cs="Times New Roman"/>
                <w:highlight w:val="none"/>
              </w:rPr>
            </w:pPr>
            <w:r>
              <w:rPr>
                <w:rFonts w:ascii="Times New Roman" w:hAnsi="Times New Roman" w:eastAsia="仿宋_GB2312" w:cs="Times New Roman"/>
                <w:b/>
                <w:bCs/>
                <w:sz w:val="32"/>
                <w:szCs w:val="32"/>
                <w:highlight w:val="none"/>
              </w:rPr>
              <w:br w:type="page"/>
            </w:r>
            <w:r>
              <w:rPr>
                <w:rFonts w:ascii="Times New Roman" w:hAnsi="Times New Roman" w:eastAsia="仿宋_GB2312" w:cs="Times New Roman"/>
                <w:b/>
                <w:bCs/>
                <w:sz w:val="32"/>
                <w:szCs w:val="32"/>
                <w:highlight w:val="none"/>
              </w:rPr>
              <w:br w:type="page"/>
            </w:r>
            <w:r>
              <w:rPr>
                <w:rFonts w:hint="eastAsia" w:ascii="Times New Roman" w:hAnsi="Times New Roman" w:eastAsia="仿宋_GB2312" w:cs="仿宋_GB2312"/>
                <w:b/>
                <w:bCs/>
                <w:sz w:val="32"/>
                <w:szCs w:val="32"/>
                <w:highlight w:val="none"/>
              </w:rPr>
              <w:t>（六）海洋污染防治类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ind w:firstLine="42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未取得海洋倾倒许可证，向海洋倾倒废弃物的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2"/>
              <w:snapToGrid w:val="0"/>
              <w:spacing w:before="62" w:beforeLines="20" w:beforeAutospacing="0" w:after="0" w:afterAutospacing="0" w:line="288" w:lineRule="auto"/>
              <w:ind w:firstLine="482"/>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《中华人民共和国海洋环境保护法》第五十五条第二款</w:t>
            </w:r>
            <w:r>
              <w:rPr>
                <w:rFonts w:ascii="Times New Roman" w:hAnsi="Times New Roman" w:eastAsia="仿宋_GB2312" w:cs="Times New Roman"/>
                <w:b/>
                <w:bCs/>
                <w:kern w:val="2"/>
                <w:sz w:val="21"/>
                <w:szCs w:val="21"/>
                <w:highlight w:val="none"/>
              </w:rPr>
              <w:t xml:space="preserve"> </w:t>
            </w:r>
            <w:r>
              <w:rPr>
                <w:rFonts w:hint="eastAsia" w:ascii="Times New Roman" w:hAnsi="Times New Roman" w:eastAsia="仿宋_GB2312" w:cs="仿宋_GB2312"/>
                <w:kern w:val="2"/>
                <w:sz w:val="21"/>
                <w:szCs w:val="21"/>
                <w:highlight w:val="none"/>
              </w:rPr>
              <w:t>需要倾倒废弃物的单位，必须向国家海洋行政主管部门提出书面申请，经国家海洋行政主管部门审查批准，发给许可证后，方可倾倒。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2"/>
              <w:snapToGrid w:val="0"/>
              <w:spacing w:before="62" w:beforeLines="20" w:beforeAutospacing="0" w:after="0" w:afterAutospacing="0" w:line="264" w:lineRule="auto"/>
              <w:ind w:firstLine="422"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《中华人民共和国海洋环境保护法》第七十三条第一款第（三）项、第二款</w:t>
            </w:r>
            <w:r>
              <w:rPr>
                <w:rFonts w:ascii="Times New Roman" w:hAnsi="Times New Roman" w:eastAsia="仿宋_GB2312" w:cs="Times New Roman"/>
                <w:b/>
                <w:bCs/>
                <w:kern w:val="2"/>
                <w:sz w:val="21"/>
                <w:szCs w:val="21"/>
                <w:highlight w:val="none"/>
              </w:rPr>
              <w:t xml:space="preserve"> </w:t>
            </w:r>
            <w:r>
              <w:rPr>
                <w:rFonts w:hint="eastAsia" w:ascii="Times New Roman" w:hAnsi="Times New Roman" w:eastAsia="仿宋_GB2312" w:cs="仿宋_GB2312"/>
                <w:kern w:val="2"/>
                <w:sz w:val="21"/>
                <w:szCs w:val="21"/>
                <w:highlight w:val="none"/>
              </w:rPr>
              <w:t>违反本法有关规定，有下列行为之一的，由依照本法规定行使海洋环境监督管理权的部门责令停止违法行为、限期改正或者责令采取限制生产、停产整治等措施，并处以罚款；拒不改正的，依法作出处罚决定的部门可以自责令改正之日的次日起，按照原罚款数额按日连续处罚；情节严重的，报经有批准权的人民政府批准，责令停业、关闭：</w:t>
            </w:r>
          </w:p>
          <w:p>
            <w:pPr>
              <w:pStyle w:val="12"/>
              <w:snapToGrid w:val="0"/>
              <w:spacing w:before="0" w:beforeAutospacing="0" w:after="0" w:afterAutospacing="0" w:line="264" w:lineRule="auto"/>
              <w:ind w:firstLine="420"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（三）未取得海洋倾倒许可证，向海洋倾倒废弃物的。</w:t>
            </w:r>
          </w:p>
          <w:p>
            <w:pPr>
              <w:pStyle w:val="12"/>
              <w:snapToGrid w:val="0"/>
              <w:spacing w:before="0" w:beforeAutospacing="0" w:after="0" w:afterAutospacing="0" w:line="264" w:lineRule="auto"/>
              <w:ind w:firstLine="420"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有前款第（一）、（三）项行为之一的，处三万元以上二十万元以下的罚款；有前款第（二）、（四）项行为之一的，处二万元以上十万元以下的罚款。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78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155"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restart"/>
            <w:vAlign w:val="center"/>
          </w:tcPr>
          <w:p>
            <w:pPr>
              <w:snapToGrid w:val="0"/>
              <w:jc w:val="center"/>
              <w:rPr>
                <w:rFonts w:ascii="Times New Roman" w:hAnsi="Times New Roman" w:cs="宋体"/>
                <w:b/>
                <w:bCs/>
                <w:color w:val="000000"/>
                <w:highlight w:val="none"/>
              </w:rPr>
            </w:pPr>
            <w:r>
              <w:rPr>
                <w:rFonts w:hint="eastAsia" w:ascii="Times New Roman" w:hAnsi="Times New Roman" w:cs="宋体"/>
                <w:b/>
                <w:bCs/>
                <w:color w:val="000000"/>
                <w:highlight w:val="none"/>
              </w:rPr>
              <w:t>废弃物类别★</w:t>
            </w:r>
          </w:p>
        </w:tc>
        <w:tc>
          <w:tcPr>
            <w:tcW w:w="5783"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生活废水</w:t>
            </w:r>
            <w:r>
              <w:rPr>
                <w:rFonts w:ascii="Times New Roman" w:hAnsi="Times New Roman" w:eastAsia="仿宋_GB2312" w:cs="Times New Roman"/>
                <w:color w:val="000000"/>
                <w:highlight w:val="none"/>
              </w:rPr>
              <w:t>/</w:t>
            </w:r>
            <w:r>
              <w:rPr>
                <w:rFonts w:hint="eastAsia" w:ascii="宋体" w:hAnsi="宋体" w:cs="宋体"/>
                <w:color w:val="000000"/>
                <w:highlight w:val="none"/>
              </w:rPr>
              <w:t>Ⅰ</w:t>
            </w:r>
            <w:r>
              <w:rPr>
                <w:rFonts w:hint="eastAsia" w:ascii="Times New Roman" w:hAnsi="Times New Roman" w:eastAsia="仿宋_GB2312" w:cs="仿宋_GB2312"/>
                <w:color w:val="000000"/>
                <w:highlight w:val="none"/>
              </w:rPr>
              <w:t>类一般工业固体废物</w:t>
            </w:r>
          </w:p>
        </w:tc>
        <w:tc>
          <w:tcPr>
            <w:tcW w:w="215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1271" w:type="dxa"/>
            <w:vMerge w:val="continue"/>
            <w:vAlign w:val="center"/>
          </w:tcPr>
          <w:p>
            <w:pPr>
              <w:snapToGrid w:val="0"/>
              <w:jc w:val="center"/>
              <w:rPr>
                <w:rFonts w:ascii="Times New Roman" w:hAnsi="Times New Roman" w:cs="宋体"/>
                <w:b/>
                <w:bCs/>
                <w:color w:val="000000"/>
                <w:highlight w:val="none"/>
              </w:rPr>
            </w:pPr>
          </w:p>
        </w:tc>
        <w:tc>
          <w:tcPr>
            <w:tcW w:w="5783"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服务业废水</w:t>
            </w:r>
          </w:p>
        </w:tc>
        <w:tc>
          <w:tcPr>
            <w:tcW w:w="215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宋体"/>
                <w:b/>
                <w:bCs/>
                <w:color w:val="000000"/>
                <w:highlight w:val="none"/>
              </w:rPr>
            </w:pPr>
          </w:p>
        </w:tc>
        <w:tc>
          <w:tcPr>
            <w:tcW w:w="5783"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一般工业废水</w:t>
            </w:r>
            <w:r>
              <w:rPr>
                <w:rFonts w:ascii="Times New Roman" w:hAnsi="Times New Roman" w:eastAsia="仿宋_GB2312" w:cs="Times New Roman"/>
                <w:color w:val="000000"/>
                <w:highlight w:val="none"/>
              </w:rPr>
              <w:t>/</w:t>
            </w:r>
            <w:r>
              <w:rPr>
                <w:rFonts w:hint="eastAsia" w:ascii="宋体" w:hAnsi="宋体" w:cs="宋体"/>
                <w:color w:val="000000"/>
                <w:highlight w:val="none"/>
              </w:rPr>
              <w:t>Ⅱ</w:t>
            </w:r>
            <w:r>
              <w:rPr>
                <w:rFonts w:hint="eastAsia" w:ascii="Times New Roman" w:hAnsi="Times New Roman" w:eastAsia="仿宋_GB2312" w:cs="仿宋_GB2312"/>
                <w:color w:val="000000"/>
                <w:highlight w:val="none"/>
              </w:rPr>
              <w:t>类一般工业固体废物</w:t>
            </w:r>
          </w:p>
        </w:tc>
        <w:tc>
          <w:tcPr>
            <w:tcW w:w="215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1271" w:type="dxa"/>
            <w:vMerge w:val="continue"/>
            <w:vAlign w:val="center"/>
          </w:tcPr>
          <w:p>
            <w:pPr>
              <w:snapToGrid w:val="0"/>
              <w:jc w:val="center"/>
              <w:rPr>
                <w:rFonts w:ascii="Times New Roman" w:hAnsi="Times New Roman" w:cs="宋体"/>
                <w:b/>
                <w:bCs/>
                <w:color w:val="000000"/>
                <w:highlight w:val="none"/>
              </w:rPr>
            </w:pPr>
          </w:p>
        </w:tc>
        <w:tc>
          <w:tcPr>
            <w:tcW w:w="5783"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含其他有毒有害物质的废水、医疗废水</w:t>
            </w:r>
          </w:p>
        </w:tc>
        <w:tc>
          <w:tcPr>
            <w:tcW w:w="215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1271" w:type="dxa"/>
            <w:vMerge w:val="continue"/>
            <w:vAlign w:val="center"/>
          </w:tcPr>
          <w:p>
            <w:pPr>
              <w:snapToGrid w:val="0"/>
              <w:jc w:val="center"/>
              <w:rPr>
                <w:rFonts w:ascii="Times New Roman" w:hAnsi="Times New Roman" w:cs="宋体"/>
                <w:b/>
                <w:bCs/>
                <w:color w:val="000000"/>
                <w:highlight w:val="none"/>
              </w:rPr>
            </w:pPr>
          </w:p>
        </w:tc>
        <w:tc>
          <w:tcPr>
            <w:tcW w:w="5783"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含一类污染物或重金属、病原体、放射性物质的废水</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危险废物</w:t>
            </w:r>
          </w:p>
        </w:tc>
        <w:tc>
          <w:tcPr>
            <w:tcW w:w="215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海洋功能</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区划</w:t>
            </w:r>
          </w:p>
        </w:tc>
        <w:tc>
          <w:tcPr>
            <w:tcW w:w="578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工业与城镇用海区</w:t>
            </w:r>
          </w:p>
        </w:tc>
        <w:tc>
          <w:tcPr>
            <w:tcW w:w="215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78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港口航运区、农渔业区</w:t>
            </w:r>
          </w:p>
        </w:tc>
        <w:tc>
          <w:tcPr>
            <w:tcW w:w="215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78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旅游休闲娱乐区</w:t>
            </w:r>
          </w:p>
        </w:tc>
        <w:tc>
          <w:tcPr>
            <w:tcW w:w="215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78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矿产与能源区</w:t>
            </w:r>
          </w:p>
        </w:tc>
        <w:tc>
          <w:tcPr>
            <w:tcW w:w="215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78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海洋保护区、特殊利用区、保留区等需要特殊保护的区域</w:t>
            </w:r>
          </w:p>
        </w:tc>
        <w:tc>
          <w:tcPr>
            <w:tcW w:w="215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restart"/>
            <w:vAlign w:val="center"/>
          </w:tcPr>
          <w:p>
            <w:pPr>
              <w:snapToGrid w:val="0"/>
              <w:spacing w:line="312"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违法持续</w:t>
            </w:r>
          </w:p>
          <w:p>
            <w:pPr>
              <w:snapToGrid w:val="0"/>
              <w:spacing w:line="312"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时间</w:t>
            </w:r>
          </w:p>
        </w:tc>
        <w:tc>
          <w:tcPr>
            <w:tcW w:w="578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w:t>
            </w:r>
          </w:p>
        </w:tc>
        <w:tc>
          <w:tcPr>
            <w:tcW w:w="2155" w:type="dxa"/>
            <w:vAlign w:val="center"/>
          </w:tcPr>
          <w:p>
            <w:pPr>
              <w:snapToGrid w:val="0"/>
              <w:spacing w:line="312" w:lineRule="auto"/>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78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个月以上不足</w:t>
            </w: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w:t>
            </w:r>
          </w:p>
        </w:tc>
        <w:tc>
          <w:tcPr>
            <w:tcW w:w="215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78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3</w:t>
            </w:r>
            <w:r>
              <w:rPr>
                <w:rFonts w:hint="eastAsia" w:ascii="Times New Roman" w:hAnsi="Times New Roman" w:eastAsia="仿宋_GB2312" w:cs="仿宋_GB2312"/>
                <w:color w:val="000000"/>
                <w:sz w:val="21"/>
                <w:szCs w:val="21"/>
                <w:highlight w:val="none"/>
              </w:rPr>
              <w:t>个月以上</w:t>
            </w:r>
          </w:p>
        </w:tc>
        <w:tc>
          <w:tcPr>
            <w:tcW w:w="2155"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restart"/>
            <w:vAlign w:val="center"/>
          </w:tcPr>
          <w:p>
            <w:pPr>
              <w:jc w:val="center"/>
              <w:rPr>
                <w:rFonts w:ascii="Times New Roman" w:hAnsi="Times New Roman" w:cs="Times New Roman"/>
                <w:color w:val="000000"/>
                <w:highlight w:val="none"/>
              </w:rPr>
            </w:pPr>
            <w:r>
              <w:rPr>
                <w:rFonts w:hint="eastAsia" w:ascii="Times New Roman" w:hAnsi="Times New Roman" w:cs="宋体"/>
                <w:b/>
                <w:bCs/>
                <w:color w:val="000000"/>
                <w:highlight w:val="none"/>
              </w:rPr>
              <w:t>倾倒数量</w:t>
            </w:r>
          </w:p>
        </w:tc>
        <w:tc>
          <w:tcPr>
            <w:tcW w:w="578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吨</w:t>
            </w:r>
          </w:p>
        </w:tc>
        <w:tc>
          <w:tcPr>
            <w:tcW w:w="2155" w:type="dxa"/>
            <w:vAlign w:val="center"/>
          </w:tcPr>
          <w:p>
            <w:pPr>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78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吨以上不足</w:t>
            </w:r>
            <w:r>
              <w:rPr>
                <w:rFonts w:ascii="Times New Roman" w:hAnsi="Times New Roman" w:eastAsia="仿宋_GB2312" w:cs="Times New Roman"/>
                <w:color w:val="000000"/>
                <w:sz w:val="21"/>
                <w:szCs w:val="21"/>
                <w:highlight w:val="none"/>
              </w:rPr>
              <w:t>50</w:t>
            </w:r>
            <w:r>
              <w:rPr>
                <w:rFonts w:hint="eastAsia" w:ascii="Times New Roman" w:hAnsi="Times New Roman" w:eastAsia="仿宋_GB2312" w:cs="仿宋_GB2312"/>
                <w:color w:val="000000"/>
                <w:sz w:val="21"/>
                <w:szCs w:val="21"/>
                <w:highlight w:val="none"/>
              </w:rPr>
              <w:t>吨</w:t>
            </w:r>
          </w:p>
        </w:tc>
        <w:tc>
          <w:tcPr>
            <w:tcW w:w="215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78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50</w:t>
            </w:r>
            <w:r>
              <w:rPr>
                <w:rFonts w:hint="eastAsia" w:ascii="Times New Roman" w:hAnsi="Times New Roman" w:eastAsia="仿宋_GB2312" w:cs="仿宋_GB2312"/>
                <w:color w:val="000000"/>
                <w:sz w:val="21"/>
                <w:szCs w:val="21"/>
                <w:highlight w:val="none"/>
              </w:rPr>
              <w:t>吨以上</w:t>
            </w:r>
          </w:p>
        </w:tc>
        <w:tc>
          <w:tcPr>
            <w:tcW w:w="215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938" w:type="dxa"/>
            <w:gridSpan w:val="2"/>
            <w:vAlign w:val="center"/>
          </w:tcPr>
          <w:p>
            <w:pPr>
              <w:snapToGrid w:val="0"/>
              <w:ind w:firstLine="420"/>
              <w:jc w:val="center"/>
              <w:rPr>
                <w:rFonts w:ascii="Times New Roman" w:hAnsi="Times New Roman" w:eastAsia="仿宋_GB2312" w:cs="Times New Roman"/>
                <w:color w:val="000000"/>
                <w:highlight w:val="none"/>
              </w:rPr>
            </w:pPr>
          </w:p>
        </w:tc>
      </w:tr>
    </w:tbl>
    <w:p>
      <w:pPr>
        <w:widowControl/>
        <w:snapToGrid w:val="0"/>
        <w:jc w:val="left"/>
        <w:outlineLvl w:val="1"/>
        <w:rPr>
          <w:rFonts w:ascii="Times New Roman" w:hAnsi="Times New Roman" w:eastAsia="仿宋_GB2312" w:cs="Times New Roman"/>
          <w:b/>
          <w:bCs/>
          <w:sz w:val="10"/>
          <w:szCs w:val="10"/>
          <w:highlight w:val="none"/>
        </w:rPr>
      </w:pPr>
      <w:r>
        <w:rPr>
          <w:rFonts w:ascii="Times New Roman" w:hAnsi="Times New Roman" w:eastAsia="仿宋_GB2312" w:cs="Times New Roman"/>
          <w:b/>
          <w:bCs/>
          <w:sz w:val="32"/>
          <w:szCs w:val="32"/>
          <w:highlight w:val="none"/>
        </w:rPr>
        <w:br w:type="page"/>
      </w:r>
    </w:p>
    <w:tbl>
      <w:tblPr>
        <w:tblStyle w:val="1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783"/>
        <w:gridCol w:w="2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09" w:type="dxa"/>
            <w:gridSpan w:val="3"/>
            <w:vAlign w:val="center"/>
          </w:tcPr>
          <w:p>
            <w:pPr>
              <w:snapToGrid w:val="0"/>
              <w:jc w:val="center"/>
              <w:rPr>
                <w:rFonts w:ascii="Times New Roman" w:hAnsi="Times New Roman" w:cs="Times New Roman"/>
                <w:highlight w:val="none"/>
              </w:rPr>
            </w:pPr>
            <w:r>
              <w:rPr>
                <w:rFonts w:ascii="Times New Roman" w:hAnsi="Times New Roman" w:eastAsia="仿宋_GB2312" w:cs="Times New Roman"/>
                <w:b/>
                <w:bCs/>
                <w:sz w:val="32"/>
                <w:szCs w:val="32"/>
                <w:highlight w:val="none"/>
              </w:rPr>
              <w:br w:type="page"/>
            </w:r>
            <w:r>
              <w:rPr>
                <w:rFonts w:ascii="Times New Roman" w:hAnsi="Times New Roman" w:eastAsia="仿宋_GB2312" w:cs="Times New Roman"/>
                <w:b/>
                <w:bCs/>
                <w:sz w:val="32"/>
                <w:szCs w:val="32"/>
                <w:highlight w:val="none"/>
              </w:rPr>
              <w:br w:type="page"/>
            </w:r>
            <w:r>
              <w:rPr>
                <w:rFonts w:hint="eastAsia" w:ascii="Times New Roman" w:hAnsi="Times New Roman" w:eastAsia="仿宋_GB2312" w:cs="仿宋_GB2312"/>
                <w:b/>
                <w:bCs/>
                <w:sz w:val="32"/>
                <w:szCs w:val="32"/>
                <w:highlight w:val="none"/>
              </w:rPr>
              <w:t>（六）海洋污染防治类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tcPr>
          <w:p>
            <w:pPr>
              <w:snapToGrid w:val="0"/>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因发生事故或者其他突发性事件，造成海洋环境污染事故，不立即采取处理措施的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2"/>
              <w:snapToGrid w:val="0"/>
              <w:spacing w:before="0" w:beforeAutospacing="0" w:after="0" w:afterAutospacing="0" w:line="288" w:lineRule="auto"/>
              <w:ind w:firstLine="482"/>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《中华人民共和国海洋环境保护法》第十七条第一款</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因发生事故或者其他突发性事件，造成或者可能造成海洋环境污染事故的单位和个人，必须立即采取有效措施，及时向可能受到危害者通报，并向依照本法规定行使海洋环境监督管理权的部门报告，接受调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2"/>
              <w:snapToGrid w:val="0"/>
              <w:spacing w:before="0" w:beforeAutospacing="0" w:after="0" w:afterAutospacing="0"/>
              <w:ind w:firstLine="422"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《中华人民共和国海洋环境保护法》第七十三条第一款第（四）项、第二款</w:t>
            </w:r>
            <w:r>
              <w:rPr>
                <w:rFonts w:ascii="Times New Roman" w:hAnsi="Times New Roman" w:eastAsia="仿宋_GB2312" w:cs="Times New Roman"/>
                <w:b/>
                <w:bCs/>
                <w:kern w:val="2"/>
                <w:sz w:val="21"/>
                <w:szCs w:val="21"/>
                <w:highlight w:val="none"/>
              </w:rPr>
              <w:t xml:space="preserve"> </w:t>
            </w:r>
            <w:r>
              <w:rPr>
                <w:rFonts w:hint="eastAsia" w:ascii="Times New Roman" w:hAnsi="Times New Roman" w:eastAsia="仿宋_GB2312" w:cs="仿宋_GB2312"/>
                <w:kern w:val="2"/>
                <w:sz w:val="21"/>
                <w:szCs w:val="21"/>
                <w:highlight w:val="none"/>
              </w:rPr>
              <w:t>违反本法有关规定，有下列行为之一的，由依照本法规定行使海洋环境监督管理权的部门责令停止违法行为、限期改正或者责令采取限制生产、停产整治等措施，并处以罚款；拒不改正的，依法作出处罚决定的部门可以自责令改正之日的次日起，按照原罚款数额按日连续处罚；情节严重的，报经有批准权的人民政府批准，责令停业、关闭：</w:t>
            </w:r>
          </w:p>
          <w:p>
            <w:pPr>
              <w:pStyle w:val="12"/>
              <w:snapToGrid w:val="0"/>
              <w:spacing w:before="0" w:beforeAutospacing="0" w:after="0" w:afterAutospacing="0"/>
              <w:ind w:firstLine="420"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（四）因发生事故或者其他突发性事件，造成海洋环境污染事故，不立即采取处理措施的。</w:t>
            </w:r>
          </w:p>
          <w:p>
            <w:pPr>
              <w:pStyle w:val="12"/>
              <w:snapToGrid w:val="0"/>
              <w:spacing w:before="0" w:beforeAutospacing="0" w:after="0" w:afterAutospacing="0"/>
              <w:ind w:firstLine="420"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有前款第（一）、（三）项行为之一的，处三万元以上二十万元以下的罚款；有前款第（二）、（四）项行为之一的，处二万元以上十万元以下的罚款。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78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155"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污染事故</w:t>
            </w:r>
          </w:p>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等级★</w:t>
            </w:r>
          </w:p>
        </w:tc>
        <w:tc>
          <w:tcPr>
            <w:tcW w:w="578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一般突发环境事件</w:t>
            </w:r>
            <w:r>
              <w:rPr>
                <w:rFonts w:ascii="Times New Roman" w:hAnsi="Times New Roman" w:eastAsia="仿宋_GB2312" w:cs="Times New Roman"/>
                <w:color w:val="000000"/>
                <w:highlight w:val="none"/>
              </w:rPr>
              <w:t>(IV)</w:t>
            </w:r>
            <w:r>
              <w:rPr>
                <w:rFonts w:hint="eastAsia" w:ascii="Times New Roman" w:hAnsi="Times New Roman" w:eastAsia="仿宋_GB2312" w:cs="仿宋_GB2312"/>
                <w:color w:val="000000"/>
                <w:highlight w:val="none"/>
              </w:rPr>
              <w:t>及以下事件</w:t>
            </w:r>
          </w:p>
        </w:tc>
        <w:tc>
          <w:tcPr>
            <w:tcW w:w="2155" w:type="dxa"/>
            <w:vAlign w:val="center"/>
          </w:tcPr>
          <w:p>
            <w:pPr>
              <w:snapToGrid w:val="0"/>
              <w:spacing w:line="288" w:lineRule="auto"/>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78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较大突发环境事件</w:t>
            </w:r>
            <w:r>
              <w:rPr>
                <w:rFonts w:ascii="Times New Roman" w:hAnsi="Times New Roman" w:eastAsia="仿宋_GB2312" w:cs="Times New Roman"/>
                <w:color w:val="000000"/>
                <w:highlight w:val="none"/>
              </w:rPr>
              <w:t>(III)</w:t>
            </w:r>
          </w:p>
        </w:tc>
        <w:tc>
          <w:tcPr>
            <w:tcW w:w="215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78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重大突发环境事件</w:t>
            </w:r>
            <w:r>
              <w:rPr>
                <w:rFonts w:ascii="Times New Roman" w:hAnsi="Times New Roman" w:eastAsia="仿宋_GB2312" w:cs="Times New Roman"/>
                <w:color w:val="000000"/>
                <w:highlight w:val="none"/>
              </w:rPr>
              <w:t>(II)</w:t>
            </w:r>
          </w:p>
        </w:tc>
        <w:tc>
          <w:tcPr>
            <w:tcW w:w="215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78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特别重大突发环境事件</w:t>
            </w:r>
            <w:r>
              <w:rPr>
                <w:rFonts w:ascii="Times New Roman" w:hAnsi="Times New Roman" w:eastAsia="仿宋_GB2312" w:cs="Times New Roman"/>
                <w:color w:val="000000"/>
                <w:highlight w:val="none"/>
              </w:rPr>
              <w:t>(I)</w:t>
            </w:r>
          </w:p>
        </w:tc>
        <w:tc>
          <w:tcPr>
            <w:tcW w:w="215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事故</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发生地点</w:t>
            </w:r>
          </w:p>
        </w:tc>
        <w:tc>
          <w:tcPr>
            <w:tcW w:w="578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工业与城镇用海区</w:t>
            </w:r>
          </w:p>
        </w:tc>
        <w:tc>
          <w:tcPr>
            <w:tcW w:w="215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78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港口航运区、农渔业区</w:t>
            </w:r>
          </w:p>
        </w:tc>
        <w:tc>
          <w:tcPr>
            <w:tcW w:w="215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78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旅游休闲娱乐区</w:t>
            </w:r>
          </w:p>
        </w:tc>
        <w:tc>
          <w:tcPr>
            <w:tcW w:w="215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78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矿产与能源区</w:t>
            </w:r>
          </w:p>
        </w:tc>
        <w:tc>
          <w:tcPr>
            <w:tcW w:w="215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78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海洋保护区、特殊利用区、保留区等需要特殊保护的区域</w:t>
            </w:r>
          </w:p>
        </w:tc>
        <w:tc>
          <w:tcPr>
            <w:tcW w:w="215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对环境的</w:t>
            </w:r>
          </w:p>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影响程度</w:t>
            </w:r>
          </w:p>
        </w:tc>
        <w:tc>
          <w:tcPr>
            <w:tcW w:w="5783" w:type="dxa"/>
            <w:vAlign w:val="center"/>
          </w:tcPr>
          <w:p>
            <w:pPr>
              <w:snapToGrid w:val="0"/>
              <w:spacing w:line="288" w:lineRule="auto"/>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已造成环境污染，尚未扩散</w:t>
            </w:r>
          </w:p>
        </w:tc>
        <w:tc>
          <w:tcPr>
            <w:tcW w:w="2155" w:type="dxa"/>
            <w:vAlign w:val="center"/>
          </w:tcPr>
          <w:p>
            <w:pPr>
              <w:snapToGrid w:val="0"/>
              <w:spacing w:line="288" w:lineRule="auto"/>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spacing w:line="288" w:lineRule="auto"/>
              <w:jc w:val="center"/>
              <w:rPr>
                <w:rFonts w:ascii="Times New Roman" w:hAnsi="Times New Roman" w:cs="Times New Roman"/>
                <w:b/>
                <w:bCs/>
                <w:color w:val="000000"/>
                <w:highlight w:val="none"/>
              </w:rPr>
            </w:pPr>
          </w:p>
        </w:tc>
        <w:tc>
          <w:tcPr>
            <w:tcW w:w="5783" w:type="dxa"/>
            <w:vAlign w:val="center"/>
          </w:tcPr>
          <w:p>
            <w:pPr>
              <w:snapToGrid w:val="0"/>
              <w:spacing w:line="288" w:lineRule="auto"/>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已造成环境污染，并部分扩散</w:t>
            </w:r>
          </w:p>
        </w:tc>
        <w:tc>
          <w:tcPr>
            <w:tcW w:w="2155" w:type="dxa"/>
            <w:vAlign w:val="center"/>
          </w:tcPr>
          <w:p>
            <w:pPr>
              <w:snapToGrid w:val="0"/>
              <w:spacing w:line="288" w:lineRule="auto"/>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spacing w:line="288" w:lineRule="auto"/>
              <w:jc w:val="center"/>
              <w:rPr>
                <w:rFonts w:ascii="Times New Roman" w:hAnsi="Times New Roman" w:cs="Times New Roman"/>
                <w:b/>
                <w:bCs/>
                <w:color w:val="000000"/>
                <w:highlight w:val="none"/>
              </w:rPr>
            </w:pPr>
          </w:p>
        </w:tc>
        <w:tc>
          <w:tcPr>
            <w:tcW w:w="5783" w:type="dxa"/>
            <w:vAlign w:val="center"/>
          </w:tcPr>
          <w:p>
            <w:pPr>
              <w:snapToGrid w:val="0"/>
              <w:spacing w:line="288" w:lineRule="auto"/>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已造成环境污染，并大面积扩散</w:t>
            </w:r>
          </w:p>
        </w:tc>
        <w:tc>
          <w:tcPr>
            <w:tcW w:w="2155" w:type="dxa"/>
            <w:vAlign w:val="center"/>
          </w:tcPr>
          <w:p>
            <w:pPr>
              <w:snapToGrid w:val="0"/>
              <w:spacing w:line="288" w:lineRule="auto"/>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938" w:type="dxa"/>
            <w:gridSpan w:val="2"/>
            <w:vAlign w:val="center"/>
          </w:tcPr>
          <w:p>
            <w:pPr>
              <w:snapToGrid w:val="0"/>
              <w:ind w:firstLine="420"/>
              <w:jc w:val="center"/>
              <w:rPr>
                <w:rFonts w:ascii="Times New Roman" w:hAnsi="Times New Roman" w:eastAsia="仿宋_GB2312" w:cs="Times New Roman"/>
                <w:color w:val="000000"/>
                <w:highlight w:val="none"/>
              </w:rPr>
            </w:pPr>
          </w:p>
        </w:tc>
      </w:tr>
    </w:tbl>
    <w:p>
      <w:pPr>
        <w:widowControl/>
        <w:snapToGrid w:val="0"/>
        <w:jc w:val="left"/>
        <w:outlineLvl w:val="1"/>
        <w:rPr>
          <w:rFonts w:ascii="Times New Roman" w:hAnsi="Times New Roman" w:eastAsia="仿宋_GB2312" w:cs="Times New Roman"/>
          <w:b/>
          <w:bCs/>
          <w:sz w:val="10"/>
          <w:szCs w:val="10"/>
          <w:highlight w:val="none"/>
        </w:rPr>
      </w:pPr>
    </w:p>
    <w:p>
      <w:pPr>
        <w:widowControl/>
        <w:snapToGrid w:val="0"/>
        <w:jc w:val="left"/>
        <w:outlineLvl w:val="1"/>
        <w:rPr>
          <w:rFonts w:ascii="Times New Roman" w:hAnsi="Times New Roman" w:eastAsia="仿宋_GB2312" w:cs="Times New Roman"/>
          <w:b/>
          <w:bCs/>
          <w:sz w:val="10"/>
          <w:szCs w:val="10"/>
          <w:highlight w:val="none"/>
        </w:rPr>
      </w:pPr>
      <w:r>
        <w:rPr>
          <w:rFonts w:ascii="Times New Roman" w:hAnsi="Times New Roman" w:eastAsia="仿宋_GB2312" w:cs="Times New Roman"/>
          <w:b/>
          <w:bCs/>
          <w:sz w:val="10"/>
          <w:szCs w:val="10"/>
          <w:highlight w:val="none"/>
        </w:rPr>
        <w:br w:type="page"/>
      </w:r>
    </w:p>
    <w:p>
      <w:pPr>
        <w:widowControl/>
        <w:snapToGrid w:val="0"/>
        <w:jc w:val="left"/>
        <w:outlineLvl w:val="1"/>
        <w:rPr>
          <w:rFonts w:ascii="Times New Roman" w:hAnsi="Times New Roman" w:eastAsia="仿宋_GB2312" w:cs="Times New Roman"/>
          <w:b/>
          <w:bCs/>
          <w:sz w:val="10"/>
          <w:szCs w:val="10"/>
          <w:highlight w:val="none"/>
        </w:rPr>
      </w:pPr>
    </w:p>
    <w:p>
      <w:pPr>
        <w:widowControl/>
        <w:snapToGrid w:val="0"/>
        <w:jc w:val="left"/>
        <w:outlineLvl w:val="1"/>
        <w:rPr>
          <w:rFonts w:ascii="Times New Roman" w:hAnsi="Times New Roman" w:eastAsia="仿宋_GB2312" w:cs="Times New Roman"/>
          <w:b/>
          <w:bCs/>
          <w:sz w:val="10"/>
          <w:szCs w:val="10"/>
          <w:highlight w:val="none"/>
        </w:rPr>
      </w:pP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925"/>
        <w:gridCol w:w="2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tcPr>
          <w:p>
            <w:pPr>
              <w:snapToGrid w:val="0"/>
              <w:jc w:val="center"/>
              <w:rPr>
                <w:rFonts w:ascii="Times New Roman" w:hAnsi="Times New Roman" w:cs="Times New Roman"/>
                <w:highlight w:val="none"/>
              </w:rPr>
            </w:pPr>
            <w:r>
              <w:rPr>
                <w:rFonts w:ascii="Times New Roman" w:hAnsi="Times New Roman" w:eastAsia="仿宋_GB2312" w:cs="Times New Roman"/>
                <w:b/>
                <w:bCs/>
                <w:sz w:val="32"/>
                <w:szCs w:val="32"/>
                <w:highlight w:val="none"/>
              </w:rPr>
              <w:br w:type="page"/>
            </w:r>
            <w:r>
              <w:rPr>
                <w:rFonts w:ascii="Times New Roman" w:hAnsi="Times New Roman" w:eastAsia="仿宋_GB2312" w:cs="Times New Roman"/>
                <w:b/>
                <w:bCs/>
                <w:sz w:val="32"/>
                <w:szCs w:val="32"/>
                <w:highlight w:val="none"/>
              </w:rPr>
              <w:br w:type="page"/>
            </w:r>
            <w:r>
              <w:rPr>
                <w:rFonts w:hint="eastAsia" w:ascii="Times New Roman" w:hAnsi="Times New Roman" w:eastAsia="仿宋_GB2312" w:cs="仿宋_GB2312"/>
                <w:b/>
                <w:bCs/>
                <w:sz w:val="32"/>
                <w:szCs w:val="32"/>
                <w:highlight w:val="none"/>
              </w:rPr>
              <w:t>（六）海洋污染防治类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不按照规定申报，甚至拒报污染物排放有关事项，或者在申报时弄虚作假的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2"/>
              <w:snapToGrid w:val="0"/>
              <w:spacing w:before="0" w:beforeAutospacing="0" w:after="0" w:afterAutospacing="0"/>
              <w:ind w:firstLine="482"/>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《中华人民共和国海洋环境保护法》第三十二条</w:t>
            </w:r>
            <w:r>
              <w:rPr>
                <w:rFonts w:ascii="Times New Roman" w:hAnsi="Times New Roman" w:eastAsia="仿宋_GB2312" w:cs="Times New Roman"/>
                <w:b/>
                <w:bCs/>
                <w:kern w:val="2"/>
                <w:sz w:val="21"/>
                <w:szCs w:val="21"/>
                <w:highlight w:val="none"/>
              </w:rPr>
              <w:t xml:space="preserve"> </w:t>
            </w:r>
            <w:r>
              <w:rPr>
                <w:rFonts w:hint="eastAsia" w:ascii="Times New Roman" w:hAnsi="Times New Roman" w:eastAsia="仿宋_GB2312" w:cs="仿宋_GB2312"/>
                <w:kern w:val="2"/>
                <w:sz w:val="21"/>
                <w:szCs w:val="21"/>
                <w:highlight w:val="none"/>
              </w:rPr>
              <w:t>排放陆源污染物的单位，必须向环境保护行政主管部门申报拥有的陆源污染物排放设施、处理设施和在正常作业条件下排放陆源污染物的种类、数量和浓度，并提供防治海洋环境污染方面的有关技术和资料。</w:t>
            </w:r>
          </w:p>
          <w:p>
            <w:pPr>
              <w:pStyle w:val="12"/>
              <w:snapToGrid w:val="0"/>
              <w:spacing w:before="0" w:beforeAutospacing="0" w:after="0" w:afterAutospacing="0"/>
              <w:ind w:firstLine="482"/>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排放陆源污染物的种类、数量和浓度有重大改变的，必须及时申报。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2"/>
              <w:snapToGrid w:val="0"/>
              <w:spacing w:before="0" w:beforeAutospacing="0" w:after="0" w:afterAutospacing="0"/>
              <w:ind w:firstLine="422"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《中华人民共和国海洋环境保护法》第七十四条第一款第（一）项、第二款</w:t>
            </w:r>
            <w:r>
              <w:rPr>
                <w:rFonts w:ascii="Times New Roman" w:hAnsi="Times New Roman" w:eastAsia="仿宋_GB2312" w:cs="Times New Roman"/>
                <w:b/>
                <w:bCs/>
                <w:kern w:val="2"/>
                <w:sz w:val="21"/>
                <w:szCs w:val="21"/>
                <w:highlight w:val="none"/>
              </w:rPr>
              <w:t xml:space="preserve"> </w:t>
            </w:r>
            <w:r>
              <w:rPr>
                <w:rFonts w:hint="eastAsia" w:ascii="Times New Roman" w:hAnsi="Times New Roman" w:eastAsia="仿宋_GB2312" w:cs="仿宋_GB2312"/>
                <w:kern w:val="2"/>
                <w:sz w:val="21"/>
                <w:szCs w:val="21"/>
                <w:highlight w:val="none"/>
              </w:rPr>
              <w:t>违反本法有关规定，有下列行为之一的，由依照本法规定行使海洋环境监督管理权的部门予以警告，或者处以罚款：</w:t>
            </w:r>
          </w:p>
          <w:p>
            <w:pPr>
              <w:pStyle w:val="12"/>
              <w:snapToGrid w:val="0"/>
              <w:spacing w:before="0" w:beforeAutospacing="0" w:after="0" w:afterAutospacing="0"/>
              <w:ind w:firstLine="420"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（一）不按照规定申报，甚至拒报污染物排放有关事项，或者在申报时弄虚作假的。</w:t>
            </w:r>
          </w:p>
          <w:p>
            <w:pPr>
              <w:pStyle w:val="12"/>
              <w:snapToGrid w:val="0"/>
              <w:spacing w:before="0" w:beforeAutospacing="0" w:after="0" w:afterAutospacing="0"/>
              <w:ind w:firstLine="420"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有前款第（一）、（三）项行为之一的，处二万元以下的罚款；有前款第（二）、（四）项行为之一的，处五万元以下的罚款。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92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0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92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不按照规定申报的</w:t>
            </w:r>
          </w:p>
        </w:tc>
        <w:tc>
          <w:tcPr>
            <w:tcW w:w="201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highlight w:val="none"/>
              </w:rPr>
            </w:pPr>
          </w:p>
        </w:tc>
        <w:tc>
          <w:tcPr>
            <w:tcW w:w="592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color w:val="000000"/>
                <w:sz w:val="21"/>
                <w:szCs w:val="21"/>
                <w:highlight w:val="none"/>
              </w:rPr>
              <w:t>未申报的，或者拒报污染物排放有关事项的</w:t>
            </w:r>
          </w:p>
        </w:tc>
        <w:tc>
          <w:tcPr>
            <w:tcW w:w="2013"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highlight w:val="none"/>
              </w:rPr>
            </w:pPr>
          </w:p>
        </w:tc>
        <w:tc>
          <w:tcPr>
            <w:tcW w:w="592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color w:val="000000"/>
                <w:sz w:val="21"/>
                <w:szCs w:val="21"/>
                <w:highlight w:val="none"/>
              </w:rPr>
              <w:t>在申报时弄虚作假的</w:t>
            </w:r>
          </w:p>
        </w:tc>
        <w:tc>
          <w:tcPr>
            <w:tcW w:w="2013"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污染物排放区域海洋</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功能区划</w:t>
            </w:r>
          </w:p>
        </w:tc>
        <w:tc>
          <w:tcPr>
            <w:tcW w:w="592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工业与城镇用海区</w:t>
            </w:r>
          </w:p>
        </w:tc>
        <w:tc>
          <w:tcPr>
            <w:tcW w:w="20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highlight w:val="none"/>
              </w:rPr>
            </w:pPr>
          </w:p>
        </w:tc>
        <w:tc>
          <w:tcPr>
            <w:tcW w:w="592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港口航运区、农渔业区</w:t>
            </w:r>
          </w:p>
        </w:tc>
        <w:tc>
          <w:tcPr>
            <w:tcW w:w="20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highlight w:val="none"/>
              </w:rPr>
            </w:pPr>
          </w:p>
        </w:tc>
        <w:tc>
          <w:tcPr>
            <w:tcW w:w="592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旅游休闲娱乐区</w:t>
            </w:r>
          </w:p>
        </w:tc>
        <w:tc>
          <w:tcPr>
            <w:tcW w:w="20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highlight w:val="none"/>
              </w:rPr>
            </w:pPr>
          </w:p>
        </w:tc>
        <w:tc>
          <w:tcPr>
            <w:tcW w:w="592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矿产与能源区</w:t>
            </w:r>
          </w:p>
        </w:tc>
        <w:tc>
          <w:tcPr>
            <w:tcW w:w="20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highlight w:val="none"/>
              </w:rPr>
            </w:pPr>
          </w:p>
        </w:tc>
        <w:tc>
          <w:tcPr>
            <w:tcW w:w="592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海洋保护区、特殊利用区、保留区等需要特殊保护的区域</w:t>
            </w:r>
          </w:p>
        </w:tc>
        <w:tc>
          <w:tcPr>
            <w:tcW w:w="20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color w:val="000000"/>
                <w:highlight w:val="none"/>
              </w:rPr>
              <w:t>污染物类别</w:t>
            </w:r>
          </w:p>
        </w:tc>
        <w:tc>
          <w:tcPr>
            <w:tcW w:w="592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生活废水</w:t>
            </w:r>
            <w:r>
              <w:rPr>
                <w:rFonts w:ascii="Times New Roman" w:hAnsi="Times New Roman" w:eastAsia="仿宋_GB2312" w:cs="Times New Roman"/>
                <w:color w:val="000000"/>
                <w:highlight w:val="none"/>
              </w:rPr>
              <w:t>/</w:t>
            </w:r>
            <w:r>
              <w:rPr>
                <w:rFonts w:hint="eastAsia" w:ascii="宋体" w:hAnsi="宋体" w:cs="宋体"/>
                <w:color w:val="000000"/>
                <w:highlight w:val="none"/>
              </w:rPr>
              <w:t>Ⅰ</w:t>
            </w:r>
            <w:r>
              <w:rPr>
                <w:rFonts w:hint="eastAsia" w:ascii="Times New Roman" w:hAnsi="Times New Roman" w:eastAsia="仿宋_GB2312" w:cs="仿宋_GB2312"/>
                <w:color w:val="000000"/>
                <w:highlight w:val="none"/>
              </w:rPr>
              <w:t>类一般工业固体废物</w:t>
            </w:r>
          </w:p>
        </w:tc>
        <w:tc>
          <w:tcPr>
            <w:tcW w:w="201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highlight w:val="none"/>
              </w:rPr>
            </w:pPr>
          </w:p>
        </w:tc>
        <w:tc>
          <w:tcPr>
            <w:tcW w:w="592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服务业废水</w:t>
            </w:r>
          </w:p>
        </w:tc>
        <w:tc>
          <w:tcPr>
            <w:tcW w:w="201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92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一般工业废水</w:t>
            </w:r>
            <w:r>
              <w:rPr>
                <w:rFonts w:ascii="Times New Roman" w:hAnsi="Times New Roman" w:eastAsia="仿宋_GB2312" w:cs="Times New Roman"/>
                <w:color w:val="000000"/>
                <w:highlight w:val="none"/>
              </w:rPr>
              <w:t>/</w:t>
            </w:r>
            <w:r>
              <w:rPr>
                <w:rFonts w:hint="eastAsia" w:ascii="宋体" w:hAnsi="宋体" w:cs="宋体"/>
                <w:color w:val="000000"/>
                <w:highlight w:val="none"/>
              </w:rPr>
              <w:t>Ⅱ</w:t>
            </w:r>
            <w:r>
              <w:rPr>
                <w:rFonts w:hint="eastAsia" w:ascii="Times New Roman" w:hAnsi="Times New Roman" w:eastAsia="仿宋_GB2312" w:cs="仿宋_GB2312"/>
                <w:color w:val="000000"/>
                <w:highlight w:val="none"/>
              </w:rPr>
              <w:t>类一般工业固体废物</w:t>
            </w:r>
          </w:p>
        </w:tc>
        <w:tc>
          <w:tcPr>
            <w:tcW w:w="201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highlight w:val="none"/>
              </w:rPr>
            </w:pPr>
          </w:p>
        </w:tc>
        <w:tc>
          <w:tcPr>
            <w:tcW w:w="592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含其他有毒有害物质的废水、医疗废水</w:t>
            </w:r>
          </w:p>
        </w:tc>
        <w:tc>
          <w:tcPr>
            <w:tcW w:w="201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highlight w:val="none"/>
              </w:rPr>
            </w:pPr>
          </w:p>
        </w:tc>
        <w:tc>
          <w:tcPr>
            <w:tcW w:w="592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含一类污染物或重金属、病原体、放射性物质的废水</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危险废物</w:t>
            </w:r>
          </w:p>
        </w:tc>
        <w:tc>
          <w:tcPr>
            <w:tcW w:w="201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restart"/>
            <w:vAlign w:val="center"/>
          </w:tcPr>
          <w:p>
            <w:pPr>
              <w:snapToGrid w:val="0"/>
              <w:jc w:val="center"/>
              <w:rPr>
                <w:rFonts w:ascii="Times New Roman" w:hAnsi="Times New Roman" w:cs="Times New Roman"/>
                <w:color w:val="000000"/>
                <w:sz w:val="18"/>
                <w:szCs w:val="18"/>
                <w:highlight w:val="none"/>
              </w:rPr>
            </w:pPr>
            <w:r>
              <w:rPr>
                <w:rFonts w:hint="eastAsia" w:ascii="Times New Roman" w:hAnsi="Times New Roman" w:cs="宋体"/>
                <w:b/>
                <w:bCs/>
                <w:color w:val="000000"/>
                <w:highlight w:val="none"/>
              </w:rPr>
              <w:t>申报登记污染物排放量</w:t>
            </w:r>
          </w:p>
        </w:tc>
        <w:tc>
          <w:tcPr>
            <w:tcW w:w="592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吨</w:t>
            </w:r>
          </w:p>
        </w:tc>
        <w:tc>
          <w:tcPr>
            <w:tcW w:w="20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92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吨以上不足</w:t>
            </w:r>
            <w:r>
              <w:rPr>
                <w:rFonts w:ascii="Times New Roman" w:hAnsi="Times New Roman" w:eastAsia="仿宋_GB2312" w:cs="Times New Roman"/>
                <w:color w:val="000000"/>
                <w:highlight w:val="none"/>
              </w:rPr>
              <w:t>50</w:t>
            </w:r>
            <w:r>
              <w:rPr>
                <w:rFonts w:hint="eastAsia" w:ascii="Times New Roman" w:hAnsi="Times New Roman" w:eastAsia="仿宋_GB2312" w:cs="仿宋_GB2312"/>
                <w:color w:val="000000"/>
                <w:highlight w:val="none"/>
              </w:rPr>
              <w:t>吨</w:t>
            </w:r>
          </w:p>
        </w:tc>
        <w:tc>
          <w:tcPr>
            <w:tcW w:w="2013"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92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50</w:t>
            </w:r>
            <w:r>
              <w:rPr>
                <w:rFonts w:hint="eastAsia" w:ascii="Times New Roman" w:hAnsi="Times New Roman" w:eastAsia="仿宋_GB2312" w:cs="仿宋_GB2312"/>
                <w:color w:val="000000"/>
                <w:highlight w:val="none"/>
              </w:rPr>
              <w:t>吨以上</w:t>
            </w:r>
          </w:p>
        </w:tc>
        <w:tc>
          <w:tcPr>
            <w:tcW w:w="2013"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eastAsia="仿宋_GB2312" w:cs="Times New Roman"/>
                <w:highlight w:val="none"/>
              </w:rPr>
            </w:pPr>
          </w:p>
        </w:tc>
      </w:tr>
    </w:tbl>
    <w:p>
      <w:pPr>
        <w:widowControl/>
        <w:snapToGrid w:val="0"/>
        <w:jc w:val="left"/>
        <w:outlineLvl w:val="1"/>
        <w:rPr>
          <w:rFonts w:ascii="Times New Roman" w:hAnsi="Times New Roman" w:eastAsia="仿宋_GB2312" w:cs="Times New Roman"/>
          <w:b/>
          <w:bCs/>
          <w:sz w:val="10"/>
          <w:szCs w:val="10"/>
          <w:highlight w:val="none"/>
        </w:rPr>
      </w:pPr>
      <w:r>
        <w:rPr>
          <w:rFonts w:ascii="Times New Roman" w:hAnsi="Times New Roman" w:eastAsia="仿宋_GB2312" w:cs="Times New Roman"/>
          <w:b/>
          <w:bCs/>
          <w:sz w:val="10"/>
          <w:szCs w:val="10"/>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783"/>
        <w:gridCol w:w="2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ascii="Times New Roman" w:hAnsi="Times New Roman" w:eastAsia="仿宋_GB2312" w:cs="Times New Roman"/>
                <w:b/>
                <w:bCs/>
                <w:sz w:val="32"/>
                <w:szCs w:val="32"/>
                <w:highlight w:val="none"/>
              </w:rPr>
              <w:br w:type="page"/>
            </w:r>
            <w:r>
              <w:rPr>
                <w:rFonts w:ascii="Times New Roman" w:hAnsi="Times New Roman" w:eastAsia="仿宋_GB2312" w:cs="Times New Roman"/>
                <w:b/>
                <w:bCs/>
                <w:sz w:val="32"/>
                <w:szCs w:val="32"/>
                <w:highlight w:val="none"/>
              </w:rPr>
              <w:br w:type="page"/>
            </w:r>
            <w:r>
              <w:rPr>
                <w:rFonts w:hint="eastAsia" w:ascii="Times New Roman" w:hAnsi="Times New Roman" w:eastAsia="仿宋_GB2312" w:cs="仿宋_GB2312"/>
                <w:b/>
                <w:bCs/>
                <w:sz w:val="32"/>
                <w:szCs w:val="32"/>
                <w:highlight w:val="none"/>
              </w:rPr>
              <w:t>（六）海洋污染防治类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ind w:firstLine="42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发生事故或者其他突发性事件不按照规定报告的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2"/>
              <w:snapToGrid w:val="0"/>
              <w:spacing w:before="62" w:beforeLines="20" w:beforeAutospacing="0" w:after="0" w:afterAutospacing="0" w:line="288" w:lineRule="auto"/>
              <w:ind w:firstLine="482"/>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《中华人民共和国海洋环境保护法》第十七条第一款</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因发生事故或者其他突发性事件，造成或者可能造成海洋环境污染事故的单位和个人，必须立即采取有效措施，及时向可能受到危害者通报，并向依照本法规定行使海洋环境监督管理权的部门报告，接受调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2"/>
              <w:snapToGrid w:val="0"/>
              <w:spacing w:before="62" w:beforeLines="20" w:beforeAutospacing="0" w:after="0" w:afterAutospacing="0" w:line="288" w:lineRule="auto"/>
              <w:ind w:firstLine="422"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《中华人民共和国海洋环境保护法》第七十四条第一款第（二）项、第二款</w:t>
            </w:r>
            <w:r>
              <w:rPr>
                <w:rFonts w:ascii="Times New Roman" w:hAnsi="Times New Roman" w:eastAsia="仿宋_GB2312" w:cs="Times New Roman"/>
                <w:b/>
                <w:bCs/>
                <w:kern w:val="2"/>
                <w:sz w:val="21"/>
                <w:szCs w:val="21"/>
                <w:highlight w:val="none"/>
              </w:rPr>
              <w:t xml:space="preserve"> </w:t>
            </w:r>
            <w:r>
              <w:rPr>
                <w:rFonts w:hint="eastAsia" w:ascii="Times New Roman" w:hAnsi="Times New Roman" w:eastAsia="仿宋_GB2312" w:cs="仿宋_GB2312"/>
                <w:kern w:val="2"/>
                <w:sz w:val="21"/>
                <w:szCs w:val="21"/>
                <w:highlight w:val="none"/>
              </w:rPr>
              <w:t>违反本法有关规定，有下列行为之一的，由依照本法规定行使海洋环境监督管理权的部门予以警告，或者处以罚款：</w:t>
            </w:r>
          </w:p>
          <w:p>
            <w:pPr>
              <w:pStyle w:val="12"/>
              <w:snapToGrid w:val="0"/>
              <w:spacing w:before="0" w:beforeAutospacing="0" w:after="0" w:afterAutospacing="0" w:line="288" w:lineRule="auto"/>
              <w:ind w:firstLine="420"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（二）发生事故或者其他突发性事件不按照规定报告的。</w:t>
            </w:r>
          </w:p>
          <w:p>
            <w:pPr>
              <w:pStyle w:val="12"/>
              <w:snapToGrid w:val="0"/>
              <w:spacing w:before="0" w:beforeAutospacing="0" w:after="0" w:afterAutospacing="0" w:line="288" w:lineRule="auto"/>
              <w:ind w:firstLine="420"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有前款第（一）、（三）项行为之一的，处二万元以下的罚款；有前款第（二）、（四）项行为之一的，处五万元以下的罚款。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78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15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污染事故</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等级★</w:t>
            </w:r>
          </w:p>
        </w:tc>
        <w:tc>
          <w:tcPr>
            <w:tcW w:w="578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一般突发环境事件</w:t>
            </w:r>
            <w:r>
              <w:rPr>
                <w:rFonts w:ascii="Times New Roman" w:hAnsi="Times New Roman" w:eastAsia="仿宋_GB2312" w:cs="Times New Roman"/>
                <w:color w:val="000000"/>
                <w:highlight w:val="none"/>
              </w:rPr>
              <w:t>(IV)</w:t>
            </w:r>
            <w:r>
              <w:rPr>
                <w:rFonts w:hint="eastAsia" w:ascii="Times New Roman" w:hAnsi="Times New Roman" w:eastAsia="仿宋_GB2312" w:cs="仿宋_GB2312"/>
                <w:color w:val="000000"/>
                <w:highlight w:val="none"/>
              </w:rPr>
              <w:t>及以下事件</w:t>
            </w:r>
          </w:p>
        </w:tc>
        <w:tc>
          <w:tcPr>
            <w:tcW w:w="215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较大突发环境事件</w:t>
            </w:r>
            <w:r>
              <w:rPr>
                <w:rFonts w:ascii="Times New Roman" w:hAnsi="Times New Roman" w:eastAsia="仿宋_GB2312" w:cs="Times New Roman"/>
                <w:color w:val="000000"/>
                <w:sz w:val="21"/>
                <w:szCs w:val="21"/>
                <w:highlight w:val="none"/>
              </w:rPr>
              <w:t>(III)</w:t>
            </w:r>
          </w:p>
        </w:tc>
        <w:tc>
          <w:tcPr>
            <w:tcW w:w="215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重大突发环境事件</w:t>
            </w:r>
            <w:r>
              <w:rPr>
                <w:rFonts w:ascii="Times New Roman" w:hAnsi="Times New Roman" w:eastAsia="仿宋_GB2312" w:cs="Times New Roman"/>
                <w:color w:val="000000"/>
                <w:sz w:val="21"/>
                <w:szCs w:val="21"/>
                <w:highlight w:val="none"/>
              </w:rPr>
              <w:t>(II)</w:t>
            </w:r>
          </w:p>
        </w:tc>
        <w:tc>
          <w:tcPr>
            <w:tcW w:w="2155"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特别重大突发环境事件</w:t>
            </w:r>
            <w:r>
              <w:rPr>
                <w:rFonts w:ascii="Times New Roman" w:hAnsi="Times New Roman" w:eastAsia="仿宋_GB2312" w:cs="Times New Roman"/>
                <w:color w:val="000000"/>
                <w:sz w:val="21"/>
                <w:szCs w:val="21"/>
                <w:highlight w:val="none"/>
              </w:rPr>
              <w:t>(I)</w:t>
            </w:r>
          </w:p>
        </w:tc>
        <w:tc>
          <w:tcPr>
            <w:tcW w:w="215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事故</w:t>
            </w:r>
          </w:p>
          <w:p>
            <w:pPr>
              <w:snapToGrid w:val="0"/>
              <w:jc w:val="center"/>
              <w:rPr>
                <w:rFonts w:ascii="Times New Roman" w:hAnsi="Times New Roman" w:cs="Times New Roman"/>
                <w:b/>
                <w:bCs/>
                <w:highlight w:val="none"/>
              </w:rPr>
            </w:pPr>
            <w:r>
              <w:rPr>
                <w:rFonts w:hint="eastAsia" w:ascii="Times New Roman" w:hAnsi="Times New Roman" w:cs="宋体"/>
                <w:b/>
                <w:bCs/>
                <w:color w:val="000000"/>
                <w:highlight w:val="none"/>
              </w:rPr>
              <w:t>发生地点</w:t>
            </w:r>
          </w:p>
        </w:tc>
        <w:tc>
          <w:tcPr>
            <w:tcW w:w="578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工业与城镇用海区</w:t>
            </w:r>
          </w:p>
        </w:tc>
        <w:tc>
          <w:tcPr>
            <w:tcW w:w="215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港口航运区、农渔业区</w:t>
            </w:r>
          </w:p>
        </w:tc>
        <w:tc>
          <w:tcPr>
            <w:tcW w:w="215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旅游休闲娱乐区</w:t>
            </w:r>
          </w:p>
        </w:tc>
        <w:tc>
          <w:tcPr>
            <w:tcW w:w="215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矿产与能源区</w:t>
            </w:r>
          </w:p>
        </w:tc>
        <w:tc>
          <w:tcPr>
            <w:tcW w:w="215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海洋保护区、特殊利用区、保留区等需要特殊保护的区域</w:t>
            </w:r>
          </w:p>
        </w:tc>
        <w:tc>
          <w:tcPr>
            <w:tcW w:w="215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对环境的</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影响程度</w:t>
            </w:r>
          </w:p>
        </w:tc>
        <w:tc>
          <w:tcPr>
            <w:tcW w:w="578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尚未造成环境污染</w:t>
            </w:r>
          </w:p>
        </w:tc>
        <w:tc>
          <w:tcPr>
            <w:tcW w:w="215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已造成环境污染，尚未扩散</w:t>
            </w:r>
          </w:p>
        </w:tc>
        <w:tc>
          <w:tcPr>
            <w:tcW w:w="215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已造成环境污染，并部分扩散</w:t>
            </w:r>
          </w:p>
        </w:tc>
        <w:tc>
          <w:tcPr>
            <w:tcW w:w="215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已造成环境污染，并大面积扩散</w:t>
            </w:r>
          </w:p>
        </w:tc>
        <w:tc>
          <w:tcPr>
            <w:tcW w:w="2155"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color w:val="000000"/>
                <w:highlight w:val="none"/>
              </w:rPr>
              <w:t>违法时间</w:t>
            </w:r>
          </w:p>
        </w:tc>
        <w:tc>
          <w:tcPr>
            <w:tcW w:w="578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w:t>
            </w:r>
          </w:p>
        </w:tc>
        <w:tc>
          <w:tcPr>
            <w:tcW w:w="2155"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w:t>
            </w:r>
            <w:r>
              <w:rPr>
                <w:rFonts w:hint="eastAsia" w:ascii="Times New Roman" w:hAnsi="Times New Roman" w:eastAsia="仿宋_GB2312" w:cs="仿宋_GB2312"/>
                <w:color w:val="000000"/>
                <w:sz w:val="21"/>
                <w:szCs w:val="21"/>
                <w:highlight w:val="none"/>
              </w:rPr>
              <w:t>天以上不足</w:t>
            </w: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天</w:t>
            </w:r>
          </w:p>
        </w:tc>
        <w:tc>
          <w:tcPr>
            <w:tcW w:w="2155"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天以上不足</w:t>
            </w:r>
            <w:r>
              <w:rPr>
                <w:rFonts w:ascii="Times New Roman" w:hAnsi="Times New Roman" w:eastAsia="仿宋_GB2312" w:cs="Times New Roman"/>
                <w:color w:val="000000"/>
                <w:sz w:val="21"/>
                <w:szCs w:val="21"/>
                <w:highlight w:val="none"/>
              </w:rPr>
              <w:t>20</w:t>
            </w:r>
            <w:r>
              <w:rPr>
                <w:rFonts w:hint="eastAsia" w:ascii="Times New Roman" w:hAnsi="Times New Roman" w:eastAsia="仿宋_GB2312" w:cs="仿宋_GB2312"/>
                <w:color w:val="000000"/>
                <w:sz w:val="21"/>
                <w:szCs w:val="21"/>
                <w:highlight w:val="none"/>
              </w:rPr>
              <w:t>天</w:t>
            </w:r>
          </w:p>
        </w:tc>
        <w:tc>
          <w:tcPr>
            <w:tcW w:w="2155"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20</w:t>
            </w:r>
            <w:r>
              <w:rPr>
                <w:rFonts w:hint="eastAsia" w:ascii="Times New Roman" w:hAnsi="Times New Roman" w:eastAsia="仿宋_GB2312" w:cs="仿宋_GB2312"/>
                <w:color w:val="000000"/>
                <w:sz w:val="21"/>
                <w:szCs w:val="21"/>
                <w:highlight w:val="none"/>
              </w:rPr>
              <w:t>天以上不足</w:t>
            </w: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个月</w:t>
            </w:r>
          </w:p>
        </w:tc>
        <w:tc>
          <w:tcPr>
            <w:tcW w:w="2155"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个月以上</w:t>
            </w:r>
          </w:p>
        </w:tc>
        <w:tc>
          <w:tcPr>
            <w:tcW w:w="2155"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eastAsia="仿宋_GB2312" w:cs="Times New Roman"/>
                <w:highlight w:val="none"/>
              </w:rPr>
            </w:pPr>
          </w:p>
        </w:tc>
      </w:tr>
    </w:tbl>
    <w:p>
      <w:pPr>
        <w:widowControl/>
        <w:jc w:val="left"/>
        <w:outlineLvl w:val="1"/>
        <w:rPr>
          <w:rFonts w:ascii="Times New Roman" w:hAnsi="Times New Roman" w:eastAsia="仿宋_GB2312" w:cs="Times New Roman"/>
          <w:b/>
          <w:bCs/>
          <w:sz w:val="10"/>
          <w:szCs w:val="10"/>
          <w:highlight w:val="none"/>
        </w:rPr>
      </w:pPr>
      <w:r>
        <w:rPr>
          <w:rFonts w:ascii="Times New Roman" w:hAnsi="Times New Roman" w:eastAsia="仿宋_GB2312" w:cs="Times New Roman"/>
          <w:b/>
          <w:bCs/>
          <w:sz w:val="10"/>
          <w:szCs w:val="10"/>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6067"/>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9209" w:type="dxa"/>
            <w:gridSpan w:val="3"/>
          </w:tcPr>
          <w:p>
            <w:pPr>
              <w:snapToGrid w:val="0"/>
              <w:jc w:val="center"/>
              <w:rPr>
                <w:rFonts w:ascii="Times New Roman" w:hAnsi="Times New Roman" w:cs="Times New Roman"/>
                <w:highlight w:val="none"/>
              </w:rPr>
            </w:pPr>
            <w:r>
              <w:rPr>
                <w:rFonts w:ascii="Times New Roman" w:hAnsi="Times New Roman" w:eastAsia="仿宋_GB2312" w:cs="Times New Roman"/>
                <w:b/>
                <w:bCs/>
                <w:sz w:val="32"/>
                <w:szCs w:val="32"/>
                <w:highlight w:val="none"/>
              </w:rPr>
              <w:br w:type="page"/>
            </w:r>
            <w:r>
              <w:rPr>
                <w:rFonts w:ascii="Times New Roman" w:hAnsi="Times New Roman" w:eastAsia="仿宋_GB2312" w:cs="Times New Roman"/>
                <w:b/>
                <w:bCs/>
                <w:sz w:val="32"/>
                <w:szCs w:val="32"/>
                <w:highlight w:val="none"/>
              </w:rPr>
              <w:br w:type="page"/>
            </w:r>
            <w:r>
              <w:rPr>
                <w:rFonts w:hint="eastAsia" w:ascii="Times New Roman" w:hAnsi="Times New Roman" w:eastAsia="仿宋_GB2312" w:cs="仿宋_GB2312"/>
                <w:b/>
                <w:bCs/>
                <w:sz w:val="32"/>
                <w:szCs w:val="32"/>
                <w:highlight w:val="none"/>
              </w:rPr>
              <w:t>（六）海洋污染防治类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ind w:firstLine="42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不按照规定记录倾倒情况，或者不按照规定提交倾倒报告的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2"/>
              <w:snapToGrid w:val="0"/>
              <w:spacing w:before="0" w:beforeAutospacing="0" w:after="0" w:afterAutospacing="0" w:line="288" w:lineRule="auto"/>
              <w:ind w:firstLine="482"/>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《中华人民共和国海洋环境保护法》第六十条</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获准倾倒废弃物的单位，应当详细记录倾倒的情况，并在倾倒后向批准部门作出书面报告。倾倒废弃物的船舶必须向驶出港的海事行政主管部门作出书面报告。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2"/>
              <w:snapToGrid w:val="0"/>
              <w:spacing w:before="0" w:beforeAutospacing="0" w:after="0" w:afterAutospacing="0"/>
              <w:ind w:firstLine="422"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《中华人民共和国海洋环境保护法》第七十四条第一款第（三）项、第二款</w:t>
            </w:r>
            <w:r>
              <w:rPr>
                <w:rFonts w:ascii="Times New Roman" w:hAnsi="Times New Roman" w:eastAsia="仿宋_GB2312" w:cs="Times New Roman"/>
                <w:b/>
                <w:bCs/>
                <w:kern w:val="2"/>
                <w:sz w:val="21"/>
                <w:szCs w:val="21"/>
                <w:highlight w:val="none"/>
              </w:rPr>
              <w:t xml:space="preserve"> </w:t>
            </w:r>
            <w:r>
              <w:rPr>
                <w:rFonts w:hint="eastAsia" w:ascii="Times New Roman" w:hAnsi="Times New Roman" w:eastAsia="仿宋_GB2312" w:cs="仿宋_GB2312"/>
                <w:kern w:val="2"/>
                <w:sz w:val="21"/>
                <w:szCs w:val="21"/>
                <w:highlight w:val="none"/>
              </w:rPr>
              <w:t>违反本法有关规定，有下列行为之一的，由依照本法规定行使海洋环境监督管理权的部门予以警告，或者处以罚款：</w:t>
            </w:r>
          </w:p>
          <w:p>
            <w:pPr>
              <w:pStyle w:val="12"/>
              <w:snapToGrid w:val="0"/>
              <w:spacing w:before="0" w:beforeAutospacing="0" w:after="0" w:afterAutospacing="0"/>
              <w:ind w:firstLine="420"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（三）不按照规定记录倾倒情况，或者不按照规定提交倾倒报告的。</w:t>
            </w:r>
          </w:p>
          <w:p>
            <w:pPr>
              <w:pStyle w:val="12"/>
              <w:snapToGrid w:val="0"/>
              <w:spacing w:before="0" w:beforeAutospacing="0" w:after="0" w:afterAutospacing="0"/>
              <w:ind w:firstLine="420"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有前款第（一）、（三）项行为之一的，处二万元以下的罚款；有前款第（二）、（四）项行为之一的，处五万元以下的罚款。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60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18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color w:val="000000"/>
                <w:highlight w:val="none"/>
              </w:rPr>
              <w:t>违法事实★</w:t>
            </w:r>
          </w:p>
        </w:tc>
        <w:tc>
          <w:tcPr>
            <w:tcW w:w="6067"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已详细记录倾倒情况，但未向批准部门作出书面报告的</w:t>
            </w:r>
          </w:p>
        </w:tc>
        <w:tc>
          <w:tcPr>
            <w:tcW w:w="187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6067"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未规范记录倾倒情况的</w:t>
            </w:r>
          </w:p>
        </w:tc>
        <w:tc>
          <w:tcPr>
            <w:tcW w:w="1871"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6067"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未记录倾倒情况</w:t>
            </w:r>
          </w:p>
        </w:tc>
        <w:tc>
          <w:tcPr>
            <w:tcW w:w="1871"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海洋功能</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区划</w:t>
            </w:r>
          </w:p>
        </w:tc>
        <w:tc>
          <w:tcPr>
            <w:tcW w:w="6067"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工业与城镇用海区</w:t>
            </w:r>
          </w:p>
        </w:tc>
        <w:tc>
          <w:tcPr>
            <w:tcW w:w="1871"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6067"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港口航运区、农渔业区</w:t>
            </w:r>
          </w:p>
        </w:tc>
        <w:tc>
          <w:tcPr>
            <w:tcW w:w="1871"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6067"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旅游休闲娱乐区</w:t>
            </w:r>
          </w:p>
        </w:tc>
        <w:tc>
          <w:tcPr>
            <w:tcW w:w="1871"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6067"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矿产与能源区</w:t>
            </w:r>
          </w:p>
        </w:tc>
        <w:tc>
          <w:tcPr>
            <w:tcW w:w="1871"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6067"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海洋保护区、特殊利用区、保留区等需要特殊保护的区域</w:t>
            </w:r>
          </w:p>
        </w:tc>
        <w:tc>
          <w:tcPr>
            <w:tcW w:w="1871"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highlight w:val="none"/>
              </w:rPr>
              <w:t>倾倒废弃物类别</w:t>
            </w:r>
          </w:p>
        </w:tc>
        <w:tc>
          <w:tcPr>
            <w:tcW w:w="6067"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生活废水</w:t>
            </w:r>
            <w:r>
              <w:rPr>
                <w:rFonts w:ascii="Times New Roman" w:hAnsi="Times New Roman" w:eastAsia="仿宋_GB2312" w:cs="Times New Roman"/>
                <w:color w:val="000000"/>
                <w:highlight w:val="none"/>
              </w:rPr>
              <w:t>/</w:t>
            </w:r>
            <w:r>
              <w:rPr>
                <w:rFonts w:hint="eastAsia" w:ascii="宋体" w:hAnsi="宋体" w:cs="宋体"/>
                <w:color w:val="000000"/>
                <w:highlight w:val="none"/>
              </w:rPr>
              <w:t>Ⅰ</w:t>
            </w:r>
            <w:r>
              <w:rPr>
                <w:rFonts w:hint="eastAsia" w:ascii="Times New Roman" w:hAnsi="Times New Roman" w:eastAsia="仿宋_GB2312" w:cs="仿宋_GB2312"/>
                <w:color w:val="000000"/>
                <w:highlight w:val="none"/>
              </w:rPr>
              <w:t>类一般工业固体废物</w:t>
            </w:r>
          </w:p>
        </w:tc>
        <w:tc>
          <w:tcPr>
            <w:tcW w:w="1871" w:type="dxa"/>
            <w:vAlign w:val="center"/>
          </w:tcPr>
          <w:p>
            <w:pPr>
              <w:snapToGrid w:val="0"/>
              <w:spacing w:line="288" w:lineRule="auto"/>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6067"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服务业废水</w:t>
            </w:r>
          </w:p>
        </w:tc>
        <w:tc>
          <w:tcPr>
            <w:tcW w:w="1871" w:type="dxa"/>
            <w:vAlign w:val="center"/>
          </w:tcPr>
          <w:p>
            <w:pPr>
              <w:snapToGrid w:val="0"/>
              <w:spacing w:line="288" w:lineRule="auto"/>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6067"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一般工业废水</w:t>
            </w:r>
            <w:r>
              <w:rPr>
                <w:rFonts w:ascii="Times New Roman" w:hAnsi="Times New Roman" w:eastAsia="仿宋_GB2312" w:cs="Times New Roman"/>
                <w:color w:val="000000"/>
                <w:highlight w:val="none"/>
              </w:rPr>
              <w:t>/</w:t>
            </w:r>
            <w:r>
              <w:rPr>
                <w:rFonts w:hint="eastAsia" w:ascii="宋体" w:hAnsi="宋体" w:cs="宋体"/>
                <w:color w:val="000000"/>
                <w:highlight w:val="none"/>
              </w:rPr>
              <w:t>Ⅱ</w:t>
            </w:r>
            <w:r>
              <w:rPr>
                <w:rFonts w:hint="eastAsia" w:ascii="Times New Roman" w:hAnsi="Times New Roman" w:eastAsia="仿宋_GB2312" w:cs="仿宋_GB2312"/>
                <w:color w:val="000000"/>
                <w:highlight w:val="none"/>
              </w:rPr>
              <w:t>类一般工业固体废物</w:t>
            </w:r>
          </w:p>
        </w:tc>
        <w:tc>
          <w:tcPr>
            <w:tcW w:w="1871" w:type="dxa"/>
            <w:vAlign w:val="center"/>
          </w:tcPr>
          <w:p>
            <w:pPr>
              <w:snapToGrid w:val="0"/>
              <w:spacing w:line="288" w:lineRule="auto"/>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6067"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含其他有毒有害物质的废水、医疗废水</w:t>
            </w:r>
          </w:p>
        </w:tc>
        <w:tc>
          <w:tcPr>
            <w:tcW w:w="1871" w:type="dxa"/>
            <w:vAlign w:val="center"/>
          </w:tcPr>
          <w:p>
            <w:pPr>
              <w:snapToGrid w:val="0"/>
              <w:spacing w:line="288" w:lineRule="auto"/>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6067"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含一类污染物或重金属、病原体、放射性物质的废水</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危险废物</w:t>
            </w:r>
          </w:p>
        </w:tc>
        <w:tc>
          <w:tcPr>
            <w:tcW w:w="1871" w:type="dxa"/>
            <w:vAlign w:val="center"/>
          </w:tcPr>
          <w:p>
            <w:pPr>
              <w:snapToGrid w:val="0"/>
              <w:spacing w:line="288" w:lineRule="auto"/>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restart"/>
            <w:vAlign w:val="center"/>
          </w:tcPr>
          <w:p>
            <w:pPr>
              <w:jc w:val="center"/>
              <w:rPr>
                <w:rFonts w:ascii="Times New Roman" w:hAnsi="Times New Roman" w:cs="Times New Roman"/>
                <w:color w:val="000000"/>
                <w:sz w:val="18"/>
                <w:szCs w:val="18"/>
                <w:highlight w:val="none"/>
              </w:rPr>
            </w:pPr>
            <w:r>
              <w:rPr>
                <w:rFonts w:hint="eastAsia" w:ascii="Times New Roman" w:hAnsi="Times New Roman" w:cs="宋体"/>
                <w:b/>
                <w:bCs/>
                <w:color w:val="000000"/>
                <w:highlight w:val="none"/>
              </w:rPr>
              <w:t>倾倒废弃物排放量</w:t>
            </w:r>
          </w:p>
        </w:tc>
        <w:tc>
          <w:tcPr>
            <w:tcW w:w="6067" w:type="dxa"/>
            <w:vAlign w:val="center"/>
          </w:tcPr>
          <w:p>
            <w:pPr>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吨</w:t>
            </w:r>
          </w:p>
        </w:tc>
        <w:tc>
          <w:tcPr>
            <w:tcW w:w="1871" w:type="dxa"/>
            <w:vAlign w:val="center"/>
          </w:tcPr>
          <w:p>
            <w:pPr>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spacing w:line="288" w:lineRule="auto"/>
              <w:jc w:val="center"/>
              <w:rPr>
                <w:rFonts w:ascii="Times New Roman" w:hAnsi="Times New Roman" w:cs="Times New Roman"/>
                <w:b/>
                <w:bCs/>
                <w:color w:val="000000"/>
                <w:highlight w:val="none"/>
              </w:rPr>
            </w:pPr>
          </w:p>
        </w:tc>
        <w:tc>
          <w:tcPr>
            <w:tcW w:w="6067" w:type="dxa"/>
            <w:vAlign w:val="center"/>
          </w:tcPr>
          <w:p>
            <w:pPr>
              <w:snapToGrid w:val="0"/>
              <w:spacing w:line="288" w:lineRule="auto"/>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吨以上不足</w:t>
            </w:r>
            <w:r>
              <w:rPr>
                <w:rFonts w:ascii="Times New Roman" w:hAnsi="Times New Roman" w:eastAsia="仿宋_GB2312" w:cs="Times New Roman"/>
                <w:color w:val="000000"/>
                <w:highlight w:val="none"/>
              </w:rPr>
              <w:t>50</w:t>
            </w:r>
            <w:r>
              <w:rPr>
                <w:rFonts w:hint="eastAsia" w:ascii="Times New Roman" w:hAnsi="Times New Roman" w:eastAsia="仿宋_GB2312" w:cs="仿宋_GB2312"/>
                <w:color w:val="000000"/>
                <w:highlight w:val="none"/>
              </w:rPr>
              <w:t>吨</w:t>
            </w:r>
          </w:p>
        </w:tc>
        <w:tc>
          <w:tcPr>
            <w:tcW w:w="1871" w:type="dxa"/>
            <w:vAlign w:val="center"/>
          </w:tcPr>
          <w:p>
            <w:pPr>
              <w:snapToGrid w:val="0"/>
              <w:spacing w:line="288" w:lineRule="auto"/>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spacing w:line="288" w:lineRule="auto"/>
              <w:jc w:val="center"/>
              <w:rPr>
                <w:rFonts w:ascii="Times New Roman" w:hAnsi="Times New Roman" w:cs="Times New Roman"/>
                <w:b/>
                <w:bCs/>
                <w:color w:val="000000"/>
                <w:highlight w:val="none"/>
              </w:rPr>
            </w:pPr>
          </w:p>
        </w:tc>
        <w:tc>
          <w:tcPr>
            <w:tcW w:w="6067" w:type="dxa"/>
            <w:vAlign w:val="center"/>
          </w:tcPr>
          <w:p>
            <w:pPr>
              <w:snapToGrid w:val="0"/>
              <w:spacing w:line="288" w:lineRule="auto"/>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50</w:t>
            </w:r>
            <w:r>
              <w:rPr>
                <w:rFonts w:hint="eastAsia" w:ascii="Times New Roman" w:hAnsi="Times New Roman" w:eastAsia="仿宋_GB2312" w:cs="仿宋_GB2312"/>
                <w:color w:val="000000"/>
                <w:highlight w:val="none"/>
              </w:rPr>
              <w:t>吨以上</w:t>
            </w:r>
          </w:p>
        </w:tc>
        <w:tc>
          <w:tcPr>
            <w:tcW w:w="1871" w:type="dxa"/>
            <w:vAlign w:val="center"/>
          </w:tcPr>
          <w:p>
            <w:pPr>
              <w:snapToGrid w:val="0"/>
              <w:spacing w:line="288" w:lineRule="auto"/>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eastAsia="仿宋_GB2312" w:cs="Times New Roman"/>
                <w:highlight w:val="none"/>
              </w:rPr>
            </w:pPr>
          </w:p>
        </w:tc>
      </w:tr>
    </w:tbl>
    <w:p>
      <w:pPr>
        <w:widowControl/>
        <w:snapToGrid w:val="0"/>
        <w:jc w:val="left"/>
        <w:outlineLvl w:val="1"/>
        <w:rPr>
          <w:rFonts w:ascii="Times New Roman" w:hAnsi="Times New Roman" w:eastAsia="仿宋_GB2312" w:cs="Times New Roman"/>
          <w:b/>
          <w:bCs/>
          <w:sz w:val="10"/>
          <w:szCs w:val="10"/>
          <w:highlight w:val="none"/>
        </w:rPr>
      </w:pPr>
      <w:r>
        <w:rPr>
          <w:rFonts w:ascii="Times New Roman" w:hAnsi="Times New Roman" w:eastAsia="仿宋_GB2312" w:cs="Times New Roman"/>
          <w:b/>
          <w:bCs/>
          <w:sz w:val="10"/>
          <w:szCs w:val="10"/>
          <w:highlight w:val="none"/>
        </w:rPr>
        <w:br w:type="page"/>
      </w:r>
    </w:p>
    <w:p>
      <w:pPr>
        <w:widowControl/>
        <w:snapToGrid w:val="0"/>
        <w:jc w:val="left"/>
        <w:outlineLvl w:val="1"/>
        <w:rPr>
          <w:rFonts w:ascii="Times New Roman" w:hAnsi="Times New Roman" w:eastAsia="仿宋_GB2312" w:cs="Times New Roman"/>
          <w:b/>
          <w:bCs/>
          <w:sz w:val="10"/>
          <w:szCs w:val="10"/>
          <w:highlight w:val="none"/>
        </w:rPr>
      </w:pP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783"/>
        <w:gridCol w:w="2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ascii="Times New Roman" w:hAnsi="Times New Roman" w:eastAsia="仿宋_GB2312" w:cs="Times New Roman"/>
                <w:b/>
                <w:bCs/>
                <w:sz w:val="32"/>
                <w:szCs w:val="32"/>
                <w:highlight w:val="none"/>
              </w:rPr>
              <w:br w:type="page"/>
            </w:r>
            <w:r>
              <w:rPr>
                <w:rFonts w:ascii="Times New Roman" w:hAnsi="Times New Roman" w:eastAsia="仿宋_GB2312" w:cs="Times New Roman"/>
                <w:b/>
                <w:bCs/>
                <w:sz w:val="32"/>
                <w:szCs w:val="32"/>
                <w:highlight w:val="none"/>
              </w:rPr>
              <w:br w:type="page"/>
            </w:r>
            <w:r>
              <w:rPr>
                <w:rFonts w:hint="eastAsia" w:ascii="Times New Roman" w:hAnsi="Times New Roman" w:eastAsia="仿宋_GB2312" w:cs="仿宋_GB2312"/>
                <w:b/>
                <w:bCs/>
                <w:sz w:val="32"/>
                <w:szCs w:val="32"/>
                <w:highlight w:val="none"/>
              </w:rPr>
              <w:t>（六）海洋污染防治类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ind w:firstLine="42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拒绝现场检查，或者在被检查时弄虚作假的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2"/>
              <w:snapToGrid w:val="0"/>
              <w:spacing w:before="0" w:beforeAutospacing="0" w:after="0" w:afterAutospacing="0"/>
              <w:ind w:firstLine="482"/>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《中华人民共和国海洋环境保护法》第十九条第二款、第三款</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依照本法规定行使海洋环境监督管理权的部门，有权对管辖范围内排放污染物的单位和个人进行现场检查。被检查者应当如实反映情况，提供必要的资料。</w:t>
            </w:r>
          </w:p>
          <w:p>
            <w:pPr>
              <w:pStyle w:val="12"/>
              <w:snapToGrid w:val="0"/>
              <w:spacing w:before="0" w:beforeAutospacing="0" w:after="0" w:afterAutospacing="0"/>
              <w:ind w:firstLine="482"/>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检查机关应当为被检查者保守技术秘密和业务秘密。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2"/>
              <w:snapToGrid w:val="0"/>
              <w:spacing w:before="0" w:beforeAutospacing="0" w:after="0" w:afterAutospacing="0"/>
              <w:ind w:firstLine="422"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《中华人民共和国海洋环境保护法》第七十五条</w:t>
            </w:r>
            <w:r>
              <w:rPr>
                <w:rFonts w:ascii="Times New Roman" w:hAnsi="Times New Roman" w:eastAsia="仿宋_GB2312" w:cs="Times New Roman"/>
                <w:b/>
                <w:bCs/>
                <w:kern w:val="2"/>
                <w:sz w:val="21"/>
                <w:szCs w:val="21"/>
                <w:highlight w:val="none"/>
              </w:rPr>
              <w:t xml:space="preserve"> </w:t>
            </w:r>
            <w:r>
              <w:rPr>
                <w:rFonts w:hint="eastAsia" w:ascii="Times New Roman" w:hAnsi="Times New Roman" w:eastAsia="仿宋_GB2312" w:cs="仿宋_GB2312"/>
                <w:kern w:val="2"/>
                <w:sz w:val="21"/>
                <w:szCs w:val="21"/>
                <w:highlight w:val="none"/>
              </w:rPr>
              <w:t>违反本法第十九条第二款的规定，拒绝现场检查，或者在被检查时弄虚作假的，由依照本法规定行使海洋环境监督管理权的部门予以警告，并处二万元以下的罚款。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78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15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拒绝检查</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情形</w:t>
            </w:r>
            <w:r>
              <w:rPr>
                <w:rFonts w:hint="eastAsia" w:ascii="Times New Roman" w:hAnsi="Times New Roman" w:cs="宋体"/>
                <w:b/>
                <w:bCs/>
                <w:color w:val="000000"/>
                <w:highlight w:val="none"/>
              </w:rPr>
              <w:t>★</w:t>
            </w:r>
          </w:p>
        </w:tc>
        <w:tc>
          <w:tcPr>
            <w:tcW w:w="578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迟滞</w:t>
            </w: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分钟以上</w:t>
            </w:r>
            <w:r>
              <w:rPr>
                <w:rFonts w:ascii="Times New Roman" w:hAnsi="Times New Roman" w:eastAsia="仿宋_GB2312" w:cs="Times New Roman"/>
                <w:color w:val="000000"/>
                <w:sz w:val="21"/>
                <w:szCs w:val="21"/>
                <w:highlight w:val="none"/>
              </w:rPr>
              <w:t>30</w:t>
            </w:r>
            <w:r>
              <w:rPr>
                <w:rFonts w:hint="eastAsia" w:ascii="Times New Roman" w:hAnsi="Times New Roman" w:eastAsia="仿宋_GB2312" w:cs="仿宋_GB2312"/>
                <w:color w:val="000000"/>
                <w:sz w:val="21"/>
                <w:szCs w:val="21"/>
                <w:highlight w:val="none"/>
              </w:rPr>
              <w:t>分钟以内</w:t>
            </w:r>
          </w:p>
        </w:tc>
        <w:tc>
          <w:tcPr>
            <w:tcW w:w="2155"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color w:val="000000"/>
                <w:sz w:val="21"/>
                <w:szCs w:val="21"/>
                <w:highlight w:val="none"/>
              </w:rPr>
              <w:t>迟滞超过半小时</w:t>
            </w:r>
          </w:p>
        </w:tc>
        <w:tc>
          <w:tcPr>
            <w:tcW w:w="2155"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color w:val="000000"/>
                <w:sz w:val="21"/>
                <w:szCs w:val="21"/>
                <w:highlight w:val="none"/>
              </w:rPr>
              <w:t>阻碍或隐匿部分资料</w:t>
            </w:r>
          </w:p>
        </w:tc>
        <w:tc>
          <w:tcPr>
            <w:tcW w:w="2155"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围堵、滞留执法人员或拒绝提供资料</w:t>
            </w:r>
          </w:p>
        </w:tc>
        <w:tc>
          <w:tcPr>
            <w:tcW w:w="2155"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暴力抗法</w:t>
            </w:r>
          </w:p>
        </w:tc>
        <w:tc>
          <w:tcPr>
            <w:tcW w:w="2155"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弄虚作假</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情形</w:t>
            </w:r>
            <w:r>
              <w:rPr>
                <w:rFonts w:hint="eastAsia" w:ascii="Times New Roman" w:hAnsi="Times New Roman" w:cs="宋体"/>
                <w:b/>
                <w:bCs/>
                <w:color w:val="000000"/>
                <w:highlight w:val="none"/>
              </w:rPr>
              <w:t>★</w:t>
            </w:r>
          </w:p>
        </w:tc>
        <w:tc>
          <w:tcPr>
            <w:tcW w:w="578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提供非关键性假信息</w:t>
            </w:r>
          </w:p>
        </w:tc>
        <w:tc>
          <w:tcPr>
            <w:tcW w:w="2155"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提供假信息</w:t>
            </w:r>
          </w:p>
        </w:tc>
        <w:tc>
          <w:tcPr>
            <w:tcW w:w="2155"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伪造现场或证据</w:t>
            </w:r>
          </w:p>
        </w:tc>
        <w:tc>
          <w:tcPr>
            <w:tcW w:w="2155"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eastAsia="仿宋_GB2312" w:cs="Times New Roman"/>
                <w:highlight w:val="none"/>
              </w:rPr>
            </w:pPr>
          </w:p>
        </w:tc>
      </w:tr>
    </w:tbl>
    <w:p>
      <w:pPr>
        <w:widowControl/>
        <w:snapToGrid w:val="0"/>
        <w:jc w:val="left"/>
        <w:outlineLvl w:val="1"/>
        <w:rPr>
          <w:rFonts w:ascii="Times New Roman" w:hAnsi="Times New Roman" w:eastAsia="仿宋_GB2312" w:cs="Times New Roman"/>
          <w:b/>
          <w:bCs/>
          <w:sz w:val="10"/>
          <w:szCs w:val="10"/>
          <w:highlight w:val="none"/>
        </w:rPr>
      </w:pPr>
    </w:p>
    <w:p>
      <w:pPr>
        <w:widowControl/>
        <w:snapToGrid w:val="0"/>
        <w:jc w:val="left"/>
        <w:outlineLvl w:val="1"/>
        <w:rPr>
          <w:rFonts w:ascii="Times New Roman" w:hAnsi="Times New Roman" w:eastAsia="仿宋_GB2312" w:cs="Times New Roman"/>
          <w:b/>
          <w:bCs/>
          <w:sz w:val="10"/>
          <w:szCs w:val="10"/>
          <w:highlight w:val="none"/>
        </w:rPr>
      </w:pPr>
      <w:r>
        <w:rPr>
          <w:rFonts w:ascii="Times New Roman" w:hAnsi="Times New Roman" w:eastAsia="仿宋_GB2312" w:cs="Times New Roman"/>
          <w:b/>
          <w:bCs/>
          <w:sz w:val="32"/>
          <w:szCs w:val="32"/>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783"/>
        <w:gridCol w:w="2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tcPr>
          <w:p>
            <w:pPr>
              <w:snapToGrid w:val="0"/>
              <w:jc w:val="center"/>
              <w:rPr>
                <w:rFonts w:ascii="Times New Roman" w:hAnsi="Times New Roman" w:cs="Times New Roman"/>
                <w:highlight w:val="none"/>
              </w:rPr>
            </w:pPr>
            <w:r>
              <w:rPr>
                <w:rFonts w:ascii="Times New Roman" w:hAnsi="Times New Roman" w:eastAsia="仿宋_GB2312" w:cs="Times New Roman"/>
                <w:b/>
                <w:bCs/>
                <w:sz w:val="32"/>
                <w:szCs w:val="32"/>
                <w:highlight w:val="none"/>
              </w:rPr>
              <w:br w:type="page"/>
            </w:r>
            <w:r>
              <w:rPr>
                <w:rFonts w:ascii="Times New Roman" w:hAnsi="Times New Roman" w:eastAsia="仿宋_GB2312" w:cs="Times New Roman"/>
                <w:b/>
                <w:bCs/>
                <w:sz w:val="32"/>
                <w:szCs w:val="32"/>
                <w:highlight w:val="none"/>
              </w:rPr>
              <w:br w:type="page"/>
            </w:r>
            <w:r>
              <w:rPr>
                <w:rFonts w:hint="eastAsia" w:ascii="Times New Roman" w:hAnsi="Times New Roman" w:eastAsia="仿宋_GB2312" w:cs="仿宋_GB2312"/>
                <w:b/>
                <w:bCs/>
                <w:sz w:val="32"/>
                <w:szCs w:val="32"/>
                <w:highlight w:val="none"/>
              </w:rPr>
              <w:t>（六）海洋污染防治类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ind w:firstLine="42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造成海洋生态系统破坏的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2"/>
              <w:snapToGrid w:val="0"/>
              <w:spacing w:before="62" w:beforeLines="20" w:beforeAutospacing="0" w:after="0" w:afterAutospacing="0" w:line="288" w:lineRule="auto"/>
              <w:ind w:firstLine="482"/>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《中华人民共和国海洋环境保护法》第二十五条</w:t>
            </w:r>
            <w:r>
              <w:rPr>
                <w:rFonts w:ascii="Times New Roman" w:hAnsi="Times New Roman" w:eastAsia="仿宋_GB2312" w:cs="Times New Roman"/>
                <w:b/>
                <w:bCs/>
                <w:kern w:val="2"/>
                <w:sz w:val="21"/>
                <w:szCs w:val="21"/>
                <w:highlight w:val="none"/>
              </w:rPr>
              <w:t xml:space="preserve"> </w:t>
            </w:r>
            <w:r>
              <w:rPr>
                <w:rFonts w:hint="eastAsia" w:ascii="Times New Roman" w:hAnsi="Times New Roman" w:eastAsia="仿宋_GB2312" w:cs="仿宋_GB2312"/>
                <w:kern w:val="2"/>
                <w:sz w:val="21"/>
                <w:szCs w:val="21"/>
                <w:highlight w:val="none"/>
              </w:rPr>
              <w:t>引进海洋动植物物种，应当进行科学论证，避免对海洋生态系统造成危害。</w:t>
            </w:r>
          </w:p>
          <w:p>
            <w:pPr>
              <w:pStyle w:val="12"/>
              <w:snapToGrid w:val="0"/>
              <w:spacing w:before="0" w:beforeAutospacing="0" w:after="0" w:afterAutospacing="0" w:line="288" w:lineRule="auto"/>
              <w:ind w:firstLine="482"/>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第三十六条</w:t>
            </w:r>
            <w:r>
              <w:rPr>
                <w:rFonts w:ascii="Times New Roman" w:hAnsi="Times New Roman" w:eastAsia="仿宋_GB2312" w:cs="Times New Roman"/>
                <w:b/>
                <w:bCs/>
                <w:kern w:val="2"/>
                <w:sz w:val="21"/>
                <w:szCs w:val="21"/>
                <w:highlight w:val="none"/>
              </w:rPr>
              <w:t xml:space="preserve"> </w:t>
            </w:r>
            <w:r>
              <w:rPr>
                <w:rFonts w:hint="eastAsia" w:ascii="Times New Roman" w:hAnsi="Times New Roman" w:eastAsia="仿宋_GB2312" w:cs="仿宋_GB2312"/>
                <w:kern w:val="2"/>
                <w:sz w:val="21"/>
                <w:szCs w:val="21"/>
                <w:highlight w:val="none"/>
              </w:rPr>
              <w:t>向海域排放含热废水，必须采取有效措施，保证邻近渔业水域的水温符合国家海洋环境质量标准，避免热污染对水产资源的危害。</w:t>
            </w:r>
          </w:p>
          <w:p>
            <w:pPr>
              <w:pStyle w:val="12"/>
              <w:snapToGrid w:val="0"/>
              <w:spacing w:before="0" w:beforeAutospacing="0" w:after="0" w:afterAutospacing="0" w:line="288" w:lineRule="auto"/>
              <w:ind w:firstLine="482"/>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第四十六条</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兴建海岸工程建设项目，必须采取有效措施，保护国家和地方重点保护的野生动植物及其生存环境和海洋水产资源。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2"/>
              <w:snapToGrid w:val="0"/>
              <w:spacing w:before="62" w:beforeLines="20" w:beforeAutospacing="0" w:after="0" w:afterAutospacing="0" w:line="288" w:lineRule="auto"/>
              <w:ind w:firstLine="422"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《中华人民共和国海洋环境保护法》第七十六条</w:t>
            </w:r>
            <w:r>
              <w:rPr>
                <w:rFonts w:ascii="Times New Roman" w:hAnsi="Times New Roman" w:eastAsia="仿宋_GB2312" w:cs="Times New Roman"/>
                <w:b/>
                <w:bCs/>
                <w:kern w:val="2"/>
                <w:sz w:val="21"/>
                <w:szCs w:val="21"/>
                <w:highlight w:val="none"/>
              </w:rPr>
              <w:t xml:space="preserve"> </w:t>
            </w:r>
            <w:r>
              <w:rPr>
                <w:rFonts w:hint="eastAsia" w:ascii="Times New Roman" w:hAnsi="Times New Roman" w:eastAsia="仿宋_GB2312" w:cs="仿宋_GB2312"/>
                <w:kern w:val="2"/>
                <w:sz w:val="21"/>
                <w:szCs w:val="21"/>
                <w:highlight w:val="none"/>
              </w:rPr>
              <w:t>违反本法规定，造成珊瑚礁、红树林等海洋生态系统及海洋水产资源、海洋保护区破坏的，由依照本法规定行使海洋环境监督管理权的部门责令限期改正和采取补救措施，并处一万元以上十万元以下的罚款；有违法所得的，没收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78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15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造成破坏</w:t>
            </w:r>
          </w:p>
          <w:p>
            <w:pPr>
              <w:snapToGrid w:val="0"/>
              <w:jc w:val="center"/>
              <w:rPr>
                <w:rFonts w:ascii="Times New Roman" w:hAnsi="Times New Roman" w:cs="宋体"/>
                <w:b/>
                <w:bCs/>
                <w:highlight w:val="none"/>
              </w:rPr>
            </w:pPr>
            <w:r>
              <w:rPr>
                <w:rFonts w:hint="eastAsia" w:ascii="Times New Roman" w:hAnsi="Times New Roman" w:cs="宋体"/>
                <w:b/>
                <w:bCs/>
                <w:highlight w:val="none"/>
              </w:rPr>
              <w:t>程度</w:t>
            </w:r>
            <w:r>
              <w:rPr>
                <w:rFonts w:hint="eastAsia" w:ascii="Times New Roman" w:hAnsi="Times New Roman" w:cs="宋体"/>
                <w:b/>
                <w:bCs/>
                <w:color w:val="000000"/>
                <w:highlight w:val="none"/>
              </w:rPr>
              <w:t>★</w:t>
            </w:r>
          </w:p>
        </w:tc>
        <w:tc>
          <w:tcPr>
            <w:tcW w:w="5783" w:type="dxa"/>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已造成环境污染，尚未扩散</w:t>
            </w:r>
          </w:p>
        </w:tc>
        <w:tc>
          <w:tcPr>
            <w:tcW w:w="215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宋体"/>
                <w:b/>
                <w:bCs/>
                <w:highlight w:val="none"/>
              </w:rPr>
            </w:pPr>
          </w:p>
        </w:tc>
        <w:tc>
          <w:tcPr>
            <w:tcW w:w="5783" w:type="dxa"/>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已造成环境污染，并部分扩散</w:t>
            </w:r>
          </w:p>
        </w:tc>
        <w:tc>
          <w:tcPr>
            <w:tcW w:w="215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宋体"/>
                <w:b/>
                <w:bCs/>
                <w:highlight w:val="none"/>
              </w:rPr>
            </w:pPr>
          </w:p>
        </w:tc>
        <w:tc>
          <w:tcPr>
            <w:tcW w:w="5783" w:type="dxa"/>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已造成环境污染，并大面积扩散</w:t>
            </w:r>
          </w:p>
        </w:tc>
        <w:tc>
          <w:tcPr>
            <w:tcW w:w="215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海洋功能</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区划</w:t>
            </w:r>
          </w:p>
        </w:tc>
        <w:tc>
          <w:tcPr>
            <w:tcW w:w="578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工业与城镇用海区</w:t>
            </w:r>
          </w:p>
        </w:tc>
        <w:tc>
          <w:tcPr>
            <w:tcW w:w="215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港口航运区、农渔业区</w:t>
            </w:r>
          </w:p>
        </w:tc>
        <w:tc>
          <w:tcPr>
            <w:tcW w:w="215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旅游休闲娱乐区</w:t>
            </w:r>
          </w:p>
        </w:tc>
        <w:tc>
          <w:tcPr>
            <w:tcW w:w="215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矿产与能源区</w:t>
            </w:r>
          </w:p>
        </w:tc>
        <w:tc>
          <w:tcPr>
            <w:tcW w:w="215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海洋保护区、特殊利用区、保留区等需要特殊保护的区域</w:t>
            </w:r>
          </w:p>
        </w:tc>
        <w:tc>
          <w:tcPr>
            <w:tcW w:w="215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eastAsia="仿宋_GB2312" w:cs="Times New Roman"/>
                <w:highlight w:val="none"/>
              </w:rPr>
            </w:pPr>
          </w:p>
        </w:tc>
      </w:tr>
    </w:tbl>
    <w:p>
      <w:pPr>
        <w:widowControl/>
        <w:snapToGrid w:val="0"/>
        <w:jc w:val="left"/>
        <w:outlineLvl w:val="1"/>
        <w:rPr>
          <w:rFonts w:ascii="Times New Roman" w:hAnsi="Times New Roman" w:eastAsia="仿宋_GB2312" w:cs="Times New Roman"/>
          <w:b/>
          <w:bCs/>
          <w:sz w:val="10"/>
          <w:szCs w:val="10"/>
          <w:highlight w:val="none"/>
        </w:rPr>
      </w:pPr>
      <w:r>
        <w:rPr>
          <w:rFonts w:ascii="Times New Roman" w:hAnsi="Times New Roman" w:eastAsia="仿宋_GB2312" w:cs="Times New Roman"/>
          <w:b/>
          <w:bCs/>
          <w:sz w:val="32"/>
          <w:szCs w:val="32"/>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783"/>
        <w:gridCol w:w="2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（六）海洋污染防治类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ind w:firstLine="42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违法设置入海排污口的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2"/>
              <w:snapToGrid w:val="0"/>
              <w:spacing w:before="0" w:beforeAutospacing="0" w:after="0" w:afterAutospacing="0"/>
              <w:ind w:firstLine="482"/>
              <w:rPr>
                <w:rFonts w:ascii="Times New Roman" w:hAnsi="Times New Roman" w:eastAsia="仿宋_GB2312" w:cs="Times New Roman"/>
                <w:kern w:val="2"/>
                <w:sz w:val="21"/>
                <w:szCs w:val="21"/>
                <w:highlight w:val="none"/>
              </w:rPr>
            </w:pPr>
            <w:r>
              <w:rPr>
                <w:rFonts w:ascii="Times New Roman" w:hAnsi="Times New Roman" w:eastAsia="仿宋_GB2312" w:cs="Times New Roman"/>
                <w:b/>
                <w:bCs/>
                <w:kern w:val="2"/>
                <w:sz w:val="21"/>
                <w:szCs w:val="21"/>
                <w:highlight w:val="none"/>
              </w:rPr>
              <w:t>1.</w:t>
            </w:r>
            <w:r>
              <w:rPr>
                <w:rFonts w:hint="eastAsia" w:ascii="Times New Roman" w:hAnsi="Times New Roman" w:eastAsia="仿宋_GB2312" w:cs="仿宋_GB2312"/>
                <w:b/>
                <w:bCs/>
                <w:kern w:val="2"/>
                <w:sz w:val="21"/>
                <w:szCs w:val="21"/>
                <w:highlight w:val="none"/>
              </w:rPr>
              <w:t>《中华人民共和国海洋环境保护法》第三十条第一款、第三款</w:t>
            </w:r>
            <w:r>
              <w:rPr>
                <w:rFonts w:ascii="Times New Roman" w:hAnsi="Times New Roman" w:eastAsia="仿宋_GB2312" w:cs="Times New Roman"/>
                <w:b/>
                <w:bCs/>
                <w:kern w:val="2"/>
                <w:sz w:val="21"/>
                <w:szCs w:val="21"/>
                <w:highlight w:val="none"/>
              </w:rPr>
              <w:t xml:space="preserve"> </w:t>
            </w:r>
            <w:r>
              <w:rPr>
                <w:rFonts w:hint="eastAsia" w:ascii="Times New Roman" w:hAnsi="Times New Roman" w:eastAsia="仿宋_GB2312" w:cs="仿宋_GB2312"/>
                <w:kern w:val="2"/>
                <w:sz w:val="21"/>
                <w:szCs w:val="21"/>
                <w:highlight w:val="none"/>
              </w:rPr>
              <w:t>入海排污口位置的选择，应当根据海洋功能区划、海水动力条件和有关规定，经科学论证后，报设区的市级以上人民政府环境保护行政主管部门备案。</w:t>
            </w:r>
          </w:p>
          <w:p>
            <w:pPr>
              <w:pStyle w:val="12"/>
              <w:snapToGrid w:val="0"/>
              <w:spacing w:before="0" w:beforeAutospacing="0" w:after="0" w:afterAutospacing="0"/>
              <w:ind w:firstLine="482"/>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在海洋自然保护区、重要渔业水域、海滨风景名胜区和其他需要特别保护的区域，不得新建排污口。</w:t>
            </w:r>
          </w:p>
          <w:p>
            <w:pPr>
              <w:pStyle w:val="12"/>
              <w:snapToGrid w:val="0"/>
              <w:spacing w:before="0" w:beforeAutospacing="0" w:after="0" w:afterAutospacing="0"/>
              <w:ind w:firstLine="482"/>
              <w:rPr>
                <w:rFonts w:ascii="Times New Roman" w:hAnsi="Times New Roman" w:eastAsia="仿宋_GB2312" w:cs="Times New Roman"/>
                <w:kern w:val="2"/>
                <w:sz w:val="21"/>
                <w:szCs w:val="21"/>
                <w:highlight w:val="none"/>
              </w:rPr>
            </w:pPr>
            <w:r>
              <w:rPr>
                <w:rFonts w:ascii="Times New Roman" w:hAnsi="Times New Roman" w:eastAsia="仿宋_GB2312" w:cs="Times New Roman"/>
                <w:kern w:val="2"/>
                <w:sz w:val="21"/>
                <w:szCs w:val="21"/>
                <w:highlight w:val="none"/>
              </w:rPr>
              <w:t>2.</w:t>
            </w:r>
            <w:r>
              <w:rPr>
                <w:rFonts w:hint="eastAsia" w:ascii="Times New Roman" w:hAnsi="Times New Roman" w:eastAsia="仿宋_GB2312" w:cs="仿宋_GB2312"/>
                <w:b/>
                <w:bCs/>
                <w:kern w:val="2"/>
                <w:sz w:val="21"/>
                <w:szCs w:val="21"/>
                <w:highlight w:val="none"/>
              </w:rPr>
              <w:t>《山东省海洋环境保护条例》第二十条第三款</w:t>
            </w:r>
            <w:r>
              <w:rPr>
                <w:rFonts w:ascii="Times New Roman" w:hAnsi="Times New Roman" w:eastAsia="仿宋_GB2312" w:cs="Times New Roman"/>
                <w:b/>
                <w:bCs/>
                <w:kern w:val="2"/>
                <w:sz w:val="21"/>
                <w:szCs w:val="21"/>
                <w:highlight w:val="none"/>
              </w:rPr>
              <w:t xml:space="preserve"> </w:t>
            </w:r>
            <w:r>
              <w:rPr>
                <w:rFonts w:hint="eastAsia" w:ascii="Times New Roman" w:hAnsi="Times New Roman" w:eastAsia="仿宋_GB2312" w:cs="仿宋_GB2312"/>
                <w:kern w:val="2"/>
                <w:sz w:val="21"/>
                <w:szCs w:val="21"/>
                <w:highlight w:val="none"/>
              </w:rPr>
              <w:t>在海洋自然保护区、海洋特别保护区、海滨风景名胜区、旅游度假区、海水浴场、盐场保护区、重要渔业水域和其他需要特别保护的区域，不得新建排污口。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2"/>
              <w:snapToGrid w:val="0"/>
              <w:spacing w:before="0" w:beforeAutospacing="0" w:after="0" w:afterAutospacing="0"/>
              <w:ind w:firstLine="422" w:firstLineChars="200"/>
              <w:rPr>
                <w:rFonts w:ascii="Times New Roman" w:hAnsi="Times New Roman" w:eastAsia="仿宋_GB2312" w:cs="Times New Roman"/>
                <w:kern w:val="2"/>
                <w:sz w:val="21"/>
                <w:szCs w:val="21"/>
                <w:highlight w:val="none"/>
              </w:rPr>
            </w:pPr>
            <w:r>
              <w:rPr>
                <w:rFonts w:ascii="Times New Roman" w:hAnsi="Times New Roman" w:eastAsia="仿宋_GB2312" w:cs="Times New Roman"/>
                <w:b/>
                <w:bCs/>
                <w:kern w:val="2"/>
                <w:sz w:val="21"/>
                <w:szCs w:val="21"/>
                <w:highlight w:val="none"/>
              </w:rPr>
              <w:t>1.</w:t>
            </w:r>
            <w:r>
              <w:rPr>
                <w:rFonts w:hint="eastAsia" w:ascii="Times New Roman" w:hAnsi="Times New Roman" w:eastAsia="仿宋_GB2312" w:cs="仿宋_GB2312"/>
                <w:b/>
                <w:bCs/>
                <w:kern w:val="2"/>
                <w:sz w:val="21"/>
                <w:szCs w:val="21"/>
                <w:highlight w:val="none"/>
              </w:rPr>
              <w:t>《中华人民共和国海洋环境保护法》第七十七条</w:t>
            </w:r>
            <w:r>
              <w:rPr>
                <w:rFonts w:ascii="Times New Roman" w:hAnsi="Times New Roman" w:eastAsia="仿宋_GB2312" w:cs="Times New Roman"/>
                <w:b/>
                <w:bCs/>
                <w:kern w:val="2"/>
                <w:sz w:val="21"/>
                <w:szCs w:val="21"/>
                <w:highlight w:val="none"/>
              </w:rPr>
              <w:t xml:space="preserve"> </w:t>
            </w:r>
            <w:r>
              <w:rPr>
                <w:rFonts w:hint="eastAsia" w:ascii="Times New Roman" w:hAnsi="Times New Roman" w:eastAsia="仿宋_GB2312" w:cs="仿宋_GB2312"/>
                <w:kern w:val="2"/>
                <w:sz w:val="21"/>
                <w:szCs w:val="21"/>
                <w:highlight w:val="none"/>
              </w:rPr>
              <w:t>违反本法第三十条第一款、第三款规定设置入海排污口的，由县级以上地方人民政府环境保护行政主管部门责令其关闭，并处二万元以上十万元以下的罚款。</w:t>
            </w:r>
          </w:p>
          <w:p>
            <w:pPr>
              <w:pStyle w:val="12"/>
              <w:snapToGrid w:val="0"/>
              <w:spacing w:before="0" w:beforeAutospacing="0" w:after="0" w:afterAutospacing="0"/>
              <w:ind w:firstLine="420"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海洋、海事、渔业行政主管部门和军队环境保护部门发现入海排污口设置违反本法第三十条第一款、第三款规定的，应当通报环境保护行政主管部门依照前款规定予以处罚。</w:t>
            </w:r>
          </w:p>
          <w:p>
            <w:pPr>
              <w:pStyle w:val="12"/>
              <w:snapToGrid w:val="0"/>
              <w:spacing w:before="0" w:beforeAutospacing="0" w:after="0" w:afterAutospacing="0"/>
              <w:ind w:firstLine="422" w:firstLineChars="200"/>
              <w:rPr>
                <w:rFonts w:ascii="Times New Roman" w:hAnsi="Times New Roman" w:eastAsia="仿宋_GB2312" w:cs="Times New Roman"/>
                <w:kern w:val="2"/>
                <w:sz w:val="21"/>
                <w:szCs w:val="21"/>
                <w:highlight w:val="none"/>
              </w:rPr>
            </w:pPr>
            <w:r>
              <w:rPr>
                <w:rFonts w:ascii="Times New Roman" w:hAnsi="Times New Roman" w:eastAsia="仿宋_GB2312" w:cs="Times New Roman"/>
                <w:b/>
                <w:bCs/>
                <w:kern w:val="2"/>
                <w:sz w:val="21"/>
                <w:szCs w:val="21"/>
                <w:highlight w:val="none"/>
              </w:rPr>
              <w:t>2.</w:t>
            </w:r>
            <w:r>
              <w:rPr>
                <w:rFonts w:hint="eastAsia" w:ascii="Times New Roman" w:hAnsi="Times New Roman" w:eastAsia="仿宋_GB2312" w:cs="仿宋_GB2312"/>
                <w:b/>
                <w:bCs/>
                <w:kern w:val="2"/>
                <w:sz w:val="21"/>
                <w:szCs w:val="21"/>
                <w:highlight w:val="none"/>
              </w:rPr>
              <w:t>《山东省海洋环境保护条例》第三十四条</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违反本条例规定，在海洋自然保护区、海洋特别保护区、海滨风景名胜区、旅游度假区、海水浴场、盐场保护区、重要渔业水域和其他需要特别保护的区域设置入海排污口的，由生态环境主管部门责令关闭，并处二万元以上十万元以下的罚款。</w:t>
            </w:r>
          </w:p>
          <w:p>
            <w:pPr>
              <w:pStyle w:val="12"/>
              <w:snapToGrid w:val="0"/>
              <w:spacing w:before="0" w:beforeAutospacing="0" w:after="0" w:afterAutospacing="0"/>
              <w:ind w:firstLine="420"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自然资源、农业农村、海事部门和军队环境保护部门发现违法设置入海排污口的，应当通报生态环境主管部门依照前款规定予以处罚。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78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15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color w:val="000000"/>
                <w:highlight w:val="none"/>
              </w:rPr>
              <w:t>违法事实★</w:t>
            </w:r>
          </w:p>
        </w:tc>
        <w:tc>
          <w:tcPr>
            <w:tcW w:w="578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排污口正在建设中</w:t>
            </w:r>
          </w:p>
        </w:tc>
        <w:tc>
          <w:tcPr>
            <w:tcW w:w="2155"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排污口已建成，尚未投入使用</w:t>
            </w:r>
          </w:p>
        </w:tc>
        <w:tc>
          <w:tcPr>
            <w:tcW w:w="2155"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排污口已正常使用</w:t>
            </w:r>
          </w:p>
        </w:tc>
        <w:tc>
          <w:tcPr>
            <w:tcW w:w="2155"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海洋功能</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区划</w:t>
            </w:r>
          </w:p>
        </w:tc>
        <w:tc>
          <w:tcPr>
            <w:tcW w:w="578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工业与城镇用海区</w:t>
            </w:r>
          </w:p>
        </w:tc>
        <w:tc>
          <w:tcPr>
            <w:tcW w:w="215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港口航运区、农渔业区</w:t>
            </w:r>
          </w:p>
        </w:tc>
        <w:tc>
          <w:tcPr>
            <w:tcW w:w="215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旅游休闲娱乐区</w:t>
            </w:r>
          </w:p>
        </w:tc>
        <w:tc>
          <w:tcPr>
            <w:tcW w:w="215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矿产与能源区</w:t>
            </w:r>
          </w:p>
        </w:tc>
        <w:tc>
          <w:tcPr>
            <w:tcW w:w="215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海洋保护区、特殊利用区、保留区等需要特殊保护的区域</w:t>
            </w:r>
          </w:p>
        </w:tc>
        <w:tc>
          <w:tcPr>
            <w:tcW w:w="215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highlight w:val="none"/>
              </w:rPr>
              <w:t>废水类别</w:t>
            </w:r>
          </w:p>
        </w:tc>
        <w:tc>
          <w:tcPr>
            <w:tcW w:w="5783"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生活废水</w:t>
            </w:r>
          </w:p>
        </w:tc>
        <w:tc>
          <w:tcPr>
            <w:tcW w:w="2155"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服务业废水</w:t>
            </w:r>
          </w:p>
        </w:tc>
        <w:tc>
          <w:tcPr>
            <w:tcW w:w="2155"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一般工业废水</w:t>
            </w:r>
          </w:p>
        </w:tc>
        <w:tc>
          <w:tcPr>
            <w:tcW w:w="2155"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含其他有毒有害物质的废水、医疗废水</w:t>
            </w:r>
          </w:p>
        </w:tc>
        <w:tc>
          <w:tcPr>
            <w:tcW w:w="2155"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含一类污染物或重金属、病原体、放射性物质的废水</w:t>
            </w:r>
          </w:p>
        </w:tc>
        <w:tc>
          <w:tcPr>
            <w:tcW w:w="2155"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eastAsia="仿宋_GB2312" w:cs="Times New Roman"/>
                <w:highlight w:val="none"/>
              </w:rPr>
            </w:pPr>
          </w:p>
        </w:tc>
      </w:tr>
    </w:tbl>
    <w:p>
      <w:pPr>
        <w:widowControl/>
        <w:snapToGrid w:val="0"/>
        <w:jc w:val="left"/>
        <w:outlineLvl w:val="1"/>
        <w:rPr>
          <w:rFonts w:ascii="Times New Roman" w:hAnsi="Times New Roman" w:eastAsia="仿宋_GB2312" w:cs="Times New Roman"/>
          <w:b/>
          <w:bCs/>
          <w:sz w:val="10"/>
          <w:szCs w:val="10"/>
          <w:highlight w:val="none"/>
        </w:rPr>
      </w:pPr>
      <w:r>
        <w:rPr>
          <w:rFonts w:ascii="Times New Roman" w:hAnsi="Times New Roman" w:eastAsia="仿宋_GB2312" w:cs="Times New Roman"/>
          <w:b/>
          <w:bCs/>
          <w:sz w:val="32"/>
          <w:szCs w:val="32"/>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925"/>
        <w:gridCol w:w="2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（六）海洋污染防治类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tcPr>
          <w:p>
            <w:pPr>
              <w:snapToGrid w:val="0"/>
              <w:spacing w:before="62" w:beforeLines="20"/>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海岸工程建设项目未建成环境保护设施，或者环境保护设施未达到规定要求即投入生产、使用的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2"/>
              <w:snapToGrid w:val="0"/>
              <w:spacing w:before="62" w:beforeLines="20" w:beforeAutospacing="0" w:after="0" w:afterAutospacing="0"/>
              <w:ind w:firstLine="42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《中华人民共和国海洋环境保护法》第四十四条</w:t>
            </w:r>
            <w:r>
              <w:rPr>
                <w:rFonts w:ascii="Times New Roman" w:hAnsi="Times New Roman" w:eastAsia="仿宋_GB2312" w:cs="Times New Roman"/>
                <w:b/>
                <w:bCs/>
                <w:kern w:val="2"/>
                <w:sz w:val="21"/>
                <w:szCs w:val="21"/>
                <w:highlight w:val="none"/>
              </w:rPr>
              <w:t xml:space="preserve"> </w:t>
            </w:r>
            <w:r>
              <w:rPr>
                <w:rFonts w:hint="eastAsia" w:ascii="Times New Roman" w:hAnsi="Times New Roman" w:eastAsia="仿宋_GB2312" w:cs="仿宋_GB2312"/>
                <w:kern w:val="2"/>
                <w:sz w:val="21"/>
                <w:szCs w:val="21"/>
                <w:highlight w:val="none"/>
              </w:rPr>
              <w:t>海岸工程建设项目的环境保护设施，必须与主体工程同时设计、同时施工、同时投产使用。环境保护设施应当符合经批准的环境影响评价报告书（表）的要求。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2"/>
              <w:snapToGrid w:val="0"/>
              <w:spacing w:before="62" w:beforeLines="20" w:beforeAutospacing="0" w:after="0" w:afterAutospacing="0"/>
              <w:ind w:firstLine="422"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《中华人民共和国海洋环境保护法》第八十条</w:t>
            </w:r>
            <w:r>
              <w:rPr>
                <w:rFonts w:ascii="Times New Roman" w:hAnsi="Times New Roman" w:eastAsia="仿宋_GB2312" w:cs="Times New Roman"/>
                <w:b/>
                <w:bCs/>
                <w:kern w:val="2"/>
                <w:sz w:val="21"/>
                <w:szCs w:val="21"/>
                <w:highlight w:val="none"/>
              </w:rPr>
              <w:t xml:space="preserve"> </w:t>
            </w:r>
            <w:r>
              <w:rPr>
                <w:rFonts w:hint="eastAsia" w:ascii="Times New Roman" w:hAnsi="Times New Roman" w:eastAsia="仿宋_GB2312" w:cs="仿宋_GB2312"/>
                <w:kern w:val="2"/>
                <w:sz w:val="21"/>
                <w:szCs w:val="21"/>
                <w:highlight w:val="none"/>
              </w:rPr>
              <w:t>违反本法第四十四条的规定，海岸工程建设项目未建成环境保护设施，或者环境保护设施未达到规定要求即投入生产、使用的，由环境保护行政主管部门责令其停止生产或者使用，并处二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92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0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925" w:type="dxa"/>
            <w:vAlign w:val="center"/>
          </w:tcPr>
          <w:p>
            <w:pPr>
              <w:pStyle w:val="11"/>
              <w:snapToGrid w:val="0"/>
              <w:jc w:val="center"/>
              <w:rPr>
                <w:rFonts w:ascii="Times New Roman" w:hAnsi="Times New Roman" w:eastAsia="仿宋_GB2312" w:cs="Times New Roman"/>
                <w:color w:val="000000"/>
                <w:kern w:val="2"/>
                <w:sz w:val="21"/>
                <w:szCs w:val="21"/>
                <w:highlight w:val="none"/>
              </w:rPr>
            </w:pPr>
            <w:r>
              <w:rPr>
                <w:rFonts w:hint="eastAsia" w:ascii="Times New Roman" w:hAnsi="Times New Roman" w:eastAsia="仿宋_GB2312" w:cs="仿宋_GB2312"/>
                <w:color w:val="000000"/>
                <w:kern w:val="2"/>
                <w:sz w:val="21"/>
                <w:szCs w:val="21"/>
                <w:highlight w:val="none"/>
              </w:rPr>
              <w:t>污染防治设施已建成未经验收或验收不合格，主体工程投入生产或者使用的</w:t>
            </w:r>
          </w:p>
        </w:tc>
        <w:tc>
          <w:tcPr>
            <w:tcW w:w="201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1" w:type="dxa"/>
            <w:vMerge w:val="continue"/>
            <w:vAlign w:val="center"/>
          </w:tcPr>
          <w:p>
            <w:pPr>
              <w:snapToGrid w:val="0"/>
              <w:jc w:val="center"/>
              <w:rPr>
                <w:rFonts w:ascii="Times New Roman" w:hAnsi="Times New Roman" w:cs="Times New Roman"/>
                <w:b/>
                <w:bCs/>
                <w:highlight w:val="none"/>
              </w:rPr>
            </w:pPr>
          </w:p>
        </w:tc>
        <w:tc>
          <w:tcPr>
            <w:tcW w:w="592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color w:val="000000"/>
                <w:kern w:val="2"/>
                <w:sz w:val="21"/>
                <w:szCs w:val="21"/>
                <w:highlight w:val="none"/>
              </w:rPr>
              <w:t>污染防治设施已动工建设尚未建成，主体工程投入生产或者使用的</w:t>
            </w:r>
          </w:p>
        </w:tc>
        <w:tc>
          <w:tcPr>
            <w:tcW w:w="2013"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925" w:type="dxa"/>
            <w:vAlign w:val="center"/>
          </w:tcPr>
          <w:p>
            <w:pPr>
              <w:pStyle w:val="11"/>
              <w:snapToGrid w:val="0"/>
              <w:jc w:val="center"/>
              <w:rPr>
                <w:rFonts w:ascii="Times New Roman" w:hAnsi="Times New Roman" w:eastAsia="仿宋_GB2312" w:cs="Times New Roman"/>
                <w:color w:val="000000"/>
                <w:kern w:val="2"/>
                <w:sz w:val="21"/>
                <w:szCs w:val="21"/>
                <w:highlight w:val="none"/>
              </w:rPr>
            </w:pPr>
            <w:r>
              <w:rPr>
                <w:rFonts w:hint="eastAsia" w:ascii="Times New Roman" w:hAnsi="Times New Roman" w:eastAsia="仿宋_GB2312" w:cs="仿宋_GB2312"/>
                <w:color w:val="000000"/>
                <w:kern w:val="2"/>
                <w:sz w:val="21"/>
                <w:szCs w:val="21"/>
                <w:highlight w:val="none"/>
              </w:rPr>
              <w:t>污染防治设施尚未建设，主体工程投入生产或使用的</w:t>
            </w:r>
          </w:p>
        </w:tc>
        <w:tc>
          <w:tcPr>
            <w:tcW w:w="201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排放污染物类型</w:t>
            </w:r>
          </w:p>
        </w:tc>
        <w:tc>
          <w:tcPr>
            <w:tcW w:w="592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color w:val="000000"/>
                <w:sz w:val="21"/>
                <w:szCs w:val="21"/>
                <w:highlight w:val="none"/>
              </w:rPr>
              <w:t>餐饮油烟（经营）</w:t>
            </w:r>
            <w:r>
              <w:rPr>
                <w:rFonts w:ascii="Times New Roman" w:hAnsi="Times New Roman" w:eastAsia="仿宋_GB2312" w:cs="Times New Roman"/>
                <w:color w:val="000000"/>
                <w:sz w:val="21"/>
                <w:szCs w:val="21"/>
                <w:highlight w:val="none"/>
              </w:rPr>
              <w:t>/</w:t>
            </w:r>
            <w:r>
              <w:rPr>
                <w:rFonts w:hint="eastAsia" w:ascii="Times New Roman" w:hAnsi="Times New Roman" w:eastAsia="仿宋_GB2312" w:cs="仿宋_GB2312"/>
                <w:color w:val="000000"/>
                <w:sz w:val="21"/>
                <w:szCs w:val="21"/>
                <w:highlight w:val="none"/>
              </w:rPr>
              <w:t>生活废水</w:t>
            </w:r>
            <w:r>
              <w:rPr>
                <w:rFonts w:ascii="Times New Roman" w:hAnsi="Times New Roman" w:eastAsia="仿宋_GB2312" w:cs="Times New Roman"/>
                <w:color w:val="000000"/>
                <w:sz w:val="21"/>
                <w:szCs w:val="21"/>
                <w:highlight w:val="none"/>
              </w:rPr>
              <w:t>/</w:t>
            </w:r>
            <w:r>
              <w:rPr>
                <w:rFonts w:hint="eastAsia"/>
                <w:color w:val="000000"/>
                <w:sz w:val="21"/>
                <w:szCs w:val="21"/>
                <w:highlight w:val="none"/>
              </w:rPr>
              <w:t>Ⅰ</w:t>
            </w:r>
            <w:r>
              <w:rPr>
                <w:rFonts w:hint="eastAsia" w:ascii="Times New Roman" w:hAnsi="Times New Roman" w:eastAsia="仿宋_GB2312" w:cs="仿宋_GB2312"/>
                <w:color w:val="000000"/>
                <w:sz w:val="21"/>
                <w:szCs w:val="21"/>
                <w:highlight w:val="none"/>
              </w:rPr>
              <w:t>类一般工业固体废物</w:t>
            </w:r>
          </w:p>
        </w:tc>
        <w:tc>
          <w:tcPr>
            <w:tcW w:w="2013"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1" w:type="dxa"/>
            <w:vMerge w:val="continue"/>
            <w:vAlign w:val="center"/>
          </w:tcPr>
          <w:p>
            <w:pPr>
              <w:snapToGrid w:val="0"/>
              <w:jc w:val="center"/>
              <w:rPr>
                <w:rFonts w:ascii="Times New Roman" w:hAnsi="Times New Roman" w:cs="Times New Roman"/>
                <w:b/>
                <w:bCs/>
                <w:highlight w:val="none"/>
              </w:rPr>
            </w:pPr>
          </w:p>
        </w:tc>
        <w:tc>
          <w:tcPr>
            <w:tcW w:w="592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color w:val="000000"/>
                <w:sz w:val="21"/>
                <w:szCs w:val="21"/>
                <w:highlight w:val="none"/>
              </w:rPr>
              <w:t>农业生产、畜禽养殖废气</w:t>
            </w:r>
            <w:r>
              <w:rPr>
                <w:rFonts w:ascii="Times New Roman" w:hAnsi="Times New Roman" w:eastAsia="仿宋_GB2312" w:cs="Times New Roman"/>
                <w:color w:val="000000"/>
                <w:sz w:val="21"/>
                <w:szCs w:val="21"/>
                <w:highlight w:val="none"/>
              </w:rPr>
              <w:t>/</w:t>
            </w:r>
            <w:r>
              <w:rPr>
                <w:rFonts w:hint="eastAsia" w:ascii="Times New Roman" w:hAnsi="Times New Roman" w:eastAsia="仿宋_GB2312" w:cs="仿宋_GB2312"/>
                <w:color w:val="000000"/>
                <w:sz w:val="21"/>
                <w:szCs w:val="21"/>
                <w:highlight w:val="none"/>
              </w:rPr>
              <w:t>工业扬尘废气</w:t>
            </w:r>
            <w:r>
              <w:rPr>
                <w:rFonts w:ascii="Times New Roman" w:hAnsi="Times New Roman" w:eastAsia="仿宋_GB2312" w:cs="Times New Roman"/>
                <w:color w:val="000000"/>
                <w:sz w:val="21"/>
                <w:szCs w:val="21"/>
                <w:highlight w:val="none"/>
              </w:rPr>
              <w:t>/</w:t>
            </w:r>
            <w:r>
              <w:rPr>
                <w:rFonts w:hint="eastAsia" w:ascii="Times New Roman" w:hAnsi="Times New Roman" w:eastAsia="仿宋_GB2312" w:cs="仿宋_GB2312"/>
                <w:color w:val="000000"/>
                <w:sz w:val="21"/>
                <w:szCs w:val="21"/>
                <w:highlight w:val="none"/>
              </w:rPr>
              <w:t>机械、汽车修理废气</w:t>
            </w:r>
            <w:r>
              <w:rPr>
                <w:rFonts w:ascii="Times New Roman" w:hAnsi="Times New Roman" w:eastAsia="仿宋_GB2312" w:cs="Times New Roman"/>
                <w:color w:val="000000"/>
                <w:sz w:val="21"/>
                <w:szCs w:val="21"/>
                <w:highlight w:val="none"/>
              </w:rPr>
              <w:t>/</w:t>
            </w:r>
            <w:r>
              <w:rPr>
                <w:rFonts w:hint="eastAsia" w:ascii="Times New Roman" w:hAnsi="Times New Roman" w:eastAsia="仿宋_GB2312" w:cs="仿宋_GB2312"/>
                <w:color w:val="000000"/>
                <w:sz w:val="21"/>
                <w:szCs w:val="21"/>
                <w:highlight w:val="none"/>
              </w:rPr>
              <w:t>服务业废水</w:t>
            </w:r>
          </w:p>
        </w:tc>
        <w:tc>
          <w:tcPr>
            <w:tcW w:w="2013"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1" w:type="dxa"/>
            <w:vMerge w:val="continue"/>
            <w:vAlign w:val="center"/>
          </w:tcPr>
          <w:p>
            <w:pPr>
              <w:snapToGrid w:val="0"/>
              <w:jc w:val="center"/>
              <w:rPr>
                <w:rFonts w:ascii="Times New Roman" w:hAnsi="Times New Roman" w:cs="Times New Roman"/>
                <w:b/>
                <w:bCs/>
                <w:highlight w:val="none"/>
              </w:rPr>
            </w:pPr>
          </w:p>
        </w:tc>
        <w:tc>
          <w:tcPr>
            <w:tcW w:w="592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color w:val="000000"/>
                <w:sz w:val="21"/>
                <w:szCs w:val="21"/>
                <w:highlight w:val="none"/>
              </w:rPr>
              <w:t>一般工业废气</w:t>
            </w:r>
            <w:r>
              <w:rPr>
                <w:rFonts w:ascii="Times New Roman" w:hAnsi="Times New Roman" w:eastAsia="仿宋_GB2312" w:cs="Times New Roman"/>
                <w:color w:val="000000"/>
                <w:sz w:val="21"/>
                <w:szCs w:val="21"/>
                <w:highlight w:val="none"/>
              </w:rPr>
              <w:t>/</w:t>
            </w:r>
            <w:r>
              <w:rPr>
                <w:rFonts w:hint="eastAsia" w:ascii="Times New Roman" w:hAnsi="Times New Roman" w:eastAsia="仿宋_GB2312" w:cs="仿宋_GB2312"/>
                <w:color w:val="000000"/>
                <w:sz w:val="21"/>
                <w:szCs w:val="21"/>
                <w:highlight w:val="none"/>
              </w:rPr>
              <w:t>含恶臭污染物的废气</w:t>
            </w:r>
            <w:r>
              <w:rPr>
                <w:rFonts w:ascii="Times New Roman" w:hAnsi="Times New Roman" w:eastAsia="仿宋_GB2312" w:cs="Times New Roman"/>
                <w:color w:val="000000"/>
                <w:sz w:val="21"/>
                <w:szCs w:val="21"/>
                <w:highlight w:val="none"/>
              </w:rPr>
              <w:t>/</w:t>
            </w:r>
            <w:r>
              <w:rPr>
                <w:rFonts w:hint="eastAsia" w:ascii="Times New Roman" w:hAnsi="Times New Roman" w:eastAsia="仿宋_GB2312" w:cs="仿宋_GB2312"/>
                <w:color w:val="000000"/>
                <w:sz w:val="21"/>
                <w:szCs w:val="21"/>
                <w:highlight w:val="none"/>
              </w:rPr>
              <w:t>医疗废气</w:t>
            </w:r>
            <w:r>
              <w:rPr>
                <w:rFonts w:ascii="Times New Roman" w:hAnsi="Times New Roman" w:eastAsia="仿宋_GB2312" w:cs="Times New Roman"/>
                <w:color w:val="000000"/>
                <w:sz w:val="21"/>
                <w:szCs w:val="21"/>
                <w:highlight w:val="none"/>
              </w:rPr>
              <w:t>/</w:t>
            </w:r>
            <w:r>
              <w:rPr>
                <w:rFonts w:hint="eastAsia" w:ascii="Times New Roman" w:hAnsi="Times New Roman" w:eastAsia="仿宋_GB2312" w:cs="仿宋_GB2312"/>
                <w:color w:val="000000"/>
                <w:sz w:val="21"/>
                <w:szCs w:val="21"/>
                <w:highlight w:val="none"/>
              </w:rPr>
              <w:t>实验室废气</w:t>
            </w:r>
            <w:r>
              <w:rPr>
                <w:rFonts w:ascii="Times New Roman" w:hAnsi="Times New Roman" w:eastAsia="仿宋_GB2312" w:cs="Times New Roman"/>
                <w:color w:val="000000"/>
                <w:sz w:val="21"/>
                <w:szCs w:val="21"/>
                <w:highlight w:val="none"/>
              </w:rPr>
              <w:t>/</w:t>
            </w:r>
            <w:r>
              <w:rPr>
                <w:rFonts w:hint="eastAsia" w:ascii="Times New Roman" w:hAnsi="Times New Roman" w:eastAsia="仿宋_GB2312" w:cs="仿宋_GB2312"/>
                <w:color w:val="000000"/>
                <w:sz w:val="21"/>
                <w:szCs w:val="21"/>
                <w:highlight w:val="none"/>
              </w:rPr>
              <w:t>一般工业废水</w:t>
            </w:r>
            <w:r>
              <w:rPr>
                <w:rFonts w:ascii="Times New Roman" w:hAnsi="Times New Roman" w:eastAsia="仿宋_GB2312" w:cs="Times New Roman"/>
                <w:color w:val="000000"/>
                <w:sz w:val="21"/>
                <w:szCs w:val="21"/>
                <w:highlight w:val="none"/>
              </w:rPr>
              <w:t>/</w:t>
            </w:r>
            <w:r>
              <w:rPr>
                <w:rFonts w:hint="eastAsia"/>
                <w:color w:val="000000"/>
                <w:sz w:val="21"/>
                <w:szCs w:val="21"/>
                <w:highlight w:val="none"/>
              </w:rPr>
              <w:t>Ⅱ</w:t>
            </w:r>
            <w:r>
              <w:rPr>
                <w:rFonts w:hint="eastAsia" w:ascii="Times New Roman" w:hAnsi="Times New Roman" w:eastAsia="仿宋_GB2312" w:cs="仿宋_GB2312"/>
                <w:color w:val="000000"/>
                <w:sz w:val="21"/>
                <w:szCs w:val="21"/>
                <w:highlight w:val="none"/>
              </w:rPr>
              <w:t>类一般工业固体废物</w:t>
            </w:r>
          </w:p>
        </w:tc>
        <w:tc>
          <w:tcPr>
            <w:tcW w:w="2013"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1" w:type="dxa"/>
            <w:vMerge w:val="continue"/>
            <w:vAlign w:val="center"/>
          </w:tcPr>
          <w:p>
            <w:pPr>
              <w:snapToGrid w:val="0"/>
              <w:jc w:val="center"/>
              <w:rPr>
                <w:rFonts w:ascii="Times New Roman" w:hAnsi="Times New Roman" w:cs="Times New Roman"/>
                <w:b/>
                <w:bCs/>
                <w:highlight w:val="none"/>
              </w:rPr>
            </w:pPr>
          </w:p>
        </w:tc>
        <w:tc>
          <w:tcPr>
            <w:tcW w:w="592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color w:val="000000"/>
                <w:sz w:val="21"/>
                <w:szCs w:val="21"/>
                <w:highlight w:val="none"/>
              </w:rPr>
              <w:t>火电、钢铁、石化、水泥、炼焦、有色、化工废气、烟尘</w:t>
            </w:r>
            <w:r>
              <w:rPr>
                <w:rFonts w:ascii="Times New Roman" w:hAnsi="Times New Roman" w:eastAsia="仿宋_GB2312" w:cs="Times New Roman"/>
                <w:color w:val="000000"/>
                <w:sz w:val="21"/>
                <w:szCs w:val="21"/>
                <w:highlight w:val="none"/>
              </w:rPr>
              <w:t>/</w:t>
            </w:r>
            <w:r>
              <w:rPr>
                <w:rFonts w:hint="eastAsia" w:ascii="Times New Roman" w:hAnsi="Times New Roman" w:eastAsia="仿宋_GB2312" w:cs="仿宋_GB2312"/>
                <w:color w:val="000000"/>
                <w:sz w:val="21"/>
                <w:szCs w:val="21"/>
                <w:highlight w:val="none"/>
              </w:rPr>
              <w:t>燃煤锅炉废气、烟尘</w:t>
            </w:r>
            <w:r>
              <w:rPr>
                <w:rFonts w:ascii="Times New Roman" w:hAnsi="Times New Roman" w:eastAsia="仿宋_GB2312" w:cs="Times New Roman"/>
                <w:color w:val="000000"/>
                <w:sz w:val="21"/>
                <w:szCs w:val="21"/>
                <w:highlight w:val="none"/>
              </w:rPr>
              <w:t>/</w:t>
            </w:r>
            <w:r>
              <w:rPr>
                <w:rFonts w:hint="eastAsia" w:ascii="Times New Roman" w:hAnsi="Times New Roman" w:eastAsia="仿宋_GB2312" w:cs="仿宋_GB2312"/>
                <w:color w:val="000000"/>
                <w:sz w:val="21"/>
                <w:szCs w:val="21"/>
                <w:highlight w:val="none"/>
              </w:rPr>
              <w:t>含其他有毒有害物质的废水、医疗废水</w:t>
            </w:r>
          </w:p>
        </w:tc>
        <w:tc>
          <w:tcPr>
            <w:tcW w:w="2013"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92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含有毒有害物质的废气</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含一类污染物或重金属、病原体、放射性物质的废水</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危险废物</w:t>
            </w:r>
          </w:p>
        </w:tc>
        <w:tc>
          <w:tcPr>
            <w:tcW w:w="201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项目应报批的环评文件类别</w:t>
            </w:r>
          </w:p>
        </w:tc>
        <w:tc>
          <w:tcPr>
            <w:tcW w:w="592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仿宋_GB2312"/>
                <w:color w:val="000000"/>
                <w:highlight w:val="none"/>
              </w:rPr>
              <w:t>报告表</w:t>
            </w:r>
          </w:p>
        </w:tc>
        <w:tc>
          <w:tcPr>
            <w:tcW w:w="201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92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报告书</w:t>
            </w:r>
          </w:p>
        </w:tc>
        <w:tc>
          <w:tcPr>
            <w:tcW w:w="201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92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报告书（化工、电镀、皮革、造纸、制浆、冶炼、放射性、印染、染料、炼焦、炼油项目）</w:t>
            </w:r>
          </w:p>
        </w:tc>
        <w:tc>
          <w:tcPr>
            <w:tcW w:w="201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项目建设</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地点</w:t>
            </w:r>
          </w:p>
        </w:tc>
        <w:tc>
          <w:tcPr>
            <w:tcW w:w="592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工业与城镇用海区</w:t>
            </w:r>
          </w:p>
        </w:tc>
        <w:tc>
          <w:tcPr>
            <w:tcW w:w="20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92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港口航运区、农渔业区</w:t>
            </w:r>
          </w:p>
        </w:tc>
        <w:tc>
          <w:tcPr>
            <w:tcW w:w="20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92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旅游休闲娱乐区</w:t>
            </w:r>
          </w:p>
        </w:tc>
        <w:tc>
          <w:tcPr>
            <w:tcW w:w="20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92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矿产与能源区</w:t>
            </w:r>
          </w:p>
        </w:tc>
        <w:tc>
          <w:tcPr>
            <w:tcW w:w="20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1" w:type="dxa"/>
            <w:vMerge w:val="continue"/>
            <w:vAlign w:val="center"/>
          </w:tcPr>
          <w:p>
            <w:pPr>
              <w:snapToGrid w:val="0"/>
              <w:jc w:val="center"/>
              <w:rPr>
                <w:rFonts w:ascii="Times New Roman" w:hAnsi="Times New Roman" w:cs="Times New Roman"/>
                <w:b/>
                <w:bCs/>
                <w:highlight w:val="none"/>
              </w:rPr>
            </w:pPr>
          </w:p>
        </w:tc>
        <w:tc>
          <w:tcPr>
            <w:tcW w:w="592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海洋保护区、特殊利用区、保留区等需要特殊保护的区域</w:t>
            </w:r>
          </w:p>
        </w:tc>
        <w:tc>
          <w:tcPr>
            <w:tcW w:w="20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违法时间</w:t>
            </w:r>
          </w:p>
        </w:tc>
        <w:tc>
          <w:tcPr>
            <w:tcW w:w="592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个月以内的</w:t>
            </w:r>
          </w:p>
        </w:tc>
        <w:tc>
          <w:tcPr>
            <w:tcW w:w="201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1" w:type="dxa"/>
            <w:vMerge w:val="continue"/>
          </w:tcPr>
          <w:p>
            <w:pPr>
              <w:snapToGrid w:val="0"/>
              <w:jc w:val="center"/>
              <w:rPr>
                <w:rFonts w:ascii="Times New Roman" w:hAnsi="Times New Roman" w:cs="Times New Roman"/>
                <w:b/>
                <w:bCs/>
                <w:highlight w:val="none"/>
              </w:rPr>
            </w:pPr>
          </w:p>
        </w:tc>
        <w:tc>
          <w:tcPr>
            <w:tcW w:w="592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超过</w:t>
            </w: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个月并且在</w:t>
            </w: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个月以内的</w:t>
            </w:r>
          </w:p>
        </w:tc>
        <w:tc>
          <w:tcPr>
            <w:tcW w:w="2013"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1" w:type="dxa"/>
            <w:vMerge w:val="continue"/>
          </w:tcPr>
          <w:p>
            <w:pPr>
              <w:snapToGrid w:val="0"/>
              <w:jc w:val="center"/>
              <w:rPr>
                <w:rFonts w:ascii="Times New Roman" w:hAnsi="Times New Roman" w:cs="Times New Roman"/>
                <w:b/>
                <w:bCs/>
                <w:highlight w:val="none"/>
              </w:rPr>
            </w:pPr>
          </w:p>
        </w:tc>
        <w:tc>
          <w:tcPr>
            <w:tcW w:w="592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超过</w:t>
            </w: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个月并且在</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年以内的</w:t>
            </w:r>
          </w:p>
        </w:tc>
        <w:tc>
          <w:tcPr>
            <w:tcW w:w="2013"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1" w:type="dxa"/>
            <w:vMerge w:val="continue"/>
          </w:tcPr>
          <w:p>
            <w:pPr>
              <w:snapToGrid w:val="0"/>
              <w:jc w:val="center"/>
              <w:rPr>
                <w:rFonts w:ascii="Times New Roman" w:hAnsi="Times New Roman" w:cs="Times New Roman"/>
                <w:b/>
                <w:bCs/>
                <w:highlight w:val="none"/>
              </w:rPr>
            </w:pPr>
          </w:p>
        </w:tc>
        <w:tc>
          <w:tcPr>
            <w:tcW w:w="592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超过</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年并且在</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年以内的</w:t>
            </w:r>
          </w:p>
        </w:tc>
        <w:tc>
          <w:tcPr>
            <w:tcW w:w="2013"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1" w:type="dxa"/>
            <w:vMerge w:val="continue"/>
          </w:tcPr>
          <w:p>
            <w:pPr>
              <w:snapToGrid w:val="0"/>
              <w:jc w:val="center"/>
              <w:rPr>
                <w:rFonts w:ascii="Times New Roman" w:hAnsi="Times New Roman" w:cs="Times New Roman"/>
                <w:b/>
                <w:bCs/>
                <w:highlight w:val="none"/>
              </w:rPr>
            </w:pPr>
          </w:p>
        </w:tc>
        <w:tc>
          <w:tcPr>
            <w:tcW w:w="592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年以上的</w:t>
            </w:r>
          </w:p>
        </w:tc>
        <w:tc>
          <w:tcPr>
            <w:tcW w:w="2013"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eastAsia="仿宋_GB2312" w:cs="Times New Roman"/>
                <w:highlight w:val="none"/>
              </w:rPr>
            </w:pPr>
          </w:p>
        </w:tc>
      </w:tr>
    </w:tbl>
    <w:p>
      <w:pPr>
        <w:widowControl/>
        <w:snapToGrid w:val="0"/>
        <w:jc w:val="left"/>
        <w:outlineLvl w:val="1"/>
        <w:rPr>
          <w:rFonts w:ascii="Times New Roman" w:hAnsi="Times New Roman" w:eastAsia="仿宋_GB2312" w:cs="Times New Roman"/>
          <w:b/>
          <w:bCs/>
          <w:sz w:val="10"/>
          <w:szCs w:val="10"/>
          <w:highlight w:val="none"/>
        </w:rPr>
      </w:pPr>
      <w:r>
        <w:rPr>
          <w:rFonts w:ascii="Times New Roman" w:hAnsi="Times New Roman" w:eastAsia="仿宋_GB2312" w:cs="Times New Roman"/>
          <w:b/>
          <w:bCs/>
          <w:sz w:val="32"/>
          <w:szCs w:val="32"/>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500"/>
        <w:gridCol w:w="2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（六）海洋污染防治类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ind w:firstLine="42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环境影响报告书（表）未依法报批或者未经批准同意，擅自开工建设的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2"/>
              <w:snapToGrid w:val="0"/>
              <w:spacing w:before="62" w:beforeLines="20" w:beforeAutospacing="0" w:after="0" w:afterAutospacing="0" w:line="264" w:lineRule="auto"/>
              <w:ind w:firstLine="42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《中华人民共和国海洋环境保护法》第四十七条第一款</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海洋工程建设项目必须符合全国海洋主体功能区规划、海洋功能区划、海洋环境保护规划和国家有关环境保护标准。海洋工程建设项目单位应当对海洋环境进行科学调查，编制海洋环境影响报告书（表），并在建设项目开工前，报海洋行政主管部门审查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2"/>
              <w:snapToGrid w:val="0"/>
              <w:spacing w:before="62" w:beforeLines="20" w:beforeAutospacing="0" w:after="0" w:afterAutospacing="0" w:line="264" w:lineRule="auto"/>
              <w:ind w:firstLine="422"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《中华人民共和国海洋环境保护法》第八十二条第一款</w:t>
            </w:r>
            <w:r>
              <w:rPr>
                <w:rFonts w:ascii="Times New Roman" w:hAnsi="Times New Roman" w:eastAsia="仿宋_GB2312" w:cs="Times New Roman"/>
                <w:b/>
                <w:bCs/>
                <w:kern w:val="2"/>
                <w:sz w:val="21"/>
                <w:szCs w:val="21"/>
                <w:highlight w:val="none"/>
              </w:rPr>
              <w:t xml:space="preserve"> </w:t>
            </w:r>
            <w:r>
              <w:rPr>
                <w:rFonts w:hint="eastAsia" w:ascii="Times New Roman" w:hAnsi="Times New Roman" w:eastAsia="仿宋_GB2312" w:cs="仿宋_GB2312"/>
                <w:kern w:val="2"/>
                <w:sz w:val="21"/>
                <w:szCs w:val="21"/>
                <w:highlight w:val="none"/>
              </w:rPr>
              <w:t>违反本法第四十七条第一款的规定，进行海洋工程建设项目的，由海洋行政主管部门责令其停止施工，根据违法情节和危害后果，处建设项目总投资额百分之一以上百分之五以下的罚款，并可以责令恢复原状。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500"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438"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项目建设</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情况★</w:t>
            </w:r>
          </w:p>
        </w:tc>
        <w:tc>
          <w:tcPr>
            <w:tcW w:w="5500"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已开工建设但主体工程未建成的</w:t>
            </w:r>
          </w:p>
        </w:tc>
        <w:tc>
          <w:tcPr>
            <w:tcW w:w="2438"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500"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主体工程已建成但尚未投入生产或者使用的</w:t>
            </w:r>
          </w:p>
        </w:tc>
        <w:tc>
          <w:tcPr>
            <w:tcW w:w="2438"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500"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主体工程已投入生产或者使用，污染防治设施已建成的</w:t>
            </w:r>
          </w:p>
        </w:tc>
        <w:tc>
          <w:tcPr>
            <w:tcW w:w="2438"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500"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主体工程已投入生产或者使用，污染防治设施已动工未建成的</w:t>
            </w:r>
          </w:p>
        </w:tc>
        <w:tc>
          <w:tcPr>
            <w:tcW w:w="2438"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500"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主体工程已投入生产或者使用，污染防治设施尚未建设的</w:t>
            </w:r>
          </w:p>
        </w:tc>
        <w:tc>
          <w:tcPr>
            <w:tcW w:w="2438"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项目应报批的环评文件类别</w:t>
            </w:r>
          </w:p>
        </w:tc>
        <w:tc>
          <w:tcPr>
            <w:tcW w:w="5500" w:type="dxa"/>
            <w:vAlign w:val="center"/>
          </w:tcPr>
          <w:p>
            <w:pPr>
              <w:pStyle w:val="11"/>
              <w:snapToGrid w:val="0"/>
              <w:jc w:val="center"/>
              <w:rPr>
                <w:rFonts w:ascii="Times New Roman" w:hAnsi="Times New Roman" w:eastAsia="仿宋_GB2312" w:cs="仿宋_GB2312"/>
                <w:color w:val="000000"/>
                <w:sz w:val="21"/>
                <w:szCs w:val="21"/>
                <w:highlight w:val="none"/>
              </w:rPr>
            </w:pPr>
            <w:r>
              <w:rPr>
                <w:rFonts w:hint="eastAsia" w:ascii="Times New Roman" w:hAnsi="Times New Roman" w:eastAsia="仿宋_GB2312" w:cs="仿宋_GB2312"/>
                <w:color w:val="000000"/>
                <w:sz w:val="21"/>
                <w:szCs w:val="21"/>
                <w:highlight w:val="none"/>
              </w:rPr>
              <w:t>报告表</w:t>
            </w:r>
          </w:p>
        </w:tc>
        <w:tc>
          <w:tcPr>
            <w:tcW w:w="2438"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500" w:type="dxa"/>
            <w:vAlign w:val="center"/>
          </w:tcPr>
          <w:p>
            <w:pPr>
              <w:pStyle w:val="11"/>
              <w:snapToGrid w:val="0"/>
              <w:jc w:val="center"/>
              <w:rPr>
                <w:rFonts w:ascii="Times New Roman" w:hAnsi="Times New Roman" w:eastAsia="仿宋_GB2312" w:cs="仿宋_GB2312"/>
                <w:color w:val="000000"/>
                <w:sz w:val="21"/>
                <w:szCs w:val="21"/>
                <w:highlight w:val="none"/>
              </w:rPr>
            </w:pPr>
            <w:r>
              <w:rPr>
                <w:rFonts w:hint="eastAsia" w:ascii="Times New Roman" w:hAnsi="Times New Roman" w:eastAsia="仿宋_GB2312" w:cs="仿宋_GB2312"/>
                <w:color w:val="000000"/>
                <w:sz w:val="21"/>
                <w:szCs w:val="21"/>
                <w:highlight w:val="none"/>
              </w:rPr>
              <w:t>报告书</w:t>
            </w:r>
          </w:p>
        </w:tc>
        <w:tc>
          <w:tcPr>
            <w:tcW w:w="2438"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500" w:type="dxa"/>
            <w:vAlign w:val="center"/>
          </w:tcPr>
          <w:p>
            <w:pPr>
              <w:pStyle w:val="11"/>
              <w:snapToGrid w:val="0"/>
              <w:jc w:val="center"/>
              <w:rPr>
                <w:rFonts w:ascii="Times New Roman" w:hAnsi="Times New Roman" w:eastAsia="仿宋_GB2312" w:cs="仿宋_GB2312"/>
                <w:color w:val="000000"/>
                <w:sz w:val="21"/>
                <w:szCs w:val="21"/>
                <w:highlight w:val="none"/>
              </w:rPr>
            </w:pPr>
            <w:r>
              <w:rPr>
                <w:rFonts w:hint="eastAsia" w:ascii="Times New Roman" w:hAnsi="Times New Roman" w:eastAsia="仿宋_GB2312" w:cs="仿宋_GB2312"/>
                <w:color w:val="000000"/>
                <w:sz w:val="21"/>
                <w:szCs w:val="21"/>
                <w:highlight w:val="none"/>
              </w:rPr>
              <w:t>报告书（化工、电镀、皮革、造纸、制浆、冶炼、放射性、印染、染料、炼焦、炼油项目）</w:t>
            </w:r>
          </w:p>
        </w:tc>
        <w:tc>
          <w:tcPr>
            <w:tcW w:w="2438"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项目建设</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地点</w:t>
            </w:r>
          </w:p>
        </w:tc>
        <w:tc>
          <w:tcPr>
            <w:tcW w:w="5500"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工业与城镇用海区</w:t>
            </w:r>
          </w:p>
        </w:tc>
        <w:tc>
          <w:tcPr>
            <w:tcW w:w="2438"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500"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highlight w:val="none"/>
              </w:rPr>
              <w:t>港口航运区、农渔业区</w:t>
            </w:r>
          </w:p>
        </w:tc>
        <w:tc>
          <w:tcPr>
            <w:tcW w:w="2438"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500"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highlight w:val="none"/>
              </w:rPr>
              <w:t>旅游休闲娱乐区</w:t>
            </w:r>
          </w:p>
        </w:tc>
        <w:tc>
          <w:tcPr>
            <w:tcW w:w="2438"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500"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highlight w:val="none"/>
              </w:rPr>
              <w:t>矿产与能源区</w:t>
            </w:r>
          </w:p>
        </w:tc>
        <w:tc>
          <w:tcPr>
            <w:tcW w:w="2438"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500"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highlight w:val="none"/>
              </w:rPr>
              <w:t>海洋保护区、特殊利用区、保留区等需要特殊保护的区域</w:t>
            </w:r>
          </w:p>
        </w:tc>
        <w:tc>
          <w:tcPr>
            <w:tcW w:w="2438"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违法持续</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时间</w:t>
            </w:r>
          </w:p>
        </w:tc>
        <w:tc>
          <w:tcPr>
            <w:tcW w:w="5500"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个月以内的</w:t>
            </w:r>
          </w:p>
        </w:tc>
        <w:tc>
          <w:tcPr>
            <w:tcW w:w="2438"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500"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超过</w:t>
            </w: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个月并且在</w:t>
            </w: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个月以内的</w:t>
            </w:r>
          </w:p>
        </w:tc>
        <w:tc>
          <w:tcPr>
            <w:tcW w:w="2438"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500"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超过</w:t>
            </w: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个月并且在</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年以内的</w:t>
            </w:r>
          </w:p>
        </w:tc>
        <w:tc>
          <w:tcPr>
            <w:tcW w:w="2438"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500"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color w:val="000000"/>
                <w:sz w:val="21"/>
                <w:szCs w:val="21"/>
                <w:highlight w:val="none"/>
              </w:rPr>
              <w:t>超过</w:t>
            </w: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年并且在</w:t>
            </w:r>
            <w:r>
              <w:rPr>
                <w:rFonts w:ascii="Times New Roman" w:hAnsi="Times New Roman" w:eastAsia="仿宋_GB2312" w:cs="Times New Roman"/>
                <w:color w:val="000000"/>
                <w:sz w:val="21"/>
                <w:szCs w:val="21"/>
                <w:highlight w:val="none"/>
              </w:rPr>
              <w:t>2</w:t>
            </w:r>
            <w:r>
              <w:rPr>
                <w:rFonts w:hint="eastAsia" w:ascii="Times New Roman" w:hAnsi="Times New Roman" w:eastAsia="仿宋_GB2312" w:cs="仿宋_GB2312"/>
                <w:color w:val="000000"/>
                <w:sz w:val="21"/>
                <w:szCs w:val="21"/>
                <w:highlight w:val="none"/>
              </w:rPr>
              <w:t>年以内的</w:t>
            </w:r>
          </w:p>
        </w:tc>
        <w:tc>
          <w:tcPr>
            <w:tcW w:w="2438"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500" w:type="dxa"/>
            <w:vAlign w:val="center"/>
          </w:tcPr>
          <w:p>
            <w:pPr>
              <w:pStyle w:val="11"/>
              <w:snapToGrid w:val="0"/>
              <w:jc w:val="center"/>
              <w:rPr>
                <w:rFonts w:ascii="Times New Roman" w:hAnsi="Times New Roman" w:eastAsia="仿宋_GB2312" w:cs="Times New Roman"/>
                <w:sz w:val="21"/>
                <w:szCs w:val="21"/>
                <w:highlight w:val="none"/>
              </w:rPr>
            </w:pPr>
            <w:r>
              <w:rPr>
                <w:rFonts w:ascii="Times New Roman" w:hAnsi="Times New Roman" w:eastAsia="仿宋_GB2312" w:cs="Times New Roman"/>
                <w:color w:val="000000"/>
                <w:sz w:val="21"/>
                <w:szCs w:val="21"/>
                <w:highlight w:val="none"/>
              </w:rPr>
              <w:t>2</w:t>
            </w:r>
            <w:r>
              <w:rPr>
                <w:rFonts w:hint="eastAsia" w:ascii="Times New Roman" w:hAnsi="Times New Roman" w:eastAsia="仿宋_GB2312" w:cs="仿宋_GB2312"/>
                <w:color w:val="000000"/>
                <w:sz w:val="21"/>
                <w:szCs w:val="21"/>
                <w:highlight w:val="none"/>
              </w:rPr>
              <w:t>年以上的</w:t>
            </w:r>
          </w:p>
        </w:tc>
        <w:tc>
          <w:tcPr>
            <w:tcW w:w="2438"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eastAsia="仿宋_GB2312" w:cs="Times New Roman"/>
                <w:highlight w:val="none"/>
              </w:rPr>
            </w:pPr>
          </w:p>
        </w:tc>
      </w:tr>
    </w:tbl>
    <w:p>
      <w:pPr>
        <w:widowControl/>
        <w:jc w:val="left"/>
        <w:outlineLvl w:val="1"/>
        <w:rPr>
          <w:rFonts w:ascii="Times New Roman" w:hAnsi="Times New Roman" w:eastAsia="仿宋_GB2312" w:cs="Times New Roman"/>
          <w:b/>
          <w:bCs/>
          <w:sz w:val="32"/>
          <w:szCs w:val="32"/>
          <w:highlight w:val="none"/>
        </w:rPr>
      </w:pPr>
    </w:p>
    <w:p>
      <w:pPr>
        <w:widowControl/>
        <w:snapToGrid w:val="0"/>
        <w:jc w:val="left"/>
        <w:outlineLvl w:val="1"/>
        <w:rPr>
          <w:rFonts w:ascii="Times New Roman" w:hAnsi="Times New Roman" w:eastAsia="仿宋_GB2312" w:cs="Times New Roman"/>
          <w:b/>
          <w:bCs/>
          <w:sz w:val="11"/>
          <w:szCs w:val="11"/>
          <w:highlight w:val="none"/>
        </w:rPr>
      </w:pP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783"/>
        <w:gridCol w:w="2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（六）海洋污染防治类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tcPr>
          <w:p>
            <w:pPr>
              <w:snapToGrid w:val="0"/>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海洋工程建设项目未建成环境保护设施、环境保护设施未达到规定要求即投入生产、使用的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2"/>
              <w:snapToGrid w:val="0"/>
              <w:spacing w:before="0" w:beforeAutospacing="0" w:after="0" w:afterAutospacing="0"/>
              <w:ind w:firstLine="42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《中华人民共和国海洋环境保护法》第四十八条</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海洋工程建设项目的环境保护设施，必须与主体工程同时设计、同时施工、同时投产使用。环境保护设施未经海洋行政主管部门验收，或者经验收不合格的，建设项目不得投入生产或者使用。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2"/>
              <w:snapToGrid w:val="0"/>
              <w:spacing w:before="0" w:beforeAutospacing="0" w:after="0" w:afterAutospacing="0"/>
              <w:ind w:firstLine="422"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《中华人民共和国海洋环境保护法》第八十二条第二款</w:t>
            </w:r>
            <w:r>
              <w:rPr>
                <w:rFonts w:ascii="Times New Roman" w:hAnsi="Times New Roman" w:eastAsia="仿宋_GB2312" w:cs="Times New Roman"/>
                <w:b/>
                <w:bCs/>
                <w:kern w:val="2"/>
                <w:sz w:val="21"/>
                <w:szCs w:val="21"/>
                <w:highlight w:val="none"/>
              </w:rPr>
              <w:t xml:space="preserve"> </w:t>
            </w:r>
            <w:r>
              <w:rPr>
                <w:rFonts w:hint="eastAsia" w:ascii="Times New Roman" w:hAnsi="Times New Roman" w:eastAsia="仿宋_GB2312" w:cs="仿宋_GB2312"/>
                <w:kern w:val="2"/>
                <w:sz w:val="21"/>
                <w:szCs w:val="21"/>
                <w:highlight w:val="none"/>
              </w:rPr>
              <w:t>违反本法第四十八条的规定，海洋工程建设项目未建成环境保护设施、环境保护设施未达到规定要求即投入生产、使用的，由海洋行政主管部门责令其停止生产、使用，并处五万元以上二十万元以下的罚款。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78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15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783" w:type="dxa"/>
            <w:vAlign w:val="center"/>
          </w:tcPr>
          <w:p>
            <w:pPr>
              <w:pStyle w:val="11"/>
              <w:snapToGrid w:val="0"/>
              <w:jc w:val="center"/>
              <w:rPr>
                <w:rFonts w:ascii="Times New Roman" w:hAnsi="Times New Roman" w:eastAsia="仿宋_GB2312" w:cs="Times New Roman"/>
                <w:color w:val="000000"/>
                <w:kern w:val="2"/>
                <w:sz w:val="21"/>
                <w:szCs w:val="21"/>
                <w:highlight w:val="none"/>
              </w:rPr>
            </w:pPr>
            <w:r>
              <w:rPr>
                <w:rFonts w:hint="eastAsia" w:ascii="Times New Roman" w:hAnsi="Times New Roman" w:eastAsia="仿宋_GB2312" w:cs="仿宋_GB2312"/>
                <w:color w:val="000000"/>
                <w:kern w:val="2"/>
                <w:sz w:val="21"/>
                <w:szCs w:val="21"/>
                <w:highlight w:val="none"/>
              </w:rPr>
              <w:t>污染防治设施已建成未经验收或验收不合格，主体工程投入生产或者使用的</w:t>
            </w:r>
          </w:p>
        </w:tc>
        <w:tc>
          <w:tcPr>
            <w:tcW w:w="2155"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color w:val="000000"/>
                <w:kern w:val="2"/>
                <w:sz w:val="21"/>
                <w:szCs w:val="21"/>
                <w:highlight w:val="none"/>
              </w:rPr>
              <w:t>污染防治设施已动工建设尚未建成，主体工程投入生产或者使用的</w:t>
            </w:r>
          </w:p>
        </w:tc>
        <w:tc>
          <w:tcPr>
            <w:tcW w:w="2155"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783" w:type="dxa"/>
            <w:vAlign w:val="center"/>
          </w:tcPr>
          <w:p>
            <w:pPr>
              <w:pStyle w:val="11"/>
              <w:snapToGrid w:val="0"/>
              <w:jc w:val="center"/>
              <w:rPr>
                <w:rFonts w:ascii="Times New Roman" w:hAnsi="Times New Roman" w:eastAsia="仿宋_GB2312" w:cs="Times New Roman"/>
                <w:color w:val="000000"/>
                <w:kern w:val="2"/>
                <w:sz w:val="21"/>
                <w:szCs w:val="21"/>
                <w:highlight w:val="none"/>
              </w:rPr>
            </w:pPr>
            <w:r>
              <w:rPr>
                <w:rFonts w:hint="eastAsia" w:ascii="Times New Roman" w:hAnsi="Times New Roman" w:eastAsia="仿宋_GB2312" w:cs="仿宋_GB2312"/>
                <w:color w:val="000000"/>
                <w:kern w:val="2"/>
                <w:sz w:val="21"/>
                <w:szCs w:val="21"/>
                <w:highlight w:val="none"/>
              </w:rPr>
              <w:t>污染防治设施尚未建设，主体工程投入生产或使用的</w:t>
            </w:r>
          </w:p>
        </w:tc>
        <w:tc>
          <w:tcPr>
            <w:tcW w:w="2155"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排放污染物类型</w:t>
            </w:r>
          </w:p>
        </w:tc>
        <w:tc>
          <w:tcPr>
            <w:tcW w:w="5783"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color w:val="000000"/>
                <w:sz w:val="21"/>
                <w:szCs w:val="21"/>
                <w:highlight w:val="none"/>
              </w:rPr>
              <w:t>餐饮油烟（经营）</w:t>
            </w:r>
            <w:r>
              <w:rPr>
                <w:rFonts w:ascii="Times New Roman" w:hAnsi="Times New Roman" w:eastAsia="仿宋_GB2312" w:cs="Times New Roman"/>
                <w:color w:val="000000"/>
                <w:sz w:val="21"/>
                <w:szCs w:val="21"/>
                <w:highlight w:val="none"/>
              </w:rPr>
              <w:t>/</w:t>
            </w:r>
            <w:r>
              <w:rPr>
                <w:rFonts w:hint="eastAsia" w:ascii="Times New Roman" w:hAnsi="Times New Roman" w:eastAsia="仿宋_GB2312" w:cs="仿宋_GB2312"/>
                <w:color w:val="000000"/>
                <w:sz w:val="21"/>
                <w:szCs w:val="21"/>
                <w:highlight w:val="none"/>
              </w:rPr>
              <w:t>生活废水</w:t>
            </w:r>
            <w:r>
              <w:rPr>
                <w:rFonts w:ascii="Times New Roman" w:hAnsi="Times New Roman" w:eastAsia="仿宋_GB2312" w:cs="Times New Roman"/>
                <w:color w:val="000000"/>
                <w:sz w:val="21"/>
                <w:szCs w:val="21"/>
                <w:highlight w:val="none"/>
              </w:rPr>
              <w:t>/</w:t>
            </w:r>
            <w:r>
              <w:rPr>
                <w:rFonts w:hint="eastAsia"/>
                <w:color w:val="000000"/>
                <w:sz w:val="21"/>
                <w:szCs w:val="21"/>
                <w:highlight w:val="none"/>
              </w:rPr>
              <w:t>Ⅰ</w:t>
            </w:r>
            <w:r>
              <w:rPr>
                <w:rFonts w:hint="eastAsia" w:ascii="Times New Roman" w:hAnsi="Times New Roman" w:eastAsia="仿宋_GB2312" w:cs="仿宋_GB2312"/>
                <w:color w:val="000000"/>
                <w:sz w:val="21"/>
                <w:szCs w:val="21"/>
                <w:highlight w:val="none"/>
              </w:rPr>
              <w:t>类一般工业固体废物</w:t>
            </w:r>
          </w:p>
        </w:tc>
        <w:tc>
          <w:tcPr>
            <w:tcW w:w="2155"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color w:val="000000"/>
                <w:sz w:val="21"/>
                <w:szCs w:val="21"/>
                <w:highlight w:val="none"/>
              </w:rPr>
              <w:t>农业生产、畜禽养殖废气</w:t>
            </w:r>
            <w:r>
              <w:rPr>
                <w:rFonts w:ascii="Times New Roman" w:hAnsi="Times New Roman" w:eastAsia="仿宋_GB2312" w:cs="Times New Roman"/>
                <w:color w:val="000000"/>
                <w:sz w:val="21"/>
                <w:szCs w:val="21"/>
                <w:highlight w:val="none"/>
              </w:rPr>
              <w:t>/</w:t>
            </w:r>
            <w:r>
              <w:rPr>
                <w:rFonts w:hint="eastAsia" w:ascii="Times New Roman" w:hAnsi="Times New Roman" w:eastAsia="仿宋_GB2312" w:cs="仿宋_GB2312"/>
                <w:color w:val="000000"/>
                <w:sz w:val="21"/>
                <w:szCs w:val="21"/>
                <w:highlight w:val="none"/>
              </w:rPr>
              <w:t>工业扬尘废气</w:t>
            </w:r>
            <w:r>
              <w:rPr>
                <w:rFonts w:ascii="Times New Roman" w:hAnsi="Times New Roman" w:eastAsia="仿宋_GB2312" w:cs="Times New Roman"/>
                <w:color w:val="000000"/>
                <w:sz w:val="21"/>
                <w:szCs w:val="21"/>
                <w:highlight w:val="none"/>
              </w:rPr>
              <w:t>/</w:t>
            </w:r>
            <w:r>
              <w:rPr>
                <w:rFonts w:hint="eastAsia" w:ascii="Times New Roman" w:hAnsi="Times New Roman" w:eastAsia="仿宋_GB2312" w:cs="仿宋_GB2312"/>
                <w:color w:val="000000"/>
                <w:sz w:val="21"/>
                <w:szCs w:val="21"/>
                <w:highlight w:val="none"/>
              </w:rPr>
              <w:t>机械、汽车修理废气</w:t>
            </w:r>
            <w:r>
              <w:rPr>
                <w:rFonts w:ascii="Times New Roman" w:hAnsi="Times New Roman" w:eastAsia="仿宋_GB2312" w:cs="Times New Roman"/>
                <w:color w:val="000000"/>
                <w:sz w:val="21"/>
                <w:szCs w:val="21"/>
                <w:highlight w:val="none"/>
              </w:rPr>
              <w:t>/</w:t>
            </w:r>
            <w:r>
              <w:rPr>
                <w:rFonts w:hint="eastAsia" w:ascii="Times New Roman" w:hAnsi="Times New Roman" w:eastAsia="仿宋_GB2312" w:cs="仿宋_GB2312"/>
                <w:color w:val="000000"/>
                <w:sz w:val="21"/>
                <w:szCs w:val="21"/>
                <w:highlight w:val="none"/>
              </w:rPr>
              <w:t>服务业废水</w:t>
            </w:r>
          </w:p>
        </w:tc>
        <w:tc>
          <w:tcPr>
            <w:tcW w:w="2155"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color w:val="000000"/>
                <w:sz w:val="21"/>
                <w:szCs w:val="21"/>
                <w:highlight w:val="none"/>
              </w:rPr>
              <w:t>一般工业废气</w:t>
            </w:r>
            <w:r>
              <w:rPr>
                <w:rFonts w:ascii="Times New Roman" w:hAnsi="Times New Roman" w:eastAsia="仿宋_GB2312" w:cs="Times New Roman"/>
                <w:color w:val="000000"/>
                <w:sz w:val="21"/>
                <w:szCs w:val="21"/>
                <w:highlight w:val="none"/>
              </w:rPr>
              <w:t>/</w:t>
            </w:r>
            <w:r>
              <w:rPr>
                <w:rFonts w:hint="eastAsia" w:ascii="Times New Roman" w:hAnsi="Times New Roman" w:eastAsia="仿宋_GB2312" w:cs="仿宋_GB2312"/>
                <w:color w:val="000000"/>
                <w:sz w:val="21"/>
                <w:szCs w:val="21"/>
                <w:highlight w:val="none"/>
              </w:rPr>
              <w:t>含恶臭污染物的废气</w:t>
            </w:r>
            <w:r>
              <w:rPr>
                <w:rFonts w:ascii="Times New Roman" w:hAnsi="Times New Roman" w:eastAsia="仿宋_GB2312" w:cs="Times New Roman"/>
                <w:color w:val="000000"/>
                <w:sz w:val="21"/>
                <w:szCs w:val="21"/>
                <w:highlight w:val="none"/>
              </w:rPr>
              <w:t>/</w:t>
            </w:r>
            <w:r>
              <w:rPr>
                <w:rFonts w:hint="eastAsia" w:ascii="Times New Roman" w:hAnsi="Times New Roman" w:eastAsia="仿宋_GB2312" w:cs="仿宋_GB2312"/>
                <w:color w:val="000000"/>
                <w:sz w:val="21"/>
                <w:szCs w:val="21"/>
                <w:highlight w:val="none"/>
              </w:rPr>
              <w:t>医疗废气</w:t>
            </w:r>
            <w:r>
              <w:rPr>
                <w:rFonts w:ascii="Times New Roman" w:hAnsi="Times New Roman" w:eastAsia="仿宋_GB2312" w:cs="Times New Roman"/>
                <w:color w:val="000000"/>
                <w:sz w:val="21"/>
                <w:szCs w:val="21"/>
                <w:highlight w:val="none"/>
              </w:rPr>
              <w:t>/</w:t>
            </w:r>
            <w:r>
              <w:rPr>
                <w:rFonts w:hint="eastAsia" w:ascii="Times New Roman" w:hAnsi="Times New Roman" w:eastAsia="仿宋_GB2312" w:cs="仿宋_GB2312"/>
                <w:color w:val="000000"/>
                <w:sz w:val="21"/>
                <w:szCs w:val="21"/>
                <w:highlight w:val="none"/>
              </w:rPr>
              <w:t>实验室废气</w:t>
            </w:r>
            <w:r>
              <w:rPr>
                <w:rFonts w:ascii="Times New Roman" w:hAnsi="Times New Roman" w:eastAsia="仿宋_GB2312" w:cs="Times New Roman"/>
                <w:color w:val="000000"/>
                <w:sz w:val="21"/>
                <w:szCs w:val="21"/>
                <w:highlight w:val="none"/>
              </w:rPr>
              <w:t>/</w:t>
            </w:r>
            <w:r>
              <w:rPr>
                <w:rFonts w:hint="eastAsia" w:ascii="Times New Roman" w:hAnsi="Times New Roman" w:eastAsia="仿宋_GB2312" w:cs="仿宋_GB2312"/>
                <w:color w:val="000000"/>
                <w:sz w:val="21"/>
                <w:szCs w:val="21"/>
                <w:highlight w:val="none"/>
              </w:rPr>
              <w:t>一般工业废水</w:t>
            </w:r>
            <w:r>
              <w:rPr>
                <w:rFonts w:ascii="Times New Roman" w:hAnsi="Times New Roman" w:eastAsia="仿宋_GB2312" w:cs="Times New Roman"/>
                <w:color w:val="000000"/>
                <w:sz w:val="21"/>
                <w:szCs w:val="21"/>
                <w:highlight w:val="none"/>
              </w:rPr>
              <w:t>/</w:t>
            </w:r>
            <w:r>
              <w:rPr>
                <w:rFonts w:hint="eastAsia"/>
                <w:color w:val="000000"/>
                <w:sz w:val="21"/>
                <w:szCs w:val="21"/>
                <w:highlight w:val="none"/>
              </w:rPr>
              <w:t>Ⅱ</w:t>
            </w:r>
            <w:r>
              <w:rPr>
                <w:rFonts w:hint="eastAsia" w:ascii="Times New Roman" w:hAnsi="Times New Roman" w:eastAsia="仿宋_GB2312" w:cs="仿宋_GB2312"/>
                <w:color w:val="000000"/>
                <w:sz w:val="21"/>
                <w:szCs w:val="21"/>
                <w:highlight w:val="none"/>
              </w:rPr>
              <w:t>类一般工业固体废物</w:t>
            </w:r>
          </w:p>
        </w:tc>
        <w:tc>
          <w:tcPr>
            <w:tcW w:w="2155"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color w:val="000000"/>
                <w:sz w:val="21"/>
                <w:szCs w:val="21"/>
                <w:highlight w:val="none"/>
              </w:rPr>
              <w:t>火电、钢铁、石化、水泥、炼焦、有色、化工废气、烟尘</w:t>
            </w:r>
            <w:r>
              <w:rPr>
                <w:rFonts w:ascii="Times New Roman" w:hAnsi="Times New Roman" w:eastAsia="仿宋_GB2312" w:cs="Times New Roman"/>
                <w:color w:val="000000"/>
                <w:sz w:val="21"/>
                <w:szCs w:val="21"/>
                <w:highlight w:val="none"/>
              </w:rPr>
              <w:t>/</w:t>
            </w:r>
            <w:r>
              <w:rPr>
                <w:rFonts w:hint="eastAsia" w:ascii="Times New Roman" w:hAnsi="Times New Roman" w:eastAsia="仿宋_GB2312" w:cs="仿宋_GB2312"/>
                <w:color w:val="000000"/>
                <w:sz w:val="21"/>
                <w:szCs w:val="21"/>
                <w:highlight w:val="none"/>
              </w:rPr>
              <w:t>燃煤锅炉废气、烟尘</w:t>
            </w:r>
            <w:r>
              <w:rPr>
                <w:rFonts w:ascii="Times New Roman" w:hAnsi="Times New Roman" w:eastAsia="仿宋_GB2312" w:cs="Times New Roman"/>
                <w:color w:val="000000"/>
                <w:sz w:val="21"/>
                <w:szCs w:val="21"/>
                <w:highlight w:val="none"/>
              </w:rPr>
              <w:t>/</w:t>
            </w:r>
            <w:r>
              <w:rPr>
                <w:rFonts w:hint="eastAsia" w:ascii="Times New Roman" w:hAnsi="Times New Roman" w:eastAsia="仿宋_GB2312" w:cs="仿宋_GB2312"/>
                <w:color w:val="000000"/>
                <w:sz w:val="21"/>
                <w:szCs w:val="21"/>
                <w:highlight w:val="none"/>
              </w:rPr>
              <w:t>含其他有毒有害物质的废水、医疗废水</w:t>
            </w:r>
          </w:p>
        </w:tc>
        <w:tc>
          <w:tcPr>
            <w:tcW w:w="2155"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78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含有毒有害物质的废气</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含一类污染物或重金属、病原体、放射性物质的废水</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危险废物</w:t>
            </w:r>
          </w:p>
        </w:tc>
        <w:tc>
          <w:tcPr>
            <w:tcW w:w="2155"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项目应报批的环评文件类别</w:t>
            </w:r>
          </w:p>
        </w:tc>
        <w:tc>
          <w:tcPr>
            <w:tcW w:w="578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登记表</w:t>
            </w:r>
          </w:p>
        </w:tc>
        <w:tc>
          <w:tcPr>
            <w:tcW w:w="2155"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78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报告书</w:t>
            </w:r>
          </w:p>
        </w:tc>
        <w:tc>
          <w:tcPr>
            <w:tcW w:w="2155"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78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报告书（化工、电镀、皮革、造纸、制浆、冶炼、放射性、印染、染料、炼焦、炼油项目）</w:t>
            </w:r>
          </w:p>
        </w:tc>
        <w:tc>
          <w:tcPr>
            <w:tcW w:w="2155"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项目建设</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地点</w:t>
            </w:r>
          </w:p>
        </w:tc>
        <w:tc>
          <w:tcPr>
            <w:tcW w:w="578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工业与城镇用海区</w:t>
            </w:r>
          </w:p>
        </w:tc>
        <w:tc>
          <w:tcPr>
            <w:tcW w:w="215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78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港口航运区、农渔业区</w:t>
            </w:r>
          </w:p>
        </w:tc>
        <w:tc>
          <w:tcPr>
            <w:tcW w:w="215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78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旅游休闲娱乐区</w:t>
            </w:r>
          </w:p>
        </w:tc>
        <w:tc>
          <w:tcPr>
            <w:tcW w:w="215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78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矿产与能源区</w:t>
            </w:r>
          </w:p>
        </w:tc>
        <w:tc>
          <w:tcPr>
            <w:tcW w:w="215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海洋保护区、特殊利用区、保留区等需要特殊保护的区域</w:t>
            </w:r>
          </w:p>
        </w:tc>
        <w:tc>
          <w:tcPr>
            <w:tcW w:w="215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违法时间</w:t>
            </w:r>
          </w:p>
        </w:tc>
        <w:tc>
          <w:tcPr>
            <w:tcW w:w="578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个月以内的</w:t>
            </w:r>
          </w:p>
        </w:tc>
        <w:tc>
          <w:tcPr>
            <w:tcW w:w="2155"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超过</w:t>
            </w: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个月并且在</w:t>
            </w: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个月以内的</w:t>
            </w:r>
          </w:p>
        </w:tc>
        <w:tc>
          <w:tcPr>
            <w:tcW w:w="2155"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超过</w:t>
            </w: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个月并且在</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年以内的</w:t>
            </w:r>
          </w:p>
        </w:tc>
        <w:tc>
          <w:tcPr>
            <w:tcW w:w="2155"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超过</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年并且在</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年以内的</w:t>
            </w:r>
          </w:p>
        </w:tc>
        <w:tc>
          <w:tcPr>
            <w:tcW w:w="2155"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Merge w:val="continue"/>
            <w:vAlign w:val="center"/>
          </w:tcPr>
          <w:p>
            <w:pPr>
              <w:snapToGrid w:val="0"/>
              <w:jc w:val="center"/>
              <w:rPr>
                <w:rFonts w:ascii="Times New Roman" w:hAnsi="Times New Roman" w:cs="Times New Roman"/>
                <w:b/>
                <w:bCs/>
                <w:highlight w:val="none"/>
              </w:rPr>
            </w:pPr>
          </w:p>
        </w:tc>
        <w:tc>
          <w:tcPr>
            <w:tcW w:w="578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年以上的</w:t>
            </w:r>
          </w:p>
        </w:tc>
        <w:tc>
          <w:tcPr>
            <w:tcW w:w="2155"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eastAsia="仿宋_GB2312" w:cs="Times New Roman"/>
                <w:highlight w:val="none"/>
              </w:rPr>
            </w:pPr>
          </w:p>
        </w:tc>
      </w:tr>
    </w:tbl>
    <w:p>
      <w:pPr>
        <w:widowControl/>
        <w:snapToGrid w:val="0"/>
        <w:jc w:val="left"/>
        <w:outlineLvl w:val="1"/>
        <w:rPr>
          <w:rFonts w:ascii="Times New Roman" w:hAnsi="Times New Roman" w:eastAsia="仿宋_GB2312" w:cs="Times New Roman"/>
          <w:b/>
          <w:bCs/>
          <w:sz w:val="10"/>
          <w:szCs w:val="10"/>
          <w:highlight w:val="none"/>
        </w:rPr>
      </w:pP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500"/>
        <w:gridCol w:w="2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（六）海洋污染防治类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ind w:firstLine="42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使用含超标准放射性物质或者易溶出有毒有害物质材料的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2"/>
              <w:snapToGrid w:val="0"/>
              <w:spacing w:before="62" w:beforeLines="20" w:beforeAutospacing="0" w:after="0" w:afterAutospacing="0"/>
              <w:ind w:firstLine="42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《中华人民共和国海洋环境保护法》第四十九条</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海洋工程建设项目，不得使用含超标准放射性物质或者易溶出有毒有害物质的材料。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2"/>
              <w:snapToGrid w:val="0"/>
              <w:spacing w:before="62" w:beforeLines="20" w:beforeAutospacing="0" w:after="0" w:afterAutospacing="0"/>
              <w:ind w:firstLine="422"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《中华人民共和国海洋环境保护法》第八十三条</w:t>
            </w:r>
            <w:r>
              <w:rPr>
                <w:rFonts w:ascii="Times New Roman" w:hAnsi="Times New Roman" w:eastAsia="仿宋_GB2312" w:cs="Times New Roman"/>
                <w:b/>
                <w:bCs/>
                <w:kern w:val="2"/>
                <w:sz w:val="21"/>
                <w:szCs w:val="21"/>
                <w:highlight w:val="none"/>
              </w:rPr>
              <w:t xml:space="preserve"> </w:t>
            </w:r>
            <w:r>
              <w:rPr>
                <w:rFonts w:hint="eastAsia" w:ascii="Times New Roman" w:hAnsi="Times New Roman" w:eastAsia="仿宋_GB2312" w:cs="仿宋_GB2312"/>
                <w:kern w:val="2"/>
                <w:sz w:val="21"/>
                <w:szCs w:val="21"/>
                <w:highlight w:val="none"/>
              </w:rPr>
              <w:t>违反本法第四十九条的规定，使用含超标准放射性物质或者易溶出有毒有害物质材料的，由海洋行政主管部门处五万元以下的罚款，并责令其停止该建设项目的运行，直到消除污染危害。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500"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438"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项目建设</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阶段★</w:t>
            </w:r>
          </w:p>
        </w:tc>
        <w:tc>
          <w:tcPr>
            <w:tcW w:w="5500"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已开工建设但主体工程未建成的</w:t>
            </w:r>
          </w:p>
        </w:tc>
        <w:tc>
          <w:tcPr>
            <w:tcW w:w="2438"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500"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主体工程已建成但尚未投入生产或者使用的</w:t>
            </w:r>
          </w:p>
        </w:tc>
        <w:tc>
          <w:tcPr>
            <w:tcW w:w="2438"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500"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主体工程已投入生产或者使用的</w:t>
            </w:r>
          </w:p>
        </w:tc>
        <w:tc>
          <w:tcPr>
            <w:tcW w:w="2438"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项目建设</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地点</w:t>
            </w:r>
          </w:p>
        </w:tc>
        <w:tc>
          <w:tcPr>
            <w:tcW w:w="5500"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工业与城镇用海区</w:t>
            </w:r>
          </w:p>
        </w:tc>
        <w:tc>
          <w:tcPr>
            <w:tcW w:w="2438"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500"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港口航运区、农渔业区</w:t>
            </w:r>
          </w:p>
        </w:tc>
        <w:tc>
          <w:tcPr>
            <w:tcW w:w="2438"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500"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旅游休闲娱乐区</w:t>
            </w:r>
          </w:p>
        </w:tc>
        <w:tc>
          <w:tcPr>
            <w:tcW w:w="2438"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500"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矿产与能源区</w:t>
            </w:r>
          </w:p>
        </w:tc>
        <w:tc>
          <w:tcPr>
            <w:tcW w:w="2438"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500"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海洋保护区、特殊利用区、保留区等需要特殊保护的区域</w:t>
            </w:r>
          </w:p>
        </w:tc>
        <w:tc>
          <w:tcPr>
            <w:tcW w:w="2438"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eastAsia="仿宋_GB2312" w:cs="Times New Roman"/>
                <w:highlight w:val="none"/>
              </w:rPr>
            </w:pPr>
          </w:p>
        </w:tc>
      </w:tr>
    </w:tbl>
    <w:p>
      <w:pPr>
        <w:widowControl/>
        <w:jc w:val="left"/>
        <w:outlineLvl w:val="1"/>
        <w:rPr>
          <w:rFonts w:ascii="Times New Roman" w:hAnsi="Times New Roman" w:eastAsia="仿宋_GB2312" w:cs="Times New Roman"/>
          <w:b/>
          <w:bCs/>
          <w:sz w:val="10"/>
          <w:szCs w:val="10"/>
          <w:highlight w:val="none"/>
        </w:rPr>
      </w:pPr>
      <w:r>
        <w:rPr>
          <w:rFonts w:ascii="Times New Roman" w:hAnsi="Times New Roman" w:eastAsia="仿宋_GB2312" w:cs="Times New Roman"/>
          <w:b/>
          <w:bCs/>
          <w:sz w:val="10"/>
          <w:szCs w:val="10"/>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6067"/>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（六）海洋污染防治类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ind w:firstLine="42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不按照许可证的规定倾倒，或者向已经封闭的倾倒区倾倒废弃物的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2"/>
              <w:snapToGrid w:val="0"/>
              <w:spacing w:before="62" w:beforeLines="20" w:beforeAutospacing="0" w:after="0" w:afterAutospacing="0" w:line="288" w:lineRule="auto"/>
              <w:ind w:firstLine="420"/>
              <w:rPr>
                <w:rFonts w:ascii="Times New Roman" w:hAnsi="Times New Roman" w:eastAsia="仿宋_GB2312" w:cs="Times New Roman"/>
                <w:b/>
                <w:bCs/>
                <w:kern w:val="2"/>
                <w:sz w:val="21"/>
                <w:szCs w:val="21"/>
                <w:highlight w:val="none"/>
              </w:rPr>
            </w:pPr>
            <w:r>
              <w:rPr>
                <w:rFonts w:hint="eastAsia" w:ascii="Times New Roman" w:hAnsi="Times New Roman" w:eastAsia="仿宋_GB2312" w:cs="仿宋_GB2312"/>
                <w:b/>
                <w:bCs/>
                <w:kern w:val="2"/>
                <w:sz w:val="21"/>
                <w:szCs w:val="21"/>
                <w:highlight w:val="none"/>
              </w:rPr>
              <w:t>《中华人民共和国海洋环境保护法》第五十八条</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国家海洋行政主管部门监督管理倾倒区的使用，组织倾倒区的环境监测。对经确认不宜继续使用的倾倒区，国家海洋行政主管部门应当予以封闭，终止在该倾倒区的一切倾倒活动，并报国务院备案。</w:t>
            </w:r>
          </w:p>
          <w:p>
            <w:pPr>
              <w:pStyle w:val="12"/>
              <w:snapToGrid w:val="0"/>
              <w:spacing w:before="0" w:beforeAutospacing="0" w:after="0" w:afterAutospacing="0" w:line="288" w:lineRule="auto"/>
              <w:ind w:firstLine="42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第五十九条</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获准倾倒废弃物的单位，必须按照许可证注明的期限及条件，到指定的区域进行倾倒。废弃物装载之后，批准部门应当予以核实。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2"/>
              <w:snapToGrid w:val="0"/>
              <w:spacing w:before="62" w:beforeLines="20" w:beforeAutospacing="0" w:after="0" w:afterAutospacing="0" w:line="288" w:lineRule="auto"/>
              <w:ind w:firstLine="422"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《中华人民共和国海洋环境保护法》第八十五条</w:t>
            </w:r>
            <w:r>
              <w:rPr>
                <w:rFonts w:ascii="Times New Roman" w:hAnsi="Times New Roman" w:eastAsia="仿宋_GB2312" w:cs="Times New Roman"/>
                <w:b/>
                <w:bCs/>
                <w:kern w:val="2"/>
                <w:sz w:val="21"/>
                <w:szCs w:val="21"/>
                <w:highlight w:val="none"/>
              </w:rPr>
              <w:t xml:space="preserve"> </w:t>
            </w:r>
            <w:r>
              <w:rPr>
                <w:rFonts w:hint="eastAsia" w:ascii="Times New Roman" w:hAnsi="Times New Roman" w:eastAsia="仿宋_GB2312" w:cs="仿宋_GB2312"/>
                <w:kern w:val="2"/>
                <w:sz w:val="21"/>
                <w:szCs w:val="21"/>
                <w:highlight w:val="none"/>
              </w:rPr>
              <w:t>违反本法规定，不按照许可证的规定倾倒，或者向已经封闭的倾倒区倾倒废弃物的，由海洋行政主管部门予以警告，并处三万元以上二十万元以下的罚款；对情节严重的，可以暂扣或者吊销许可证。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60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18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倾倒废弃物类型</w:t>
            </w:r>
            <w:r>
              <w:rPr>
                <w:rFonts w:hint="eastAsia" w:ascii="Times New Roman" w:hAnsi="Times New Roman" w:cs="宋体"/>
                <w:b/>
                <w:bCs/>
                <w:color w:val="000000"/>
                <w:highlight w:val="none"/>
              </w:rPr>
              <w:t>★</w:t>
            </w:r>
          </w:p>
        </w:tc>
        <w:tc>
          <w:tcPr>
            <w:tcW w:w="6067"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color w:val="000000"/>
                <w:sz w:val="21"/>
                <w:szCs w:val="21"/>
                <w:highlight w:val="none"/>
              </w:rPr>
              <w:t>生活废水</w:t>
            </w:r>
            <w:r>
              <w:rPr>
                <w:rFonts w:ascii="Times New Roman" w:hAnsi="Times New Roman" w:eastAsia="仿宋_GB2312" w:cs="Times New Roman"/>
                <w:color w:val="000000"/>
                <w:sz w:val="21"/>
                <w:szCs w:val="21"/>
                <w:highlight w:val="none"/>
              </w:rPr>
              <w:t>/</w:t>
            </w:r>
            <w:r>
              <w:rPr>
                <w:rFonts w:hint="eastAsia"/>
                <w:color w:val="000000"/>
                <w:sz w:val="21"/>
                <w:szCs w:val="21"/>
                <w:highlight w:val="none"/>
              </w:rPr>
              <w:t>Ⅰ</w:t>
            </w:r>
            <w:r>
              <w:rPr>
                <w:rFonts w:hint="eastAsia" w:ascii="Times New Roman" w:hAnsi="Times New Roman" w:eastAsia="仿宋_GB2312" w:cs="仿宋_GB2312"/>
                <w:color w:val="000000"/>
                <w:sz w:val="21"/>
                <w:szCs w:val="21"/>
                <w:highlight w:val="none"/>
              </w:rPr>
              <w:t>类一般工业固体废物</w:t>
            </w:r>
          </w:p>
        </w:tc>
        <w:tc>
          <w:tcPr>
            <w:tcW w:w="1871"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6067"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color w:val="000000"/>
                <w:sz w:val="21"/>
                <w:szCs w:val="21"/>
                <w:highlight w:val="none"/>
              </w:rPr>
              <w:t>服务业废水</w:t>
            </w:r>
          </w:p>
        </w:tc>
        <w:tc>
          <w:tcPr>
            <w:tcW w:w="1871"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6067"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color w:val="000000"/>
                <w:sz w:val="21"/>
                <w:szCs w:val="21"/>
                <w:highlight w:val="none"/>
              </w:rPr>
              <w:t>一般工业废水</w:t>
            </w:r>
            <w:r>
              <w:rPr>
                <w:rFonts w:ascii="Times New Roman" w:hAnsi="Times New Roman" w:eastAsia="仿宋_GB2312" w:cs="Times New Roman"/>
                <w:color w:val="000000"/>
                <w:sz w:val="21"/>
                <w:szCs w:val="21"/>
                <w:highlight w:val="none"/>
              </w:rPr>
              <w:t>/</w:t>
            </w:r>
            <w:r>
              <w:rPr>
                <w:rFonts w:hint="eastAsia"/>
                <w:color w:val="000000"/>
                <w:sz w:val="21"/>
                <w:szCs w:val="21"/>
                <w:highlight w:val="none"/>
              </w:rPr>
              <w:t>Ⅱ</w:t>
            </w:r>
            <w:r>
              <w:rPr>
                <w:rFonts w:hint="eastAsia" w:ascii="Times New Roman" w:hAnsi="Times New Roman" w:eastAsia="仿宋_GB2312" w:cs="仿宋_GB2312"/>
                <w:color w:val="000000"/>
                <w:sz w:val="21"/>
                <w:szCs w:val="21"/>
                <w:highlight w:val="none"/>
              </w:rPr>
              <w:t>类一般工业固体废物</w:t>
            </w:r>
          </w:p>
        </w:tc>
        <w:tc>
          <w:tcPr>
            <w:tcW w:w="1871"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6067"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color w:val="000000"/>
                <w:sz w:val="21"/>
                <w:szCs w:val="21"/>
                <w:highlight w:val="none"/>
              </w:rPr>
              <w:t>含其他有毒有害物质的废水、医疗废水</w:t>
            </w:r>
          </w:p>
        </w:tc>
        <w:tc>
          <w:tcPr>
            <w:tcW w:w="1871"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6067"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含一类污染物或重金属、病原体、放射性物质的废水</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危险废物</w:t>
            </w:r>
          </w:p>
        </w:tc>
        <w:tc>
          <w:tcPr>
            <w:tcW w:w="1871"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倾倒废弃物数量</w:t>
            </w:r>
          </w:p>
        </w:tc>
        <w:tc>
          <w:tcPr>
            <w:tcW w:w="606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0.5</w:t>
            </w:r>
            <w:r>
              <w:rPr>
                <w:rFonts w:hint="eastAsia" w:ascii="Times New Roman" w:hAnsi="Times New Roman" w:eastAsia="仿宋_GB2312" w:cs="仿宋_GB2312"/>
                <w:highlight w:val="none"/>
              </w:rPr>
              <w:t>吨以下</w:t>
            </w:r>
          </w:p>
        </w:tc>
        <w:tc>
          <w:tcPr>
            <w:tcW w:w="187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606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0.5</w:t>
            </w:r>
            <w:r>
              <w:rPr>
                <w:rFonts w:hint="eastAsia" w:ascii="Times New Roman" w:hAnsi="Times New Roman" w:eastAsia="仿宋_GB2312" w:cs="仿宋_GB2312"/>
                <w:highlight w:val="none"/>
              </w:rPr>
              <w:t>吨以下</w:t>
            </w:r>
            <w:r>
              <w:rPr>
                <w:rFonts w:ascii="Times New Roman" w:hAnsi="Times New Roman" w:eastAsia="仿宋_GB2312" w:cs="Times New Roman"/>
                <w:highlight w:val="none"/>
              </w:rPr>
              <w:t>1</w:t>
            </w:r>
            <w:r>
              <w:rPr>
                <w:rFonts w:hint="eastAsia" w:ascii="Times New Roman" w:hAnsi="Times New Roman" w:eastAsia="仿宋_GB2312" w:cs="仿宋_GB2312"/>
                <w:highlight w:val="none"/>
              </w:rPr>
              <w:t>段以上</w:t>
            </w:r>
          </w:p>
        </w:tc>
        <w:tc>
          <w:tcPr>
            <w:tcW w:w="187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606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r>
              <w:rPr>
                <w:rFonts w:hint="eastAsia" w:ascii="Times New Roman" w:hAnsi="Times New Roman" w:eastAsia="仿宋_GB2312" w:cs="仿宋_GB2312"/>
                <w:highlight w:val="none"/>
              </w:rPr>
              <w:t>吨以上</w:t>
            </w:r>
            <w:r>
              <w:rPr>
                <w:rFonts w:ascii="Times New Roman" w:hAnsi="Times New Roman" w:eastAsia="仿宋_GB2312" w:cs="Times New Roman"/>
                <w:highlight w:val="none"/>
              </w:rPr>
              <w:t>2</w:t>
            </w:r>
            <w:r>
              <w:rPr>
                <w:rFonts w:hint="eastAsia" w:ascii="Times New Roman" w:hAnsi="Times New Roman" w:eastAsia="仿宋_GB2312" w:cs="仿宋_GB2312"/>
                <w:highlight w:val="none"/>
              </w:rPr>
              <w:t>吨以下</w:t>
            </w:r>
          </w:p>
        </w:tc>
        <w:tc>
          <w:tcPr>
            <w:tcW w:w="187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606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r>
              <w:rPr>
                <w:rFonts w:hint="eastAsia" w:ascii="Times New Roman" w:hAnsi="Times New Roman" w:eastAsia="仿宋_GB2312" w:cs="仿宋_GB2312"/>
                <w:highlight w:val="none"/>
              </w:rPr>
              <w:t>吨以上</w:t>
            </w:r>
            <w:r>
              <w:rPr>
                <w:rFonts w:ascii="Times New Roman" w:hAnsi="Times New Roman" w:eastAsia="仿宋_GB2312" w:cs="Times New Roman"/>
                <w:highlight w:val="none"/>
              </w:rPr>
              <w:t>5</w:t>
            </w:r>
            <w:r>
              <w:rPr>
                <w:rFonts w:hint="eastAsia" w:ascii="Times New Roman" w:hAnsi="Times New Roman" w:eastAsia="仿宋_GB2312" w:cs="仿宋_GB2312"/>
                <w:highlight w:val="none"/>
              </w:rPr>
              <w:t>吨以下</w:t>
            </w:r>
          </w:p>
        </w:tc>
        <w:tc>
          <w:tcPr>
            <w:tcW w:w="187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606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r>
              <w:rPr>
                <w:rFonts w:hint="eastAsia" w:ascii="Times New Roman" w:hAnsi="Times New Roman" w:eastAsia="仿宋_GB2312" w:cs="仿宋_GB2312"/>
                <w:highlight w:val="none"/>
              </w:rPr>
              <w:t>吨以上</w:t>
            </w:r>
          </w:p>
        </w:tc>
        <w:tc>
          <w:tcPr>
            <w:tcW w:w="1871"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倾倒地点</w:t>
            </w:r>
          </w:p>
        </w:tc>
        <w:tc>
          <w:tcPr>
            <w:tcW w:w="6067"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工业与城镇用海区</w:t>
            </w:r>
          </w:p>
        </w:tc>
        <w:tc>
          <w:tcPr>
            <w:tcW w:w="1871"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6067"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港口航运区、农渔业区</w:t>
            </w:r>
          </w:p>
        </w:tc>
        <w:tc>
          <w:tcPr>
            <w:tcW w:w="1871"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6067"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旅游休闲娱乐区</w:t>
            </w:r>
          </w:p>
        </w:tc>
        <w:tc>
          <w:tcPr>
            <w:tcW w:w="1871"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6067"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矿产与能源区</w:t>
            </w:r>
          </w:p>
        </w:tc>
        <w:tc>
          <w:tcPr>
            <w:tcW w:w="1871"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6067"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海洋保护区、特殊利用区、保留区等需要特殊保护的区域</w:t>
            </w:r>
          </w:p>
        </w:tc>
        <w:tc>
          <w:tcPr>
            <w:tcW w:w="1871"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eastAsia="仿宋_GB2312" w:cs="Times New Roman"/>
                <w:highlight w:val="none"/>
              </w:rPr>
            </w:pPr>
          </w:p>
        </w:tc>
      </w:tr>
    </w:tbl>
    <w:p>
      <w:pPr>
        <w:widowControl/>
        <w:jc w:val="left"/>
        <w:outlineLvl w:val="1"/>
        <w:rPr>
          <w:rFonts w:ascii="Times New Roman" w:hAnsi="Times New Roman" w:eastAsia="仿宋_GB2312" w:cs="Times New Roman"/>
          <w:b/>
          <w:bCs/>
          <w:sz w:val="10"/>
          <w:szCs w:val="10"/>
          <w:highlight w:val="none"/>
        </w:rPr>
      </w:pPr>
      <w:r>
        <w:rPr>
          <w:rFonts w:ascii="Times New Roman" w:hAnsi="Times New Roman" w:eastAsia="仿宋_GB2312" w:cs="Times New Roman"/>
          <w:b/>
          <w:bCs/>
          <w:sz w:val="10"/>
          <w:szCs w:val="10"/>
          <w:highlight w:val="none"/>
        </w:rPr>
        <w:br w:type="page"/>
      </w:r>
    </w:p>
    <w:p>
      <w:pPr>
        <w:widowControl/>
        <w:snapToGrid w:val="0"/>
        <w:jc w:val="left"/>
        <w:outlineLvl w:val="1"/>
        <w:rPr>
          <w:rFonts w:ascii="Times New Roman" w:hAnsi="Times New Roman" w:eastAsia="仿宋_GB2312" w:cs="Times New Roman"/>
          <w:b/>
          <w:bCs/>
          <w:sz w:val="10"/>
          <w:szCs w:val="10"/>
          <w:highlight w:val="none"/>
        </w:rPr>
      </w:pP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500"/>
        <w:gridCol w:w="2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（六）海洋污染防治类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ind w:firstLine="42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港口、码头、装卸站及船舶未配备防污设施、器材的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2"/>
              <w:snapToGrid w:val="0"/>
              <w:spacing w:before="62" w:beforeLines="20" w:beforeAutospacing="0" w:after="0" w:afterAutospacing="0" w:line="264" w:lineRule="auto"/>
              <w:ind w:firstLine="42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《中华人民共和国海洋环境保护法》第六十九条</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港口、码头、装卸站和船舶修造厂必须按照有关规定备有足够的用于处理船舶污染物、废弃物的接收设施，并使该设施处于良好状态。</w:t>
            </w:r>
          </w:p>
          <w:p>
            <w:pPr>
              <w:pStyle w:val="12"/>
              <w:snapToGrid w:val="0"/>
              <w:spacing w:before="0" w:beforeAutospacing="0" w:after="0" w:afterAutospacing="0" w:line="264" w:lineRule="auto"/>
              <w:ind w:firstLine="42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装卸油类的港口、码头、装卸站和船舶必须编制溢油污染应急计划，并配备相应的溢油污染应急设备和器材。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2"/>
              <w:snapToGrid w:val="0"/>
              <w:spacing w:before="62" w:beforeLines="20" w:beforeAutospacing="0" w:after="0" w:afterAutospacing="0" w:line="264" w:lineRule="auto"/>
              <w:ind w:firstLine="422"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《中华人民共和国海洋环境保护法》第八十七条第一款第（一）项、第二款</w:t>
            </w:r>
            <w:r>
              <w:rPr>
                <w:rFonts w:ascii="Times New Roman" w:hAnsi="Times New Roman" w:eastAsia="仿宋_GB2312" w:cs="Times New Roman"/>
                <w:b/>
                <w:bCs/>
                <w:kern w:val="2"/>
                <w:sz w:val="21"/>
                <w:szCs w:val="21"/>
                <w:highlight w:val="none"/>
              </w:rPr>
              <w:t xml:space="preserve"> </w:t>
            </w:r>
            <w:r>
              <w:rPr>
                <w:rFonts w:hint="eastAsia" w:ascii="Times New Roman" w:hAnsi="Times New Roman" w:eastAsia="仿宋_GB2312" w:cs="仿宋_GB2312"/>
                <w:kern w:val="2"/>
                <w:sz w:val="21"/>
                <w:szCs w:val="21"/>
                <w:highlight w:val="none"/>
              </w:rPr>
              <w:t>违反本法规定，有下列行为之一的，由依照本法规定行使海洋环境监督管理权的部门予以警告，或者处以罚款：</w:t>
            </w:r>
          </w:p>
          <w:p>
            <w:pPr>
              <w:pStyle w:val="12"/>
              <w:snapToGrid w:val="0"/>
              <w:spacing w:before="0" w:beforeAutospacing="0" w:after="0" w:afterAutospacing="0" w:line="264" w:lineRule="auto"/>
              <w:ind w:firstLine="420"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（一）港口、码头、装卸站及船舶未配备防污设施、器材的。</w:t>
            </w:r>
          </w:p>
          <w:p>
            <w:pPr>
              <w:pStyle w:val="12"/>
              <w:snapToGrid w:val="0"/>
              <w:spacing w:before="0" w:beforeAutospacing="0" w:after="0" w:afterAutospacing="0" w:line="264" w:lineRule="auto"/>
              <w:ind w:firstLine="420"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有前款第（一）、（四）项行为之一的，处二万元以上十万元以下的罚款；有前款第（二）项行为的，处二万元以下的罚款；有前款第（三）项行为的，处五万元以上二十万元以下的罚款。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500"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438"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500" w:type="dxa"/>
            <w:vAlign w:val="center"/>
          </w:tcPr>
          <w:p>
            <w:pPr>
              <w:pStyle w:val="11"/>
              <w:snapToGrid w:val="0"/>
              <w:jc w:val="center"/>
              <w:rPr>
                <w:rFonts w:ascii="Times New Roman" w:hAnsi="Times New Roman" w:eastAsia="仿宋_GB2312" w:cs="Times New Roman"/>
                <w:color w:val="000000"/>
                <w:kern w:val="2"/>
                <w:sz w:val="21"/>
                <w:szCs w:val="21"/>
                <w:highlight w:val="none"/>
              </w:rPr>
            </w:pPr>
            <w:r>
              <w:rPr>
                <w:rFonts w:hint="eastAsia" w:ascii="Times New Roman" w:hAnsi="Times New Roman" w:eastAsia="仿宋_GB2312" w:cs="仿宋_GB2312"/>
                <w:color w:val="000000"/>
                <w:kern w:val="2"/>
                <w:sz w:val="21"/>
                <w:szCs w:val="21"/>
                <w:highlight w:val="none"/>
              </w:rPr>
              <w:t>已配备防污设施、器材，但防污设施、器材不符合要求的</w:t>
            </w:r>
          </w:p>
        </w:tc>
        <w:tc>
          <w:tcPr>
            <w:tcW w:w="2438"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500"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color w:val="000000"/>
                <w:kern w:val="2"/>
                <w:sz w:val="21"/>
                <w:szCs w:val="21"/>
                <w:highlight w:val="none"/>
              </w:rPr>
              <w:t>配备防污设施、器材不齐全的</w:t>
            </w:r>
          </w:p>
        </w:tc>
        <w:tc>
          <w:tcPr>
            <w:tcW w:w="2438"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500" w:type="dxa"/>
            <w:vAlign w:val="center"/>
          </w:tcPr>
          <w:p>
            <w:pPr>
              <w:pStyle w:val="11"/>
              <w:snapToGrid w:val="0"/>
              <w:jc w:val="center"/>
              <w:rPr>
                <w:rFonts w:ascii="Times New Roman" w:hAnsi="Times New Roman" w:eastAsia="仿宋_GB2312" w:cs="Times New Roman"/>
                <w:color w:val="000000"/>
                <w:kern w:val="2"/>
                <w:sz w:val="21"/>
                <w:szCs w:val="21"/>
                <w:highlight w:val="none"/>
              </w:rPr>
            </w:pPr>
            <w:r>
              <w:rPr>
                <w:rFonts w:hint="eastAsia" w:ascii="Times New Roman" w:hAnsi="Times New Roman" w:eastAsia="仿宋_GB2312" w:cs="仿宋_GB2312"/>
                <w:color w:val="000000"/>
                <w:kern w:val="2"/>
                <w:sz w:val="21"/>
                <w:szCs w:val="21"/>
                <w:highlight w:val="none"/>
              </w:rPr>
              <w:t>未配备防污设施、器材的</w:t>
            </w:r>
          </w:p>
        </w:tc>
        <w:tc>
          <w:tcPr>
            <w:tcW w:w="2438"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项目建设</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地点</w:t>
            </w:r>
          </w:p>
        </w:tc>
        <w:tc>
          <w:tcPr>
            <w:tcW w:w="5500"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工业与城镇用海区</w:t>
            </w:r>
          </w:p>
        </w:tc>
        <w:tc>
          <w:tcPr>
            <w:tcW w:w="2438"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500"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港口航运区、农渔业区</w:t>
            </w:r>
          </w:p>
        </w:tc>
        <w:tc>
          <w:tcPr>
            <w:tcW w:w="2438"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500"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旅游休闲娱乐区</w:t>
            </w:r>
          </w:p>
        </w:tc>
        <w:tc>
          <w:tcPr>
            <w:tcW w:w="2438"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500"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矿产与能源区</w:t>
            </w:r>
          </w:p>
        </w:tc>
        <w:tc>
          <w:tcPr>
            <w:tcW w:w="2438"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500"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海洋保护区、特殊利用区、保留区等需要特殊保护的区域</w:t>
            </w:r>
          </w:p>
        </w:tc>
        <w:tc>
          <w:tcPr>
            <w:tcW w:w="2438"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eastAsia="仿宋_GB2312" w:cs="Times New Roman"/>
                <w:highlight w:val="none"/>
              </w:rPr>
            </w:pPr>
          </w:p>
        </w:tc>
      </w:tr>
    </w:tbl>
    <w:p>
      <w:pPr>
        <w:widowControl/>
        <w:jc w:val="left"/>
        <w:outlineLvl w:val="1"/>
        <w:rPr>
          <w:rFonts w:ascii="Times New Roman" w:hAnsi="Times New Roman" w:eastAsia="仿宋_GB2312" w:cs="Times New Roman"/>
          <w:b/>
          <w:bCs/>
          <w:sz w:val="10"/>
          <w:szCs w:val="10"/>
          <w:highlight w:val="none"/>
        </w:rPr>
      </w:pPr>
      <w:r>
        <w:rPr>
          <w:rFonts w:ascii="Times New Roman" w:hAnsi="Times New Roman" w:eastAsia="仿宋_GB2312" w:cs="Times New Roman"/>
          <w:b/>
          <w:bCs/>
          <w:sz w:val="10"/>
          <w:szCs w:val="10"/>
          <w:highlight w:val="none"/>
        </w:rPr>
        <w:br w:type="page"/>
      </w:r>
    </w:p>
    <w:p>
      <w:pPr>
        <w:widowControl/>
        <w:snapToGrid w:val="0"/>
        <w:jc w:val="left"/>
        <w:outlineLvl w:val="1"/>
        <w:rPr>
          <w:rFonts w:ascii="Times New Roman" w:hAnsi="Times New Roman" w:eastAsia="仿宋_GB2312" w:cs="Times New Roman"/>
          <w:b/>
          <w:bCs/>
          <w:sz w:val="10"/>
          <w:szCs w:val="10"/>
          <w:highlight w:val="none"/>
        </w:rPr>
      </w:pP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500"/>
        <w:gridCol w:w="2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（六）海洋污染防治类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tcPr>
          <w:p>
            <w:pPr>
              <w:snapToGrid w:val="0"/>
              <w:spacing w:before="62" w:beforeLines="20"/>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从事水上和港区水域拆船、旧船改装、打捞和其他水上、水下施工作业，造成海洋环境污染损害的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2"/>
              <w:snapToGrid w:val="0"/>
              <w:spacing w:before="62" w:beforeLines="20" w:beforeAutospacing="0" w:after="0" w:afterAutospacing="0" w:line="288" w:lineRule="auto"/>
              <w:ind w:firstLine="42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《中华人民共和国海洋环境保护法》第七十条第一款</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船舶及有关作业活动应当遵守有关法律法规和标准，采取有效措施，防止造成海洋环境污染。海事行政主管部门等有关部门应当加强对船舶及有关作业活动的监督管理。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2"/>
              <w:snapToGrid w:val="0"/>
              <w:spacing w:before="62" w:beforeLines="20" w:beforeAutospacing="0" w:after="0" w:afterAutospacing="0" w:line="288" w:lineRule="auto"/>
              <w:ind w:firstLine="422"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《中华人民共和国海洋环境保护法》第八十七条第一款第（三）项、第二款</w:t>
            </w:r>
            <w:r>
              <w:rPr>
                <w:rFonts w:ascii="Times New Roman" w:hAnsi="Times New Roman" w:eastAsia="仿宋_GB2312" w:cs="Times New Roman"/>
                <w:b/>
                <w:bCs/>
                <w:kern w:val="2"/>
                <w:sz w:val="21"/>
                <w:szCs w:val="21"/>
                <w:highlight w:val="none"/>
              </w:rPr>
              <w:t xml:space="preserve"> </w:t>
            </w:r>
            <w:r>
              <w:rPr>
                <w:rFonts w:hint="eastAsia" w:ascii="Times New Roman" w:hAnsi="Times New Roman" w:eastAsia="仿宋_GB2312" w:cs="仿宋_GB2312"/>
                <w:kern w:val="2"/>
                <w:sz w:val="21"/>
                <w:szCs w:val="21"/>
                <w:highlight w:val="none"/>
              </w:rPr>
              <w:t>违反本法规定，有下列行为之一的，由依照本法规定行使海洋环境监督管理权的部门予以警告，或者处以罚款：</w:t>
            </w:r>
          </w:p>
          <w:p>
            <w:pPr>
              <w:pStyle w:val="12"/>
              <w:snapToGrid w:val="0"/>
              <w:spacing w:before="0" w:beforeAutospacing="0" w:after="0" w:afterAutospacing="0" w:line="288" w:lineRule="auto"/>
              <w:ind w:firstLine="420"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（三）从事水上和港区水域拆船、旧船改装、打捞和其他水上、水下施工作业，造成海洋环境污染损害的。</w:t>
            </w:r>
          </w:p>
          <w:p>
            <w:pPr>
              <w:pStyle w:val="12"/>
              <w:snapToGrid w:val="0"/>
              <w:spacing w:before="0" w:beforeAutospacing="0" w:after="0" w:afterAutospacing="0" w:line="288" w:lineRule="auto"/>
              <w:ind w:firstLine="420"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有前款第（一）、（四）项行为之一的，处二万元以上十万元以下的罚款；有前款第（二）项行为的，处二万元以下的罚款；有前款第（三）项行为的，处五万元以上二十万元以下的罚款。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500"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438"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项目建设</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地点★</w:t>
            </w:r>
          </w:p>
        </w:tc>
        <w:tc>
          <w:tcPr>
            <w:tcW w:w="5500"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工业与城镇用海区</w:t>
            </w:r>
          </w:p>
        </w:tc>
        <w:tc>
          <w:tcPr>
            <w:tcW w:w="2438"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500"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港口航运区、农渔业区</w:t>
            </w:r>
          </w:p>
        </w:tc>
        <w:tc>
          <w:tcPr>
            <w:tcW w:w="2438"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500"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旅游休闲娱乐区</w:t>
            </w:r>
          </w:p>
        </w:tc>
        <w:tc>
          <w:tcPr>
            <w:tcW w:w="2438"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500"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矿产与能源区</w:t>
            </w:r>
          </w:p>
        </w:tc>
        <w:tc>
          <w:tcPr>
            <w:tcW w:w="2438"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500"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海洋保护区、特殊利用区、保留区等需要特殊保护的区域</w:t>
            </w:r>
          </w:p>
        </w:tc>
        <w:tc>
          <w:tcPr>
            <w:tcW w:w="2438"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spacing w:line="312" w:lineRule="auto"/>
              <w:jc w:val="center"/>
              <w:rPr>
                <w:rFonts w:ascii="Times New Roman" w:hAnsi="Times New Roman" w:cs="Times New Roman"/>
                <w:b/>
                <w:bCs/>
                <w:highlight w:val="none"/>
              </w:rPr>
            </w:pPr>
            <w:r>
              <w:rPr>
                <w:rFonts w:hint="eastAsia" w:ascii="Times New Roman" w:hAnsi="Times New Roman" w:cs="宋体"/>
                <w:b/>
                <w:bCs/>
                <w:highlight w:val="none"/>
              </w:rPr>
              <w:t>造成海洋环境污染面积</w:t>
            </w:r>
          </w:p>
        </w:tc>
        <w:tc>
          <w:tcPr>
            <w:tcW w:w="5500" w:type="dxa"/>
            <w:vAlign w:val="center"/>
          </w:tcPr>
          <w:p>
            <w:pPr>
              <w:snapToGrid w:val="0"/>
              <w:spacing w:line="264" w:lineRule="auto"/>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涉及面积小于</w:t>
            </w:r>
            <w:r>
              <w:rPr>
                <w:rFonts w:ascii="Times New Roman" w:hAnsi="Times New Roman" w:eastAsia="仿宋_GB2312" w:cs="Times New Roman"/>
                <w:highlight w:val="none"/>
              </w:rPr>
              <w:t>50m</w:t>
            </w:r>
            <w:r>
              <w:rPr>
                <w:rFonts w:ascii="Times New Roman" w:hAnsi="Times New Roman" w:eastAsia="仿宋_GB2312" w:cs="Times New Roman"/>
                <w:highlight w:val="none"/>
                <w:vertAlign w:val="superscript"/>
              </w:rPr>
              <w:t>2</w:t>
            </w:r>
          </w:p>
        </w:tc>
        <w:tc>
          <w:tcPr>
            <w:tcW w:w="2438" w:type="dxa"/>
            <w:vAlign w:val="center"/>
          </w:tcPr>
          <w:p>
            <w:pPr>
              <w:snapToGrid w:val="0"/>
              <w:spacing w:line="264" w:lineRule="auto"/>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spacing w:line="312" w:lineRule="auto"/>
              <w:ind w:firstLine="420"/>
              <w:jc w:val="center"/>
              <w:rPr>
                <w:rFonts w:ascii="Times New Roman" w:hAnsi="Times New Roman" w:cs="Times New Roman"/>
                <w:highlight w:val="none"/>
              </w:rPr>
            </w:pPr>
          </w:p>
        </w:tc>
        <w:tc>
          <w:tcPr>
            <w:tcW w:w="5500" w:type="dxa"/>
            <w:vAlign w:val="center"/>
          </w:tcPr>
          <w:p>
            <w:pPr>
              <w:snapToGrid w:val="0"/>
              <w:spacing w:line="264" w:lineRule="auto"/>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涉及面积在</w:t>
            </w:r>
            <w:r>
              <w:rPr>
                <w:rFonts w:ascii="Times New Roman" w:hAnsi="Times New Roman" w:eastAsia="仿宋_GB2312" w:cs="Times New Roman"/>
                <w:highlight w:val="none"/>
              </w:rPr>
              <w:t>50m</w:t>
            </w:r>
            <w:r>
              <w:rPr>
                <w:rFonts w:ascii="Times New Roman" w:hAnsi="Times New Roman" w:eastAsia="仿宋_GB2312" w:cs="Times New Roman"/>
                <w:highlight w:val="none"/>
                <w:vertAlign w:val="superscript"/>
              </w:rPr>
              <w:t>2</w:t>
            </w:r>
            <w:r>
              <w:rPr>
                <w:rFonts w:hint="eastAsia" w:ascii="Times New Roman" w:hAnsi="Times New Roman" w:eastAsia="仿宋_GB2312" w:cs="仿宋_GB2312"/>
                <w:highlight w:val="none"/>
              </w:rPr>
              <w:t>以上</w:t>
            </w:r>
            <w:r>
              <w:rPr>
                <w:rFonts w:ascii="Times New Roman" w:hAnsi="Times New Roman" w:eastAsia="仿宋_GB2312" w:cs="Times New Roman"/>
                <w:highlight w:val="none"/>
              </w:rPr>
              <w:t>200m</w:t>
            </w:r>
            <w:r>
              <w:rPr>
                <w:rFonts w:ascii="Times New Roman" w:hAnsi="Times New Roman" w:eastAsia="仿宋_GB2312" w:cs="Times New Roman"/>
                <w:highlight w:val="none"/>
                <w:vertAlign w:val="superscript"/>
              </w:rPr>
              <w:t>2</w:t>
            </w:r>
            <w:r>
              <w:rPr>
                <w:rFonts w:hint="eastAsia" w:ascii="Times New Roman" w:hAnsi="Times New Roman" w:eastAsia="仿宋_GB2312" w:cs="仿宋_GB2312"/>
                <w:highlight w:val="none"/>
              </w:rPr>
              <w:t>以内的</w:t>
            </w:r>
          </w:p>
        </w:tc>
        <w:tc>
          <w:tcPr>
            <w:tcW w:w="2438" w:type="dxa"/>
            <w:vAlign w:val="center"/>
          </w:tcPr>
          <w:p>
            <w:pPr>
              <w:snapToGrid w:val="0"/>
              <w:spacing w:line="264" w:lineRule="auto"/>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spacing w:line="312" w:lineRule="auto"/>
              <w:ind w:firstLine="420"/>
              <w:jc w:val="center"/>
              <w:rPr>
                <w:rFonts w:ascii="Times New Roman" w:hAnsi="Times New Roman" w:cs="Times New Roman"/>
                <w:highlight w:val="none"/>
              </w:rPr>
            </w:pPr>
          </w:p>
        </w:tc>
        <w:tc>
          <w:tcPr>
            <w:tcW w:w="5500" w:type="dxa"/>
            <w:vAlign w:val="center"/>
          </w:tcPr>
          <w:p>
            <w:pPr>
              <w:snapToGrid w:val="0"/>
              <w:spacing w:line="264" w:lineRule="auto"/>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涉及面积在</w:t>
            </w:r>
            <w:r>
              <w:rPr>
                <w:rFonts w:ascii="Times New Roman" w:hAnsi="Times New Roman" w:eastAsia="仿宋_GB2312" w:cs="Times New Roman"/>
                <w:highlight w:val="none"/>
              </w:rPr>
              <w:t>200m</w:t>
            </w:r>
            <w:r>
              <w:rPr>
                <w:rFonts w:ascii="Times New Roman" w:hAnsi="Times New Roman" w:eastAsia="仿宋_GB2312" w:cs="Times New Roman"/>
                <w:highlight w:val="none"/>
                <w:vertAlign w:val="superscript"/>
              </w:rPr>
              <w:t>2</w:t>
            </w:r>
            <w:r>
              <w:rPr>
                <w:rFonts w:hint="eastAsia" w:ascii="Times New Roman" w:hAnsi="Times New Roman" w:eastAsia="仿宋_GB2312" w:cs="仿宋_GB2312"/>
                <w:highlight w:val="none"/>
              </w:rPr>
              <w:t>以上的</w:t>
            </w:r>
          </w:p>
        </w:tc>
        <w:tc>
          <w:tcPr>
            <w:tcW w:w="2438" w:type="dxa"/>
            <w:vAlign w:val="center"/>
          </w:tcPr>
          <w:p>
            <w:pPr>
              <w:snapToGrid w:val="0"/>
              <w:spacing w:line="264" w:lineRule="auto"/>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eastAsia="仿宋_GB2312" w:cs="Times New Roman"/>
                <w:highlight w:val="none"/>
              </w:rPr>
            </w:pPr>
          </w:p>
        </w:tc>
      </w:tr>
    </w:tbl>
    <w:p>
      <w:pPr>
        <w:widowControl/>
        <w:snapToGrid w:val="0"/>
        <w:jc w:val="left"/>
        <w:outlineLvl w:val="1"/>
        <w:rPr>
          <w:rFonts w:ascii="Times New Roman" w:hAnsi="Times New Roman" w:eastAsia="仿宋_GB2312" w:cs="Times New Roman"/>
          <w:b/>
          <w:bCs/>
          <w:sz w:val="10"/>
          <w:szCs w:val="10"/>
          <w:highlight w:val="none"/>
        </w:rPr>
      </w:pPr>
      <w:r>
        <w:rPr>
          <w:rFonts w:ascii="Times New Roman" w:hAnsi="Times New Roman" w:eastAsia="仿宋_GB2312" w:cs="Times New Roman"/>
          <w:b/>
          <w:bCs/>
          <w:sz w:val="32"/>
          <w:szCs w:val="32"/>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500"/>
        <w:gridCol w:w="2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（六）海洋污染防治类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tcPr>
          <w:p>
            <w:pPr>
              <w:snapToGrid w:val="0"/>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违反生态保护红线要求，或者违反海洋主体功能区规划、海洋功能区划、海洋环境保护规划、重点海域环境保护专项规划以及有关环境保护标准，开发利用海洋资源的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2"/>
              <w:snapToGrid w:val="0"/>
              <w:spacing w:before="62" w:beforeLines="20" w:beforeAutospacing="0" w:after="0" w:afterAutospacing="0" w:line="264" w:lineRule="auto"/>
              <w:ind w:firstLine="42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《山东省海洋环境保护条例》第十四条第一款</w:t>
            </w:r>
            <w:r>
              <w:rPr>
                <w:rFonts w:ascii="Times New Roman" w:hAnsi="Times New Roman" w:eastAsia="仿宋_GB2312" w:cs="Times New Roman"/>
                <w:b/>
                <w:bCs/>
                <w:kern w:val="2"/>
                <w:sz w:val="21"/>
                <w:szCs w:val="21"/>
                <w:highlight w:val="none"/>
              </w:rPr>
              <w:t xml:space="preserve"> </w:t>
            </w:r>
            <w:r>
              <w:rPr>
                <w:rFonts w:hint="eastAsia" w:ascii="Times New Roman" w:hAnsi="Times New Roman" w:eastAsia="仿宋_GB2312" w:cs="仿宋_GB2312"/>
                <w:kern w:val="2"/>
                <w:sz w:val="21"/>
                <w:szCs w:val="21"/>
                <w:highlight w:val="none"/>
              </w:rPr>
              <w:t>开发利用海洋资源，应当严格遵守生态保护红线，符合海洋主体功能区规划、海洋功能区划、海洋环境保护规划、重点海域环境保护专项规划和有关环境保护标准，不得造成海洋生态环境破坏。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2"/>
              <w:snapToGrid w:val="0"/>
              <w:spacing w:before="62" w:beforeLines="20" w:beforeAutospacing="0" w:after="0" w:afterAutospacing="0" w:line="264" w:lineRule="auto"/>
              <w:ind w:firstLine="422"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《山东省海洋环境保护条例》第三十一条第（一）项</w:t>
            </w:r>
            <w:r>
              <w:rPr>
                <w:rFonts w:ascii="Times New Roman" w:hAnsi="Times New Roman" w:eastAsia="仿宋_GB2312" w:cs="Times New Roman"/>
                <w:b/>
                <w:bCs/>
                <w:kern w:val="2"/>
                <w:sz w:val="21"/>
                <w:szCs w:val="21"/>
                <w:highlight w:val="none"/>
              </w:rPr>
              <w:t xml:space="preserve"> </w:t>
            </w:r>
            <w:r>
              <w:rPr>
                <w:rFonts w:hint="eastAsia" w:ascii="Times New Roman" w:hAnsi="Times New Roman" w:eastAsia="仿宋_GB2312" w:cs="仿宋_GB2312"/>
                <w:kern w:val="2"/>
                <w:sz w:val="21"/>
                <w:szCs w:val="21"/>
                <w:highlight w:val="none"/>
              </w:rPr>
              <w:t>违反本条例规定，有下列情形之一的，由生态环境主管部门予以警告，责令停止建设、限期整治和恢复或者采取其他补救措施；情节严重的，处二万元以上二十万元以下罚款；有违法所得的，没收违法所得：</w:t>
            </w:r>
          </w:p>
          <w:p>
            <w:pPr>
              <w:pStyle w:val="12"/>
              <w:snapToGrid w:val="0"/>
              <w:spacing w:before="0" w:beforeAutospacing="0" w:after="0" w:afterAutospacing="0" w:line="264" w:lineRule="auto"/>
              <w:ind w:firstLine="420"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（一）违反生态保护红线要求，或者违反海洋主体功能区规划、海洋功能区划、海洋环境保护规划、重点海域环境保护专项规划以及有关环境保护标准，开发利用海洋资源的。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500"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438"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违法事实</w:t>
            </w:r>
            <w:r>
              <w:rPr>
                <w:rFonts w:hint="eastAsia" w:ascii="Times New Roman" w:hAnsi="Times New Roman" w:cs="宋体"/>
                <w:b/>
                <w:bCs/>
                <w:color w:val="000000"/>
                <w:highlight w:val="none"/>
              </w:rPr>
              <w:t>★</w:t>
            </w:r>
          </w:p>
        </w:tc>
        <w:tc>
          <w:tcPr>
            <w:tcW w:w="5500"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违反</w:t>
            </w:r>
            <w:r>
              <w:rPr>
                <w:rFonts w:hint="eastAsia" w:ascii="Times New Roman" w:hAnsi="Times New Roman" w:eastAsia="仿宋_GB2312" w:cs="仿宋_GB2312"/>
                <w:kern w:val="2"/>
                <w:sz w:val="21"/>
                <w:szCs w:val="21"/>
                <w:highlight w:val="none"/>
              </w:rPr>
              <w:t>海洋功能区划、海洋环境保护规划、有关环境保护标准，开发利用海洋资源的</w:t>
            </w:r>
          </w:p>
        </w:tc>
        <w:tc>
          <w:tcPr>
            <w:tcW w:w="2438"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500" w:type="dxa"/>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highlight w:val="none"/>
              </w:rPr>
              <w:t>违反海洋主体功能区规划、重点海域环境保护专项规划，开发利用海洋资源的</w:t>
            </w:r>
          </w:p>
        </w:tc>
        <w:tc>
          <w:tcPr>
            <w:tcW w:w="2438"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500" w:type="dxa"/>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highlight w:val="none"/>
              </w:rPr>
              <w:t>违反生态保护红线要求，开发利用海洋资源的</w:t>
            </w:r>
          </w:p>
        </w:tc>
        <w:tc>
          <w:tcPr>
            <w:tcW w:w="2438"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海洋功能</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区划</w:t>
            </w:r>
          </w:p>
        </w:tc>
        <w:tc>
          <w:tcPr>
            <w:tcW w:w="5500"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工业与城镇用海区</w:t>
            </w:r>
          </w:p>
        </w:tc>
        <w:tc>
          <w:tcPr>
            <w:tcW w:w="2438"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500"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港口航运区、农渔业区</w:t>
            </w:r>
          </w:p>
        </w:tc>
        <w:tc>
          <w:tcPr>
            <w:tcW w:w="2438"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500"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旅游休闲娱乐区</w:t>
            </w:r>
          </w:p>
        </w:tc>
        <w:tc>
          <w:tcPr>
            <w:tcW w:w="2438"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500"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矿产与能源区</w:t>
            </w:r>
          </w:p>
        </w:tc>
        <w:tc>
          <w:tcPr>
            <w:tcW w:w="2438"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500"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海洋保护区、特殊利用区、保留区等需要特殊保护的区域</w:t>
            </w:r>
          </w:p>
        </w:tc>
        <w:tc>
          <w:tcPr>
            <w:tcW w:w="2438"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eastAsia="仿宋_GB2312" w:cs="Times New Roman"/>
                <w:highlight w:val="none"/>
              </w:rPr>
            </w:pPr>
          </w:p>
        </w:tc>
      </w:tr>
    </w:tbl>
    <w:p>
      <w:pPr>
        <w:widowControl/>
        <w:snapToGrid w:val="0"/>
        <w:jc w:val="left"/>
        <w:outlineLvl w:val="1"/>
        <w:rPr>
          <w:rFonts w:ascii="Times New Roman" w:hAnsi="Times New Roman" w:eastAsia="仿宋_GB2312" w:cs="Times New Roman"/>
          <w:b/>
          <w:bCs/>
          <w:sz w:val="10"/>
          <w:szCs w:val="10"/>
          <w:highlight w:val="none"/>
        </w:rPr>
      </w:pPr>
      <w:r>
        <w:rPr>
          <w:rFonts w:ascii="Times New Roman" w:hAnsi="Times New Roman" w:eastAsia="仿宋_GB2312" w:cs="Times New Roman"/>
          <w:b/>
          <w:bCs/>
          <w:sz w:val="32"/>
          <w:szCs w:val="32"/>
          <w:highlight w:val="none"/>
        </w:rPr>
        <w:br w:type="page"/>
      </w:r>
    </w:p>
    <w:tbl>
      <w:tblPr>
        <w:tblStyle w:val="1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500"/>
        <w:gridCol w:w="2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（六）海洋污染防治类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38" w:type="dxa"/>
            <w:gridSpan w:val="2"/>
          </w:tcPr>
          <w:p>
            <w:pPr>
              <w:snapToGrid w:val="0"/>
              <w:spacing w:before="62" w:beforeLines="20"/>
              <w:ind w:firstLine="420"/>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采挖海砂、砾石或者开发海岛及周围海域资源，未采取严格的生态保护措施造成海洋生态环境破坏的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2"/>
              <w:snapToGrid w:val="0"/>
              <w:spacing w:before="62" w:beforeLines="20" w:beforeAutospacing="0" w:after="0" w:afterAutospacing="0" w:line="288" w:lineRule="auto"/>
              <w:ind w:firstLine="42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《山东省海洋环境保护条例》第十四条第三款</w:t>
            </w:r>
            <w:r>
              <w:rPr>
                <w:rFonts w:ascii="Times New Roman" w:hAnsi="Times New Roman" w:eastAsia="仿宋_GB2312" w:cs="Times New Roman"/>
                <w:b/>
                <w:bCs/>
                <w:kern w:val="2"/>
                <w:sz w:val="21"/>
                <w:szCs w:val="21"/>
                <w:highlight w:val="none"/>
              </w:rPr>
              <w:t xml:space="preserve"> </w:t>
            </w:r>
            <w:r>
              <w:rPr>
                <w:rFonts w:hint="eastAsia" w:ascii="Times New Roman" w:hAnsi="Times New Roman" w:eastAsia="仿宋_GB2312" w:cs="仿宋_GB2312"/>
                <w:kern w:val="2"/>
                <w:sz w:val="21"/>
                <w:szCs w:val="21"/>
                <w:highlight w:val="none"/>
              </w:rPr>
              <w:t>采挖海砂、砾石或者开发海岛及周围海域资源的，应当采取严格的生态保护措施，不得擅自改变海岛地形、岸滩及海岛周围海域生态环境。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2"/>
              <w:snapToGrid w:val="0"/>
              <w:spacing w:before="62" w:beforeLines="20" w:beforeAutospacing="0" w:after="0" w:afterAutospacing="0" w:line="288" w:lineRule="auto"/>
              <w:ind w:firstLine="422"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《山东省海洋环境保护条例》第三十一条第（二）项</w:t>
            </w:r>
            <w:r>
              <w:rPr>
                <w:rFonts w:ascii="Times New Roman" w:hAnsi="Times New Roman" w:eastAsia="仿宋_GB2312" w:cs="Times New Roman"/>
                <w:b/>
                <w:bCs/>
                <w:kern w:val="2"/>
                <w:sz w:val="21"/>
                <w:szCs w:val="21"/>
                <w:highlight w:val="none"/>
              </w:rPr>
              <w:t xml:space="preserve"> </w:t>
            </w:r>
            <w:r>
              <w:rPr>
                <w:rFonts w:hint="eastAsia" w:ascii="Times New Roman" w:hAnsi="Times New Roman" w:eastAsia="仿宋_GB2312" w:cs="仿宋_GB2312"/>
                <w:kern w:val="2"/>
                <w:sz w:val="21"/>
                <w:szCs w:val="21"/>
                <w:highlight w:val="none"/>
              </w:rPr>
              <w:t>违反本条例规定，有下列情形之一的，由生态环境主管部门予以警告，责令停止建设、限期整治和恢复或者采取其他补救措施；情节严重的，处二万元以上二十万元以下罚款；有违法所得的，没收违法所得：</w:t>
            </w:r>
          </w:p>
          <w:p>
            <w:pPr>
              <w:pStyle w:val="12"/>
              <w:snapToGrid w:val="0"/>
              <w:spacing w:before="0" w:beforeAutospacing="0" w:after="0" w:afterAutospacing="0" w:line="288" w:lineRule="auto"/>
              <w:ind w:firstLine="420"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（二）采挖海砂、砾石或者开发海岛及周围海域资源，未采取严格的生态保护措施造成海洋生态环境破坏的。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500"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438"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违法事实</w:t>
            </w:r>
            <w:r>
              <w:rPr>
                <w:rFonts w:hint="eastAsia" w:ascii="Times New Roman" w:hAnsi="Times New Roman" w:cs="宋体"/>
                <w:b/>
                <w:bCs/>
                <w:color w:val="000000"/>
                <w:highlight w:val="none"/>
              </w:rPr>
              <w:t>★</w:t>
            </w:r>
          </w:p>
        </w:tc>
        <w:tc>
          <w:tcPr>
            <w:tcW w:w="5500" w:type="dxa"/>
            <w:vAlign w:val="center"/>
          </w:tcPr>
          <w:p>
            <w:pPr>
              <w:pStyle w:val="11"/>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未按照规定规范采取生态环境保护措施造成海洋生态环境破坏的</w:t>
            </w:r>
          </w:p>
        </w:tc>
        <w:tc>
          <w:tcPr>
            <w:tcW w:w="2438"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500" w:type="dxa"/>
            <w:vAlign w:val="center"/>
          </w:tcPr>
          <w:p>
            <w:pPr>
              <w:pStyle w:val="11"/>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未采取生态环境保护措施造成海洋生态环境破坏的</w:t>
            </w:r>
          </w:p>
        </w:tc>
        <w:tc>
          <w:tcPr>
            <w:tcW w:w="2438"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海洋资源</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开采量</w:t>
            </w:r>
          </w:p>
        </w:tc>
        <w:tc>
          <w:tcPr>
            <w:tcW w:w="5500" w:type="dxa"/>
            <w:vAlign w:val="center"/>
          </w:tcPr>
          <w:p>
            <w:pPr>
              <w:pStyle w:val="12"/>
              <w:snapToGrid w:val="0"/>
              <w:spacing w:before="0" w:beforeAutospacing="0" w:after="0" w:afterAutospacing="0"/>
              <w:ind w:firstLine="48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不足</w:t>
            </w:r>
            <w:r>
              <w:rPr>
                <w:rFonts w:ascii="Times New Roman" w:hAnsi="Times New Roman" w:eastAsia="仿宋_GB2312" w:cs="Times New Roman"/>
                <w:color w:val="000000"/>
                <w:sz w:val="21"/>
                <w:szCs w:val="21"/>
                <w:highlight w:val="none"/>
              </w:rPr>
              <w:t>1000m</w:t>
            </w:r>
            <w:r>
              <w:rPr>
                <w:rFonts w:ascii="Times New Roman" w:hAnsi="Times New Roman" w:eastAsia="仿宋_GB2312" w:cs="Times New Roman"/>
                <w:color w:val="000000"/>
                <w:sz w:val="21"/>
                <w:szCs w:val="21"/>
                <w:highlight w:val="none"/>
                <w:vertAlign w:val="superscript"/>
              </w:rPr>
              <w:t>3</w:t>
            </w:r>
            <w:r>
              <w:rPr>
                <w:rFonts w:hint="eastAsia" w:ascii="Times New Roman" w:hAnsi="Times New Roman" w:eastAsia="仿宋_GB2312" w:cs="仿宋_GB2312"/>
                <w:color w:val="000000"/>
                <w:sz w:val="21"/>
                <w:szCs w:val="21"/>
                <w:highlight w:val="none"/>
              </w:rPr>
              <w:t>的</w:t>
            </w:r>
          </w:p>
        </w:tc>
        <w:tc>
          <w:tcPr>
            <w:tcW w:w="2438" w:type="dxa"/>
            <w:vAlign w:val="center"/>
          </w:tcPr>
          <w:p>
            <w:pPr>
              <w:pStyle w:val="11"/>
              <w:snapToGrid w:val="0"/>
              <w:spacing w:line="288" w:lineRule="auto"/>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500"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1000m</w:t>
            </w:r>
            <w:r>
              <w:rPr>
                <w:rFonts w:ascii="Times New Roman" w:hAnsi="Times New Roman" w:eastAsia="仿宋_GB2312" w:cs="Times New Roman"/>
                <w:color w:val="000000"/>
                <w:sz w:val="21"/>
                <w:szCs w:val="21"/>
                <w:highlight w:val="none"/>
                <w:vertAlign w:val="superscript"/>
              </w:rPr>
              <w:t>3</w:t>
            </w:r>
            <w:r>
              <w:rPr>
                <w:rFonts w:hint="eastAsia" w:ascii="Times New Roman" w:hAnsi="Times New Roman" w:eastAsia="仿宋_GB2312" w:cs="仿宋_GB2312"/>
                <w:color w:val="000000"/>
                <w:sz w:val="21"/>
                <w:szCs w:val="21"/>
                <w:highlight w:val="none"/>
              </w:rPr>
              <w:t>以上不足</w:t>
            </w:r>
            <w:r>
              <w:rPr>
                <w:rFonts w:ascii="Times New Roman" w:hAnsi="Times New Roman" w:eastAsia="仿宋_GB2312" w:cs="Times New Roman"/>
                <w:color w:val="000000"/>
                <w:sz w:val="21"/>
                <w:szCs w:val="21"/>
                <w:highlight w:val="none"/>
              </w:rPr>
              <w:t>2000m</w:t>
            </w:r>
            <w:r>
              <w:rPr>
                <w:rFonts w:ascii="Times New Roman" w:hAnsi="Times New Roman" w:eastAsia="仿宋_GB2312" w:cs="Times New Roman"/>
                <w:color w:val="000000"/>
                <w:sz w:val="21"/>
                <w:szCs w:val="21"/>
                <w:highlight w:val="none"/>
                <w:vertAlign w:val="superscript"/>
              </w:rPr>
              <w:t>3</w:t>
            </w:r>
            <w:r>
              <w:rPr>
                <w:rFonts w:hint="eastAsia" w:ascii="Times New Roman" w:hAnsi="Times New Roman" w:eastAsia="仿宋_GB2312" w:cs="仿宋_GB2312"/>
                <w:color w:val="000000"/>
                <w:sz w:val="21"/>
                <w:szCs w:val="21"/>
                <w:highlight w:val="none"/>
              </w:rPr>
              <w:t>的</w:t>
            </w:r>
          </w:p>
        </w:tc>
        <w:tc>
          <w:tcPr>
            <w:tcW w:w="2438" w:type="dxa"/>
            <w:vAlign w:val="center"/>
          </w:tcPr>
          <w:p>
            <w:pPr>
              <w:pStyle w:val="11"/>
              <w:snapToGrid w:val="0"/>
              <w:spacing w:line="288" w:lineRule="auto"/>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500"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2000m</w:t>
            </w:r>
            <w:r>
              <w:rPr>
                <w:rFonts w:ascii="Times New Roman" w:hAnsi="Times New Roman" w:eastAsia="仿宋_GB2312" w:cs="Times New Roman"/>
                <w:color w:val="000000"/>
                <w:sz w:val="21"/>
                <w:szCs w:val="21"/>
                <w:highlight w:val="none"/>
                <w:vertAlign w:val="superscript"/>
              </w:rPr>
              <w:t>3</w:t>
            </w:r>
            <w:r>
              <w:rPr>
                <w:rFonts w:hint="eastAsia" w:ascii="Times New Roman" w:hAnsi="Times New Roman" w:eastAsia="仿宋_GB2312" w:cs="仿宋_GB2312"/>
                <w:color w:val="000000"/>
                <w:sz w:val="21"/>
                <w:szCs w:val="21"/>
                <w:highlight w:val="none"/>
              </w:rPr>
              <w:t>以上不足</w:t>
            </w:r>
            <w:r>
              <w:rPr>
                <w:rFonts w:ascii="Times New Roman" w:hAnsi="Times New Roman" w:eastAsia="仿宋_GB2312" w:cs="Times New Roman"/>
                <w:color w:val="000000"/>
                <w:sz w:val="21"/>
                <w:szCs w:val="21"/>
                <w:highlight w:val="none"/>
              </w:rPr>
              <w:t>3000m</w:t>
            </w:r>
            <w:r>
              <w:rPr>
                <w:rFonts w:ascii="Times New Roman" w:hAnsi="Times New Roman" w:eastAsia="仿宋_GB2312" w:cs="Times New Roman"/>
                <w:color w:val="000000"/>
                <w:sz w:val="21"/>
                <w:szCs w:val="21"/>
                <w:highlight w:val="none"/>
                <w:vertAlign w:val="superscript"/>
              </w:rPr>
              <w:t>3</w:t>
            </w:r>
            <w:r>
              <w:rPr>
                <w:rFonts w:hint="eastAsia" w:ascii="Times New Roman" w:hAnsi="Times New Roman" w:eastAsia="仿宋_GB2312" w:cs="仿宋_GB2312"/>
                <w:color w:val="000000"/>
                <w:sz w:val="21"/>
                <w:szCs w:val="21"/>
                <w:highlight w:val="none"/>
              </w:rPr>
              <w:t>的</w:t>
            </w:r>
          </w:p>
        </w:tc>
        <w:tc>
          <w:tcPr>
            <w:tcW w:w="2438" w:type="dxa"/>
            <w:vAlign w:val="center"/>
          </w:tcPr>
          <w:p>
            <w:pPr>
              <w:pStyle w:val="11"/>
              <w:snapToGrid w:val="0"/>
              <w:spacing w:line="288" w:lineRule="auto"/>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500" w:type="dxa"/>
            <w:vAlign w:val="center"/>
          </w:tcPr>
          <w:p>
            <w:pPr>
              <w:pStyle w:val="11"/>
              <w:snapToGrid w:val="0"/>
              <w:jc w:val="center"/>
              <w:rPr>
                <w:rFonts w:ascii="Times New Roman" w:hAnsi="Times New Roman" w:eastAsia="仿宋_GB2312" w:cs="Times New Roman"/>
                <w:b/>
                <w:bCs/>
                <w:color w:val="000000"/>
                <w:sz w:val="21"/>
                <w:szCs w:val="21"/>
                <w:highlight w:val="none"/>
              </w:rPr>
            </w:pPr>
            <w:r>
              <w:rPr>
                <w:rFonts w:ascii="Times New Roman" w:hAnsi="Times New Roman" w:eastAsia="仿宋_GB2312" w:cs="Times New Roman"/>
                <w:color w:val="000000"/>
                <w:sz w:val="21"/>
                <w:szCs w:val="21"/>
                <w:highlight w:val="none"/>
              </w:rPr>
              <w:t>3000m</w:t>
            </w:r>
            <w:r>
              <w:rPr>
                <w:rFonts w:ascii="Times New Roman" w:hAnsi="Times New Roman" w:eastAsia="仿宋_GB2312" w:cs="Times New Roman"/>
                <w:color w:val="000000"/>
                <w:sz w:val="21"/>
                <w:szCs w:val="21"/>
                <w:highlight w:val="none"/>
                <w:vertAlign w:val="superscript"/>
              </w:rPr>
              <w:t>3</w:t>
            </w:r>
            <w:r>
              <w:rPr>
                <w:rFonts w:hint="eastAsia" w:ascii="Times New Roman" w:hAnsi="Times New Roman" w:eastAsia="仿宋_GB2312" w:cs="仿宋_GB2312"/>
                <w:color w:val="000000"/>
                <w:sz w:val="21"/>
                <w:szCs w:val="21"/>
                <w:highlight w:val="none"/>
              </w:rPr>
              <w:t>以上不足</w:t>
            </w:r>
            <w:r>
              <w:rPr>
                <w:rFonts w:ascii="Times New Roman" w:hAnsi="Times New Roman" w:eastAsia="仿宋_GB2312" w:cs="Times New Roman"/>
                <w:color w:val="000000"/>
                <w:sz w:val="21"/>
                <w:szCs w:val="21"/>
                <w:highlight w:val="none"/>
              </w:rPr>
              <w:t>5000m</w:t>
            </w:r>
            <w:r>
              <w:rPr>
                <w:rFonts w:ascii="Times New Roman" w:hAnsi="Times New Roman" w:eastAsia="仿宋_GB2312" w:cs="Times New Roman"/>
                <w:color w:val="000000"/>
                <w:sz w:val="21"/>
                <w:szCs w:val="21"/>
                <w:highlight w:val="none"/>
                <w:vertAlign w:val="superscript"/>
              </w:rPr>
              <w:t>3</w:t>
            </w:r>
            <w:r>
              <w:rPr>
                <w:rFonts w:hint="eastAsia" w:ascii="Times New Roman" w:hAnsi="Times New Roman" w:eastAsia="仿宋_GB2312" w:cs="仿宋_GB2312"/>
                <w:color w:val="000000"/>
                <w:sz w:val="21"/>
                <w:szCs w:val="21"/>
                <w:highlight w:val="none"/>
              </w:rPr>
              <w:t>的</w:t>
            </w:r>
          </w:p>
        </w:tc>
        <w:tc>
          <w:tcPr>
            <w:tcW w:w="2438" w:type="dxa"/>
            <w:vAlign w:val="center"/>
          </w:tcPr>
          <w:p>
            <w:pPr>
              <w:pStyle w:val="11"/>
              <w:snapToGrid w:val="0"/>
              <w:spacing w:line="288" w:lineRule="auto"/>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500"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5000m</w:t>
            </w:r>
            <w:r>
              <w:rPr>
                <w:rFonts w:ascii="Times New Roman" w:hAnsi="Times New Roman" w:eastAsia="仿宋_GB2312" w:cs="Times New Roman"/>
                <w:color w:val="000000"/>
                <w:sz w:val="21"/>
                <w:szCs w:val="21"/>
                <w:highlight w:val="none"/>
                <w:vertAlign w:val="superscript"/>
              </w:rPr>
              <w:t>3</w:t>
            </w:r>
            <w:r>
              <w:rPr>
                <w:rFonts w:hint="eastAsia" w:ascii="Times New Roman" w:hAnsi="Times New Roman" w:eastAsia="仿宋_GB2312" w:cs="仿宋_GB2312"/>
                <w:color w:val="000000"/>
                <w:sz w:val="21"/>
                <w:szCs w:val="21"/>
                <w:highlight w:val="none"/>
              </w:rPr>
              <w:t>以上的</w:t>
            </w:r>
          </w:p>
        </w:tc>
        <w:tc>
          <w:tcPr>
            <w:tcW w:w="2438" w:type="dxa"/>
            <w:vAlign w:val="center"/>
          </w:tcPr>
          <w:p>
            <w:pPr>
              <w:pStyle w:val="11"/>
              <w:snapToGrid w:val="0"/>
              <w:spacing w:line="288" w:lineRule="auto"/>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海洋功能</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区划</w:t>
            </w:r>
          </w:p>
        </w:tc>
        <w:tc>
          <w:tcPr>
            <w:tcW w:w="5500"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工业与城镇用海区</w:t>
            </w:r>
          </w:p>
        </w:tc>
        <w:tc>
          <w:tcPr>
            <w:tcW w:w="2438"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500"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港口航运区、农渔业区</w:t>
            </w:r>
          </w:p>
        </w:tc>
        <w:tc>
          <w:tcPr>
            <w:tcW w:w="2438"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500"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旅游休闲娱乐区</w:t>
            </w:r>
          </w:p>
        </w:tc>
        <w:tc>
          <w:tcPr>
            <w:tcW w:w="2438"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500"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矿产与能源区</w:t>
            </w:r>
          </w:p>
        </w:tc>
        <w:tc>
          <w:tcPr>
            <w:tcW w:w="2438"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Merge w:val="continue"/>
            <w:vAlign w:val="center"/>
          </w:tcPr>
          <w:p>
            <w:pPr>
              <w:snapToGrid w:val="0"/>
              <w:jc w:val="center"/>
              <w:rPr>
                <w:rFonts w:ascii="Times New Roman" w:hAnsi="Times New Roman" w:cs="Times New Roman"/>
                <w:b/>
                <w:bCs/>
                <w:highlight w:val="none"/>
              </w:rPr>
            </w:pPr>
          </w:p>
        </w:tc>
        <w:tc>
          <w:tcPr>
            <w:tcW w:w="5500"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海洋保护区、特殊利用区、保留区等需要特殊保护的区域</w:t>
            </w:r>
          </w:p>
        </w:tc>
        <w:tc>
          <w:tcPr>
            <w:tcW w:w="2438"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eastAsia="仿宋_GB2312" w:cs="Times New Roman"/>
                <w:highlight w:val="none"/>
              </w:rPr>
            </w:pPr>
          </w:p>
        </w:tc>
      </w:tr>
    </w:tbl>
    <w:p>
      <w:pPr>
        <w:widowControl/>
        <w:snapToGrid w:val="0"/>
        <w:jc w:val="left"/>
        <w:outlineLvl w:val="1"/>
        <w:rPr>
          <w:rFonts w:ascii="Times New Roman" w:hAnsi="Times New Roman" w:eastAsia="仿宋_GB2312" w:cs="Times New Roman"/>
          <w:b/>
          <w:bCs/>
          <w:sz w:val="10"/>
          <w:szCs w:val="10"/>
          <w:highlight w:val="none"/>
        </w:rPr>
      </w:pPr>
      <w:r>
        <w:rPr>
          <w:rFonts w:ascii="Times New Roman" w:hAnsi="Times New Roman" w:eastAsia="仿宋_GB2312" w:cs="Times New Roman"/>
          <w:b/>
          <w:bCs/>
          <w:sz w:val="32"/>
          <w:szCs w:val="32"/>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（六）海洋污染防治类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tcPr>
          <w:p>
            <w:pPr>
              <w:snapToGrid w:val="0"/>
              <w:spacing w:before="62" w:beforeLines="20"/>
              <w:ind w:firstLine="420"/>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在半封闭海湾、河口兴建影响潮汐通道、降低水体交换能力或者增加通道淤积速度的工程项目的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2"/>
              <w:spacing w:before="62" w:beforeLines="20" w:beforeAutospacing="0" w:after="0" w:afterAutospacing="0" w:line="288" w:lineRule="auto"/>
              <w:ind w:firstLine="42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《山东省海洋环境保护条例》第十四条第二款</w:t>
            </w:r>
            <w:r>
              <w:rPr>
                <w:rFonts w:ascii="Times New Roman" w:hAnsi="Times New Roman" w:eastAsia="仿宋_GB2312" w:cs="Times New Roman"/>
                <w:b/>
                <w:bCs/>
                <w:kern w:val="2"/>
                <w:sz w:val="21"/>
                <w:szCs w:val="21"/>
                <w:highlight w:val="none"/>
              </w:rPr>
              <w:t xml:space="preserve"> </w:t>
            </w:r>
            <w:r>
              <w:rPr>
                <w:rFonts w:hint="eastAsia" w:ascii="Times New Roman" w:hAnsi="Times New Roman" w:eastAsia="仿宋_GB2312" w:cs="仿宋_GB2312"/>
                <w:kern w:val="2"/>
                <w:sz w:val="21"/>
                <w:szCs w:val="21"/>
                <w:highlight w:val="none"/>
              </w:rPr>
              <w:t>任何单位和个人不得在半封闭海湾、河口兴建影响潮汐通道、行洪安全、降低水体交换能力以及增加通道淤积速度的工程建设项目。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2"/>
              <w:snapToGrid w:val="0"/>
              <w:spacing w:before="62" w:beforeLines="20" w:beforeAutospacing="0" w:after="0" w:afterAutospacing="0" w:line="288" w:lineRule="auto"/>
              <w:ind w:firstLine="422"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《山东省海洋环境保护条例》第三十一条第（三）项</w:t>
            </w:r>
            <w:r>
              <w:rPr>
                <w:rFonts w:ascii="Times New Roman" w:hAnsi="Times New Roman" w:eastAsia="仿宋_GB2312" w:cs="Times New Roman"/>
                <w:b/>
                <w:bCs/>
                <w:kern w:val="2"/>
                <w:sz w:val="21"/>
                <w:szCs w:val="21"/>
                <w:highlight w:val="none"/>
              </w:rPr>
              <w:t xml:space="preserve"> </w:t>
            </w:r>
            <w:r>
              <w:rPr>
                <w:rFonts w:hint="eastAsia" w:ascii="Times New Roman" w:hAnsi="Times New Roman" w:eastAsia="仿宋_GB2312" w:cs="仿宋_GB2312"/>
                <w:kern w:val="2"/>
                <w:sz w:val="21"/>
                <w:szCs w:val="21"/>
                <w:highlight w:val="none"/>
              </w:rPr>
              <w:t>违反本条例规定，有下列情形之一的，由生态环境主管部门予以警告，责令停止建设、限期整治和恢复或者采取其他补救措施；情节严重的，处二万元以上二十万元以下罚款；有违法所得的，没收违法所得：</w:t>
            </w:r>
          </w:p>
          <w:p>
            <w:pPr>
              <w:pStyle w:val="12"/>
              <w:snapToGrid w:val="0"/>
              <w:spacing w:before="0" w:beforeAutospacing="0" w:after="0" w:afterAutospacing="0" w:line="288" w:lineRule="auto"/>
              <w:ind w:firstLine="420"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（三）在半封闭海湾、河口兴建影响潮汐通道、降低水体交换能力或者增加通道淤积速度的工程项目的。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color w:val="000000"/>
                <w:highlight w:val="none"/>
              </w:rPr>
              <w:t>违法事实★</w:t>
            </w: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工程项目正在建设中</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工程项目已建成，尚未投入使用</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工程项目已正常使用</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eastAsia="仿宋_GB2312" w:cs="Times New Roman"/>
                <w:highlight w:val="none"/>
              </w:rPr>
            </w:pPr>
          </w:p>
        </w:tc>
      </w:tr>
    </w:tbl>
    <w:p>
      <w:pPr>
        <w:widowControl/>
        <w:snapToGrid w:val="0"/>
        <w:jc w:val="left"/>
        <w:outlineLvl w:val="1"/>
        <w:rPr>
          <w:rFonts w:ascii="Times New Roman" w:hAnsi="Times New Roman" w:eastAsia="仿宋_GB2312" w:cs="Times New Roman"/>
          <w:b/>
          <w:bCs/>
          <w:sz w:val="10"/>
          <w:szCs w:val="10"/>
          <w:highlight w:val="none"/>
        </w:rPr>
      </w:pPr>
      <w:r>
        <w:rPr>
          <w:rFonts w:ascii="Times New Roman" w:hAnsi="Times New Roman" w:eastAsia="仿宋_GB2312" w:cs="Times New Roman"/>
          <w:b/>
          <w:bCs/>
          <w:sz w:val="32"/>
          <w:szCs w:val="32"/>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24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9209" w:type="dxa"/>
            <w:gridSpan w:val="3"/>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（六）海洋污染防治类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vAlign w:val="center"/>
          </w:tcPr>
          <w:p>
            <w:pPr>
              <w:snapToGrid w:val="0"/>
              <w:ind w:firstLine="42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使用未经无害化处理的生活垃圾、医疗垃圾或者其他有毒有害物质填海的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2"/>
              <w:spacing w:line="288" w:lineRule="auto"/>
              <w:ind w:firstLine="42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《山东省海洋环境保护条例》第二十九条</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经依法批准从事填海活动的单位和个人，应当采取防止海洋污染的有效措施，不得使用未经无害化处理的生活垃圾、医疗垃圾或者其他有毒有害物质填海。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2"/>
              <w:snapToGrid w:val="0"/>
              <w:spacing w:before="62" w:beforeLines="20" w:beforeAutospacing="0" w:after="0" w:afterAutospacing="0" w:line="288" w:lineRule="auto"/>
              <w:ind w:firstLine="422"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《山东省海洋环境保护条例》第三十一条第（四）项</w:t>
            </w:r>
            <w:r>
              <w:rPr>
                <w:rFonts w:ascii="Times New Roman" w:hAnsi="Times New Roman" w:eastAsia="仿宋_GB2312" w:cs="Times New Roman"/>
                <w:b/>
                <w:bCs/>
                <w:kern w:val="2"/>
                <w:sz w:val="21"/>
                <w:szCs w:val="21"/>
                <w:highlight w:val="none"/>
              </w:rPr>
              <w:t xml:space="preserve"> </w:t>
            </w:r>
            <w:r>
              <w:rPr>
                <w:rFonts w:hint="eastAsia" w:ascii="Times New Roman" w:hAnsi="Times New Roman" w:eastAsia="仿宋_GB2312" w:cs="仿宋_GB2312"/>
                <w:kern w:val="2"/>
                <w:sz w:val="21"/>
                <w:szCs w:val="21"/>
                <w:highlight w:val="none"/>
              </w:rPr>
              <w:t>违反本条例规定，有下列情形之一的，由生态环境主管部门予以警告，责令停止建设、限期整治和恢复或者采取其他补救措施；情节严重的，处二万元以上二十万元以下罚款；有违法所得的，没收违法所得：</w:t>
            </w:r>
          </w:p>
          <w:p>
            <w:pPr>
              <w:pStyle w:val="12"/>
              <w:snapToGrid w:val="0"/>
              <w:spacing w:before="0" w:beforeAutospacing="0" w:after="0" w:afterAutospacing="0" w:line="288" w:lineRule="auto"/>
              <w:ind w:firstLine="420"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kern w:val="2"/>
                <w:sz w:val="21"/>
                <w:szCs w:val="21"/>
                <w:highlight w:val="none"/>
              </w:rPr>
              <w:t>（四）使用未经无害化处理的生活垃圾、医疗垃圾或者其他有毒有害物质填海的。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4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污染物数量</w:t>
            </w:r>
            <w:r>
              <w:rPr>
                <w:rFonts w:hint="eastAsia" w:ascii="Times New Roman" w:hAnsi="Times New Roman" w:cs="宋体"/>
                <w:b/>
                <w:bCs/>
                <w:color w:val="000000"/>
                <w:highlight w:val="none"/>
              </w:rPr>
              <w:t>★</w:t>
            </w:r>
          </w:p>
        </w:tc>
        <w:tc>
          <w:tcPr>
            <w:tcW w:w="5245"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生活垃圾</w:t>
            </w:r>
            <w:r>
              <w:rPr>
                <w:rFonts w:ascii="Times New Roman" w:hAnsi="Times New Roman" w:eastAsia="仿宋_GB2312" w:cs="Times New Roman"/>
                <w:sz w:val="21"/>
                <w:szCs w:val="21"/>
                <w:highlight w:val="none"/>
              </w:rPr>
              <w:t>2</w:t>
            </w:r>
            <w:r>
              <w:rPr>
                <w:rFonts w:hint="eastAsia" w:ascii="Times New Roman" w:hAnsi="Times New Roman" w:eastAsia="仿宋_GB2312" w:cs="仿宋_GB2312"/>
                <w:sz w:val="21"/>
                <w:szCs w:val="21"/>
                <w:highlight w:val="none"/>
              </w:rPr>
              <w:t>吨以下</w:t>
            </w:r>
            <w:r>
              <w:rPr>
                <w:rFonts w:hint="eastAsia" w:ascii="Times New Roman" w:hAnsi="Times New Roman" w:eastAsia="仿宋_GB2312" w:cs="仿宋_GB2312"/>
                <w:color w:val="000000"/>
                <w:sz w:val="21"/>
                <w:szCs w:val="21"/>
                <w:highlight w:val="none"/>
              </w:rPr>
              <w:t>或者医疗垃圾、其他有毒有害物质</w:t>
            </w:r>
            <w:r>
              <w:rPr>
                <w:rFonts w:ascii="Times New Roman" w:hAnsi="Times New Roman" w:eastAsia="仿宋_GB2312" w:cs="Times New Roman"/>
                <w:color w:val="000000"/>
                <w:sz w:val="21"/>
                <w:szCs w:val="21"/>
                <w:highlight w:val="none"/>
              </w:rPr>
              <w:t>0.3</w:t>
            </w:r>
            <w:r>
              <w:rPr>
                <w:rFonts w:hint="eastAsia" w:ascii="Times New Roman" w:hAnsi="Times New Roman" w:eastAsia="仿宋_GB2312" w:cs="仿宋_GB2312"/>
                <w:color w:val="000000"/>
                <w:sz w:val="21"/>
                <w:szCs w:val="21"/>
                <w:highlight w:val="none"/>
              </w:rPr>
              <w:t>吨以下</w:t>
            </w:r>
          </w:p>
        </w:tc>
        <w:tc>
          <w:tcPr>
            <w:tcW w:w="2693" w:type="dxa"/>
            <w:vAlign w:val="center"/>
          </w:tcPr>
          <w:p>
            <w:pPr>
              <w:pStyle w:val="11"/>
              <w:snapToGrid w:val="0"/>
              <w:jc w:val="center"/>
              <w:rPr>
                <w:rFonts w:ascii="Times New Roman" w:hAnsi="Times New Roman" w:cs="Times New Roman"/>
                <w:color w:val="000000"/>
                <w:sz w:val="21"/>
                <w:szCs w:val="21"/>
                <w:highlight w:val="none"/>
              </w:rPr>
            </w:pPr>
            <w:r>
              <w:rPr>
                <w:rFonts w:ascii="Times New Roman" w:hAnsi="Times New Roman" w:cs="Times New Roman"/>
                <w:color w:val="000000"/>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生活垃圾</w:t>
            </w:r>
            <w:r>
              <w:rPr>
                <w:rFonts w:ascii="Times New Roman" w:hAnsi="Times New Roman" w:eastAsia="仿宋_GB2312" w:cs="Times New Roman"/>
                <w:sz w:val="21"/>
                <w:szCs w:val="21"/>
                <w:highlight w:val="none"/>
              </w:rPr>
              <w:t>2</w:t>
            </w:r>
            <w:r>
              <w:rPr>
                <w:rFonts w:hint="eastAsia" w:ascii="Times New Roman" w:hAnsi="Times New Roman" w:eastAsia="仿宋_GB2312" w:cs="仿宋_GB2312"/>
                <w:sz w:val="21"/>
                <w:szCs w:val="21"/>
                <w:highlight w:val="none"/>
              </w:rPr>
              <w:t>吨以上</w:t>
            </w:r>
            <w:r>
              <w:rPr>
                <w:rFonts w:ascii="Times New Roman" w:hAnsi="Times New Roman" w:eastAsia="仿宋_GB2312" w:cs="Times New Roman"/>
                <w:sz w:val="21"/>
                <w:szCs w:val="21"/>
                <w:highlight w:val="none"/>
              </w:rPr>
              <w:t>5</w:t>
            </w:r>
            <w:r>
              <w:rPr>
                <w:rFonts w:hint="eastAsia" w:ascii="Times New Roman" w:hAnsi="Times New Roman" w:eastAsia="仿宋_GB2312" w:cs="仿宋_GB2312"/>
                <w:sz w:val="21"/>
                <w:szCs w:val="21"/>
                <w:highlight w:val="none"/>
              </w:rPr>
              <w:t>吨以下</w:t>
            </w:r>
            <w:r>
              <w:rPr>
                <w:rFonts w:hint="eastAsia" w:ascii="Times New Roman" w:hAnsi="Times New Roman" w:eastAsia="仿宋_GB2312" w:cs="仿宋_GB2312"/>
                <w:color w:val="000000"/>
                <w:sz w:val="21"/>
                <w:szCs w:val="21"/>
                <w:highlight w:val="none"/>
              </w:rPr>
              <w:t>或者医疗垃圾、其他有毒有害物质</w:t>
            </w:r>
            <w:r>
              <w:rPr>
                <w:rFonts w:ascii="Times New Roman" w:hAnsi="Times New Roman" w:eastAsia="仿宋_GB2312" w:cs="Times New Roman"/>
                <w:color w:val="000000"/>
                <w:sz w:val="21"/>
                <w:szCs w:val="21"/>
                <w:highlight w:val="none"/>
              </w:rPr>
              <w:t>0.3</w:t>
            </w:r>
            <w:r>
              <w:rPr>
                <w:rFonts w:hint="eastAsia" w:ascii="Times New Roman" w:hAnsi="Times New Roman" w:eastAsia="仿宋_GB2312" w:cs="仿宋_GB2312"/>
                <w:color w:val="000000"/>
                <w:sz w:val="21"/>
                <w:szCs w:val="21"/>
                <w:highlight w:val="none"/>
              </w:rPr>
              <w:t>吨以上不足</w:t>
            </w:r>
            <w:r>
              <w:rPr>
                <w:rFonts w:ascii="Times New Roman" w:hAnsi="Times New Roman" w:eastAsia="仿宋_GB2312" w:cs="Times New Roman"/>
                <w:color w:val="000000"/>
                <w:sz w:val="21"/>
                <w:szCs w:val="21"/>
                <w:highlight w:val="none"/>
              </w:rPr>
              <w:t>0.5</w:t>
            </w:r>
            <w:r>
              <w:rPr>
                <w:rFonts w:hint="eastAsia" w:ascii="Times New Roman" w:hAnsi="Times New Roman" w:eastAsia="仿宋_GB2312" w:cs="仿宋_GB2312"/>
                <w:color w:val="000000"/>
                <w:sz w:val="21"/>
                <w:szCs w:val="21"/>
                <w:highlight w:val="none"/>
              </w:rPr>
              <w:t>吨</w:t>
            </w:r>
          </w:p>
        </w:tc>
        <w:tc>
          <w:tcPr>
            <w:tcW w:w="2693" w:type="dxa"/>
            <w:vAlign w:val="center"/>
          </w:tcPr>
          <w:p>
            <w:pPr>
              <w:pStyle w:val="11"/>
              <w:snapToGrid w:val="0"/>
              <w:jc w:val="center"/>
              <w:rPr>
                <w:rFonts w:ascii="Times New Roman" w:hAnsi="Times New Roman" w:cs="Times New Roman"/>
                <w:color w:val="000000"/>
                <w:sz w:val="21"/>
                <w:szCs w:val="21"/>
                <w:highlight w:val="none"/>
              </w:rPr>
            </w:pPr>
            <w:r>
              <w:rPr>
                <w:rFonts w:ascii="Times New Roman" w:hAnsi="Times New Roman" w:cs="Times New Roman"/>
                <w:color w:val="000000"/>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生活垃圾</w:t>
            </w:r>
            <w:r>
              <w:rPr>
                <w:rFonts w:ascii="Times New Roman" w:hAnsi="Times New Roman" w:eastAsia="仿宋_GB2312" w:cs="Times New Roman"/>
                <w:sz w:val="21"/>
                <w:szCs w:val="21"/>
                <w:highlight w:val="none"/>
              </w:rPr>
              <w:t>5</w:t>
            </w:r>
            <w:r>
              <w:rPr>
                <w:rFonts w:hint="eastAsia" w:ascii="Times New Roman" w:hAnsi="Times New Roman" w:eastAsia="仿宋_GB2312" w:cs="仿宋_GB2312"/>
                <w:sz w:val="21"/>
                <w:szCs w:val="21"/>
                <w:highlight w:val="none"/>
              </w:rPr>
              <w:t>吨以上</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吨以下</w:t>
            </w:r>
            <w:r>
              <w:rPr>
                <w:rFonts w:hint="eastAsia" w:ascii="Times New Roman" w:hAnsi="Times New Roman" w:eastAsia="仿宋_GB2312" w:cs="仿宋_GB2312"/>
                <w:color w:val="000000"/>
                <w:sz w:val="21"/>
                <w:szCs w:val="21"/>
                <w:highlight w:val="none"/>
              </w:rPr>
              <w:t>或者医疗垃圾、其他有毒有害物质</w:t>
            </w:r>
            <w:r>
              <w:rPr>
                <w:rFonts w:ascii="Times New Roman" w:hAnsi="Times New Roman" w:eastAsia="仿宋_GB2312" w:cs="Times New Roman"/>
                <w:color w:val="000000"/>
                <w:sz w:val="21"/>
                <w:szCs w:val="21"/>
                <w:highlight w:val="none"/>
              </w:rPr>
              <w:t>0.5</w:t>
            </w:r>
            <w:r>
              <w:rPr>
                <w:rFonts w:hint="eastAsia" w:ascii="Times New Roman" w:hAnsi="Times New Roman" w:eastAsia="仿宋_GB2312" w:cs="仿宋_GB2312"/>
                <w:color w:val="000000"/>
                <w:sz w:val="21"/>
                <w:szCs w:val="21"/>
                <w:highlight w:val="none"/>
              </w:rPr>
              <w:t>吨以上不足</w:t>
            </w: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吨</w:t>
            </w:r>
          </w:p>
        </w:tc>
        <w:tc>
          <w:tcPr>
            <w:tcW w:w="2693" w:type="dxa"/>
            <w:vAlign w:val="center"/>
          </w:tcPr>
          <w:p>
            <w:pPr>
              <w:pStyle w:val="11"/>
              <w:snapToGrid w:val="0"/>
              <w:jc w:val="center"/>
              <w:rPr>
                <w:rFonts w:ascii="Times New Roman" w:hAnsi="Times New Roman" w:cs="Times New Roman"/>
                <w:color w:val="000000"/>
                <w:sz w:val="21"/>
                <w:szCs w:val="21"/>
                <w:highlight w:val="none"/>
              </w:rPr>
            </w:pPr>
            <w:r>
              <w:rPr>
                <w:rFonts w:ascii="Times New Roman" w:hAnsi="Times New Roman" w:cs="Times New Roman"/>
                <w:color w:val="000000"/>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生活垃圾</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吨以上</w:t>
            </w:r>
            <w:r>
              <w:rPr>
                <w:rFonts w:ascii="Times New Roman" w:hAnsi="Times New Roman" w:eastAsia="仿宋_GB2312" w:cs="Times New Roman"/>
                <w:sz w:val="21"/>
                <w:szCs w:val="21"/>
                <w:highlight w:val="none"/>
              </w:rPr>
              <w:t>20</w:t>
            </w:r>
            <w:r>
              <w:rPr>
                <w:rFonts w:hint="eastAsia" w:ascii="Times New Roman" w:hAnsi="Times New Roman" w:eastAsia="仿宋_GB2312" w:cs="仿宋_GB2312"/>
                <w:sz w:val="21"/>
                <w:szCs w:val="21"/>
                <w:highlight w:val="none"/>
              </w:rPr>
              <w:t>吨以下</w:t>
            </w:r>
            <w:r>
              <w:rPr>
                <w:rFonts w:hint="eastAsia" w:ascii="Times New Roman" w:hAnsi="Times New Roman" w:eastAsia="仿宋_GB2312" w:cs="仿宋_GB2312"/>
                <w:color w:val="000000"/>
                <w:sz w:val="21"/>
                <w:szCs w:val="21"/>
                <w:highlight w:val="none"/>
              </w:rPr>
              <w:t>或者医疗垃圾、其他有毒有害物质</w:t>
            </w: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吨以上不足</w:t>
            </w:r>
            <w:r>
              <w:rPr>
                <w:rFonts w:ascii="Times New Roman" w:hAnsi="Times New Roman" w:eastAsia="仿宋_GB2312" w:cs="Times New Roman"/>
                <w:color w:val="000000"/>
                <w:sz w:val="21"/>
                <w:szCs w:val="21"/>
                <w:highlight w:val="none"/>
              </w:rPr>
              <w:t>2</w:t>
            </w:r>
            <w:r>
              <w:rPr>
                <w:rFonts w:hint="eastAsia" w:ascii="Times New Roman" w:hAnsi="Times New Roman" w:eastAsia="仿宋_GB2312" w:cs="仿宋_GB2312"/>
                <w:color w:val="000000"/>
                <w:sz w:val="21"/>
                <w:szCs w:val="21"/>
                <w:highlight w:val="none"/>
              </w:rPr>
              <w:t>吨</w:t>
            </w:r>
          </w:p>
        </w:tc>
        <w:tc>
          <w:tcPr>
            <w:tcW w:w="2693" w:type="dxa"/>
            <w:vAlign w:val="center"/>
          </w:tcPr>
          <w:p>
            <w:pPr>
              <w:pStyle w:val="11"/>
              <w:snapToGrid w:val="0"/>
              <w:jc w:val="center"/>
              <w:rPr>
                <w:rFonts w:ascii="Times New Roman" w:hAnsi="Times New Roman" w:cs="Times New Roman"/>
                <w:color w:val="000000"/>
                <w:sz w:val="21"/>
                <w:szCs w:val="21"/>
                <w:highlight w:val="none"/>
              </w:rPr>
            </w:pPr>
            <w:r>
              <w:rPr>
                <w:rFonts w:ascii="Times New Roman" w:hAnsi="Times New Roman" w:cs="Times New Roman"/>
                <w:color w:val="000000"/>
                <w:sz w:val="21"/>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生活垃圾</w:t>
            </w:r>
            <w:r>
              <w:rPr>
                <w:rFonts w:ascii="Times New Roman" w:hAnsi="Times New Roman" w:eastAsia="仿宋_GB2312" w:cs="Times New Roman"/>
                <w:sz w:val="21"/>
                <w:szCs w:val="21"/>
                <w:highlight w:val="none"/>
              </w:rPr>
              <w:t>20</w:t>
            </w:r>
            <w:r>
              <w:rPr>
                <w:rFonts w:hint="eastAsia" w:ascii="Times New Roman" w:hAnsi="Times New Roman" w:eastAsia="仿宋_GB2312" w:cs="仿宋_GB2312"/>
                <w:sz w:val="21"/>
                <w:szCs w:val="21"/>
                <w:highlight w:val="none"/>
              </w:rPr>
              <w:t>吨以上</w:t>
            </w:r>
            <w:r>
              <w:rPr>
                <w:rFonts w:hint="eastAsia" w:ascii="Times New Roman" w:hAnsi="Times New Roman" w:eastAsia="仿宋_GB2312" w:cs="仿宋_GB2312"/>
                <w:color w:val="000000"/>
                <w:sz w:val="21"/>
                <w:szCs w:val="21"/>
                <w:highlight w:val="none"/>
              </w:rPr>
              <w:t>或者医疗垃圾、其他有毒有害物质</w:t>
            </w:r>
            <w:r>
              <w:rPr>
                <w:rFonts w:ascii="Times New Roman" w:hAnsi="Times New Roman" w:eastAsia="仿宋_GB2312" w:cs="Times New Roman"/>
                <w:color w:val="000000"/>
                <w:sz w:val="21"/>
                <w:szCs w:val="21"/>
                <w:highlight w:val="none"/>
              </w:rPr>
              <w:t>2</w:t>
            </w:r>
            <w:r>
              <w:rPr>
                <w:rFonts w:hint="eastAsia" w:ascii="Times New Roman" w:hAnsi="Times New Roman" w:eastAsia="仿宋_GB2312" w:cs="仿宋_GB2312"/>
                <w:color w:val="000000"/>
                <w:sz w:val="21"/>
                <w:szCs w:val="21"/>
                <w:highlight w:val="none"/>
              </w:rPr>
              <w:t>吨以上</w:t>
            </w:r>
          </w:p>
        </w:tc>
        <w:tc>
          <w:tcPr>
            <w:tcW w:w="2693" w:type="dxa"/>
            <w:vAlign w:val="center"/>
          </w:tcPr>
          <w:p>
            <w:pPr>
              <w:pStyle w:val="11"/>
              <w:snapToGrid w:val="0"/>
              <w:jc w:val="center"/>
              <w:rPr>
                <w:rFonts w:ascii="Times New Roman" w:hAnsi="Times New Roman" w:cs="Times New Roman"/>
                <w:color w:val="000000"/>
                <w:sz w:val="21"/>
                <w:szCs w:val="21"/>
                <w:highlight w:val="none"/>
              </w:rPr>
            </w:pPr>
            <w:r>
              <w:rPr>
                <w:rFonts w:ascii="Times New Roman" w:hAnsi="Times New Roman" w:cs="Times New Roman"/>
                <w:color w:val="000000"/>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填海面积</w:t>
            </w: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100m</w:t>
            </w:r>
            <w:r>
              <w:rPr>
                <w:rFonts w:ascii="Times New Roman" w:hAnsi="Times New Roman" w:eastAsia="仿宋_GB2312" w:cs="Times New Roman"/>
                <w:sz w:val="21"/>
                <w:szCs w:val="21"/>
                <w:highlight w:val="none"/>
                <w:vertAlign w:val="superscript"/>
              </w:rPr>
              <w:t>2</w:t>
            </w:r>
            <w:r>
              <w:rPr>
                <w:rFonts w:hint="eastAsia" w:ascii="Times New Roman" w:hAnsi="Times New Roman" w:eastAsia="仿宋_GB2312" w:cs="仿宋_GB2312"/>
                <w:sz w:val="21"/>
                <w:szCs w:val="21"/>
                <w:highlight w:val="none"/>
              </w:rPr>
              <w:t>以下</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100m</w:t>
            </w:r>
            <w:r>
              <w:rPr>
                <w:rFonts w:ascii="Times New Roman" w:hAnsi="Times New Roman" w:eastAsia="仿宋_GB2312" w:cs="Times New Roman"/>
                <w:sz w:val="21"/>
                <w:szCs w:val="21"/>
                <w:highlight w:val="none"/>
                <w:vertAlign w:val="superscript"/>
              </w:rPr>
              <w:t>2</w:t>
            </w:r>
            <w:r>
              <w:rPr>
                <w:rFonts w:hint="eastAsia" w:ascii="Times New Roman" w:hAnsi="Times New Roman" w:eastAsia="仿宋_GB2312" w:cs="仿宋_GB2312"/>
                <w:sz w:val="21"/>
                <w:szCs w:val="21"/>
                <w:highlight w:val="none"/>
              </w:rPr>
              <w:t>以上</w:t>
            </w:r>
            <w:r>
              <w:rPr>
                <w:rFonts w:ascii="Times New Roman" w:hAnsi="Times New Roman" w:eastAsia="仿宋_GB2312" w:cs="Times New Roman"/>
                <w:sz w:val="21"/>
                <w:szCs w:val="21"/>
                <w:highlight w:val="none"/>
              </w:rPr>
              <w:t>200m</w:t>
            </w:r>
            <w:r>
              <w:rPr>
                <w:rFonts w:ascii="Times New Roman" w:hAnsi="Times New Roman" w:eastAsia="仿宋_GB2312" w:cs="Times New Roman"/>
                <w:sz w:val="21"/>
                <w:szCs w:val="21"/>
                <w:highlight w:val="none"/>
                <w:vertAlign w:val="superscript"/>
              </w:rPr>
              <w:t>2</w:t>
            </w:r>
            <w:r>
              <w:rPr>
                <w:rFonts w:hint="eastAsia" w:ascii="Times New Roman" w:hAnsi="Times New Roman" w:eastAsia="仿宋_GB2312" w:cs="仿宋_GB2312"/>
                <w:sz w:val="21"/>
                <w:szCs w:val="21"/>
                <w:highlight w:val="none"/>
              </w:rPr>
              <w:t>以下</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200m</w:t>
            </w:r>
            <w:r>
              <w:rPr>
                <w:rFonts w:ascii="Times New Roman" w:hAnsi="Times New Roman" w:eastAsia="仿宋_GB2312" w:cs="Times New Roman"/>
                <w:highlight w:val="none"/>
                <w:vertAlign w:val="superscript"/>
              </w:rPr>
              <w:t>2</w:t>
            </w:r>
            <w:r>
              <w:rPr>
                <w:rFonts w:hint="eastAsia" w:ascii="Times New Roman" w:hAnsi="Times New Roman" w:eastAsia="仿宋_GB2312" w:cs="仿宋_GB2312"/>
                <w:highlight w:val="none"/>
              </w:rPr>
              <w:t>以上</w:t>
            </w:r>
            <w:r>
              <w:rPr>
                <w:rFonts w:ascii="Times New Roman" w:hAnsi="Times New Roman" w:eastAsia="仿宋_GB2312" w:cs="Times New Roman"/>
                <w:highlight w:val="none"/>
              </w:rPr>
              <w:t>300m</w:t>
            </w:r>
            <w:r>
              <w:rPr>
                <w:rFonts w:ascii="Times New Roman" w:hAnsi="Times New Roman" w:eastAsia="仿宋_GB2312" w:cs="Times New Roman"/>
                <w:highlight w:val="none"/>
                <w:vertAlign w:val="superscript"/>
              </w:rPr>
              <w:t>2</w:t>
            </w:r>
            <w:r>
              <w:rPr>
                <w:rFonts w:hint="eastAsia" w:ascii="Times New Roman" w:hAnsi="Times New Roman" w:eastAsia="仿宋_GB2312" w:cs="仿宋_GB2312"/>
                <w:highlight w:val="none"/>
              </w:rPr>
              <w:t>以下</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300m</w:t>
            </w:r>
            <w:r>
              <w:rPr>
                <w:rFonts w:ascii="Times New Roman" w:hAnsi="Times New Roman" w:eastAsia="仿宋_GB2312" w:cs="Times New Roman"/>
                <w:sz w:val="21"/>
                <w:szCs w:val="21"/>
                <w:highlight w:val="none"/>
                <w:vertAlign w:val="superscript"/>
              </w:rPr>
              <w:t>2</w:t>
            </w:r>
            <w:r>
              <w:rPr>
                <w:rFonts w:hint="eastAsia" w:ascii="Times New Roman" w:hAnsi="Times New Roman" w:eastAsia="仿宋_GB2312" w:cs="仿宋_GB2312"/>
                <w:sz w:val="21"/>
                <w:szCs w:val="21"/>
                <w:highlight w:val="none"/>
              </w:rPr>
              <w:t>以上</w:t>
            </w:r>
            <w:r>
              <w:rPr>
                <w:rFonts w:ascii="Times New Roman" w:hAnsi="Times New Roman" w:eastAsia="仿宋_GB2312" w:cs="Times New Roman"/>
                <w:sz w:val="21"/>
                <w:szCs w:val="21"/>
                <w:highlight w:val="none"/>
              </w:rPr>
              <w:t>400m</w:t>
            </w:r>
            <w:r>
              <w:rPr>
                <w:rFonts w:ascii="Times New Roman" w:hAnsi="Times New Roman" w:eastAsia="仿宋_GB2312" w:cs="Times New Roman"/>
                <w:sz w:val="21"/>
                <w:szCs w:val="21"/>
                <w:highlight w:val="none"/>
                <w:vertAlign w:val="superscript"/>
              </w:rPr>
              <w:t>2</w:t>
            </w:r>
            <w:r>
              <w:rPr>
                <w:rFonts w:hint="eastAsia" w:ascii="Times New Roman" w:hAnsi="Times New Roman" w:eastAsia="仿宋_GB2312" w:cs="仿宋_GB2312"/>
                <w:sz w:val="21"/>
                <w:szCs w:val="21"/>
                <w:highlight w:val="none"/>
              </w:rPr>
              <w:t>以下</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245" w:type="dxa"/>
            <w:vAlign w:val="center"/>
          </w:tcPr>
          <w:p>
            <w:pPr>
              <w:pStyle w:val="11"/>
              <w:snapToGrid w:val="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400m</w:t>
            </w:r>
            <w:r>
              <w:rPr>
                <w:rFonts w:ascii="Times New Roman" w:hAnsi="Times New Roman" w:eastAsia="仿宋_GB2312" w:cs="Times New Roman"/>
                <w:sz w:val="21"/>
                <w:szCs w:val="21"/>
                <w:highlight w:val="none"/>
                <w:vertAlign w:val="superscript"/>
              </w:rPr>
              <w:t>2</w:t>
            </w:r>
            <w:r>
              <w:rPr>
                <w:rFonts w:hint="eastAsia" w:ascii="Times New Roman" w:hAnsi="Times New Roman" w:eastAsia="仿宋_GB2312" w:cs="仿宋_GB2312"/>
                <w:sz w:val="21"/>
                <w:szCs w:val="21"/>
                <w:highlight w:val="none"/>
              </w:rPr>
              <w:t>以上</w:t>
            </w:r>
          </w:p>
        </w:tc>
        <w:tc>
          <w:tcPr>
            <w:tcW w:w="2693"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海洋功能</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区划</w:t>
            </w: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工业与城镇用海区</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港口航运区、农渔业区</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旅游休闲娱乐区</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矿产与能源区</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color w:val="000000"/>
                <w:highlight w:val="none"/>
              </w:rPr>
            </w:pPr>
          </w:p>
        </w:tc>
        <w:tc>
          <w:tcPr>
            <w:tcW w:w="5245"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海洋保护区、特殊利用区、保留区等需要特殊保护的区域</w:t>
            </w:r>
          </w:p>
        </w:tc>
        <w:tc>
          <w:tcPr>
            <w:tcW w:w="269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eastAsia="仿宋_GB2312" w:cs="Times New Roman"/>
                <w:highlight w:val="none"/>
              </w:rPr>
            </w:pPr>
          </w:p>
        </w:tc>
      </w:tr>
    </w:tbl>
    <w:p>
      <w:pPr>
        <w:widowControl/>
        <w:snapToGrid w:val="0"/>
        <w:jc w:val="left"/>
        <w:outlineLvl w:val="1"/>
        <w:rPr>
          <w:rFonts w:ascii="Times New Roman" w:hAnsi="Times New Roman" w:eastAsia="仿宋_GB2312" w:cs="Times New Roman"/>
          <w:b/>
          <w:bCs/>
          <w:sz w:val="10"/>
          <w:szCs w:val="10"/>
          <w:highlight w:val="none"/>
        </w:rPr>
      </w:pPr>
      <w:r>
        <w:rPr>
          <w:rFonts w:ascii="Times New Roman" w:hAnsi="Times New Roman" w:eastAsia="仿宋_GB2312" w:cs="Times New Roman"/>
          <w:b/>
          <w:bCs/>
          <w:sz w:val="32"/>
          <w:szCs w:val="32"/>
          <w:highlight w:val="none"/>
        </w:rPr>
        <w:br w:type="page"/>
      </w:r>
    </w:p>
    <w:tbl>
      <w:tblPr>
        <w:tblStyle w:val="14"/>
        <w:tblW w:w="92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641"/>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9"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（六）海洋污染防治类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3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38" w:type="dxa"/>
            <w:gridSpan w:val="2"/>
          </w:tcPr>
          <w:p>
            <w:pPr>
              <w:snapToGrid w:val="0"/>
              <w:spacing w:before="62" w:beforeLines="20"/>
              <w:ind w:firstLine="420"/>
              <w:rPr>
                <w:rFonts w:ascii="Times New Roman" w:hAnsi="Times New Roman" w:eastAsia="仿宋_GB2312" w:cs="Times New Roman"/>
                <w:highlight w:val="none"/>
              </w:rPr>
            </w:pPr>
            <w:r>
              <w:rPr>
                <w:rFonts w:hint="eastAsia" w:ascii="Times New Roman" w:hAnsi="Times New Roman" w:eastAsia="仿宋_GB2312" w:cs="仿宋_GB2312"/>
                <w:highlight w:val="none"/>
              </w:rPr>
              <w:t>拒不清除本单位用海范围内的生活垃圾、废弃物或者将生产、生活废弃物弃置海域的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38" w:type="dxa"/>
            <w:gridSpan w:val="2"/>
          </w:tcPr>
          <w:p>
            <w:pPr>
              <w:pStyle w:val="12"/>
              <w:snapToGrid w:val="0"/>
              <w:spacing w:before="62" w:beforeLines="20" w:beforeAutospacing="0" w:after="0" w:afterAutospacing="0" w:line="288" w:lineRule="auto"/>
              <w:ind w:firstLine="482"/>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《山东省海洋环境保护条例》第十九条</w:t>
            </w:r>
            <w:r>
              <w:rPr>
                <w:rFonts w:ascii="Times New Roman" w:hAnsi="Times New Roman" w:eastAsia="仿宋_GB2312" w:cs="Times New Roman"/>
                <w:b/>
                <w:bCs/>
                <w:kern w:val="2"/>
                <w:sz w:val="21"/>
                <w:szCs w:val="21"/>
                <w:highlight w:val="none"/>
              </w:rPr>
              <w:t xml:space="preserve"> </w:t>
            </w:r>
            <w:r>
              <w:rPr>
                <w:rFonts w:hint="eastAsia" w:ascii="Times New Roman" w:hAnsi="Times New Roman" w:eastAsia="仿宋_GB2312" w:cs="仿宋_GB2312"/>
                <w:kern w:val="2"/>
                <w:sz w:val="21"/>
                <w:szCs w:val="21"/>
                <w:highlight w:val="none"/>
              </w:rPr>
              <w:t>港口、码头、石油开发以及船舶制造、维修、拆卸企业等用海单位应当防止污染物、废弃物进入海域，并清除本单位用海范围内的生活垃圾和废弃物。</w:t>
            </w:r>
          </w:p>
          <w:p>
            <w:pPr>
              <w:pStyle w:val="12"/>
              <w:snapToGrid w:val="0"/>
              <w:spacing w:before="0" w:beforeAutospacing="0" w:after="0" w:afterAutospacing="0" w:line="288" w:lineRule="auto"/>
              <w:ind w:firstLine="482"/>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第二十一条</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从事海上生产、经营的单位和个人，不得将未经无害化处理的生产、生活废弃物弃置海域。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38" w:type="dxa"/>
            <w:gridSpan w:val="2"/>
          </w:tcPr>
          <w:p>
            <w:pPr>
              <w:pStyle w:val="12"/>
              <w:snapToGrid w:val="0"/>
              <w:spacing w:before="62" w:beforeLines="20" w:beforeAutospacing="0" w:after="0" w:afterAutospacing="0" w:line="288" w:lineRule="auto"/>
              <w:ind w:firstLine="422" w:firstLineChars="200"/>
              <w:rPr>
                <w:rFonts w:ascii="Times New Roman" w:hAnsi="Times New Roman" w:eastAsia="仿宋_GB2312" w:cs="Times New Roman"/>
                <w:kern w:val="2"/>
                <w:sz w:val="21"/>
                <w:szCs w:val="21"/>
                <w:highlight w:val="none"/>
              </w:rPr>
            </w:pPr>
            <w:r>
              <w:rPr>
                <w:rFonts w:hint="eastAsia" w:ascii="Times New Roman" w:hAnsi="Times New Roman" w:eastAsia="仿宋_GB2312" w:cs="仿宋_GB2312"/>
                <w:b/>
                <w:bCs/>
                <w:kern w:val="2"/>
                <w:sz w:val="21"/>
                <w:szCs w:val="21"/>
                <w:highlight w:val="none"/>
              </w:rPr>
              <w:t>《山东省海洋环境保护条例》第三十三条</w:t>
            </w:r>
            <w:r>
              <w:rPr>
                <w:rFonts w:ascii="Times New Roman" w:hAnsi="Times New Roman" w:eastAsia="仿宋_GB2312" w:cs="Times New Roman"/>
                <w:b/>
                <w:bCs/>
                <w:kern w:val="2"/>
                <w:sz w:val="21"/>
                <w:szCs w:val="21"/>
                <w:highlight w:val="none"/>
              </w:rPr>
              <w:t xml:space="preserve"> </w:t>
            </w:r>
            <w:r>
              <w:rPr>
                <w:rFonts w:hint="eastAsia" w:ascii="Times New Roman" w:hAnsi="Times New Roman" w:eastAsia="仿宋_GB2312" w:cs="仿宋_GB2312"/>
                <w:kern w:val="2"/>
                <w:sz w:val="21"/>
                <w:szCs w:val="21"/>
                <w:highlight w:val="none"/>
              </w:rPr>
              <w:t>违反本条例规定，拒不清除本单位用海范围内的生活垃圾、废弃物或者将生产、生活废弃物弃置海域的，由生态环境主管部门指定有关单位代为清除，所需费用由用海单位承担，并处三万元以下罚款。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64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29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污染物数量</w:t>
            </w:r>
            <w:r>
              <w:rPr>
                <w:rFonts w:hint="eastAsia" w:ascii="Times New Roman" w:hAnsi="Times New Roman" w:cs="宋体"/>
                <w:b/>
                <w:bCs/>
                <w:color w:val="000000"/>
                <w:highlight w:val="none"/>
              </w:rPr>
              <w:t>★</w:t>
            </w:r>
          </w:p>
        </w:tc>
        <w:tc>
          <w:tcPr>
            <w:tcW w:w="5641"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固体废物</w:t>
            </w:r>
            <w:r>
              <w:rPr>
                <w:rFonts w:ascii="Times New Roman" w:hAnsi="Times New Roman" w:eastAsia="仿宋_GB2312" w:cs="Times New Roman"/>
                <w:sz w:val="21"/>
                <w:szCs w:val="21"/>
                <w:highlight w:val="none"/>
              </w:rPr>
              <w:t>2</w:t>
            </w:r>
            <w:r>
              <w:rPr>
                <w:rFonts w:hint="eastAsia" w:ascii="Times New Roman" w:hAnsi="Times New Roman" w:eastAsia="仿宋_GB2312" w:cs="仿宋_GB2312"/>
                <w:sz w:val="21"/>
                <w:szCs w:val="21"/>
                <w:highlight w:val="none"/>
              </w:rPr>
              <w:t>吨以下</w:t>
            </w:r>
          </w:p>
        </w:tc>
        <w:tc>
          <w:tcPr>
            <w:tcW w:w="2297"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color w:val="000000"/>
                <w:sz w:val="21"/>
                <w:szCs w:val="21"/>
                <w:highlight w:val="none"/>
              </w:rPr>
              <w:t>固体废物</w:t>
            </w:r>
            <w:r>
              <w:rPr>
                <w:rFonts w:ascii="Times New Roman" w:hAnsi="Times New Roman" w:eastAsia="仿宋_GB2312" w:cs="Times New Roman"/>
                <w:sz w:val="21"/>
                <w:szCs w:val="21"/>
                <w:highlight w:val="none"/>
              </w:rPr>
              <w:t>2</w:t>
            </w:r>
            <w:r>
              <w:rPr>
                <w:rFonts w:hint="eastAsia" w:ascii="Times New Roman" w:hAnsi="Times New Roman" w:eastAsia="仿宋_GB2312" w:cs="仿宋_GB2312"/>
                <w:sz w:val="21"/>
                <w:szCs w:val="21"/>
                <w:highlight w:val="none"/>
              </w:rPr>
              <w:t>吨以上</w:t>
            </w:r>
            <w:r>
              <w:rPr>
                <w:rFonts w:ascii="Times New Roman" w:hAnsi="Times New Roman" w:eastAsia="仿宋_GB2312" w:cs="Times New Roman"/>
                <w:sz w:val="21"/>
                <w:szCs w:val="21"/>
                <w:highlight w:val="none"/>
              </w:rPr>
              <w:t>5</w:t>
            </w:r>
            <w:r>
              <w:rPr>
                <w:rFonts w:hint="eastAsia" w:ascii="Times New Roman" w:hAnsi="Times New Roman" w:eastAsia="仿宋_GB2312" w:cs="仿宋_GB2312"/>
                <w:sz w:val="21"/>
                <w:szCs w:val="21"/>
                <w:highlight w:val="none"/>
              </w:rPr>
              <w:t>吨以下</w:t>
            </w:r>
          </w:p>
        </w:tc>
        <w:tc>
          <w:tcPr>
            <w:tcW w:w="2297"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color w:val="000000"/>
                <w:sz w:val="21"/>
                <w:szCs w:val="21"/>
                <w:highlight w:val="none"/>
              </w:rPr>
              <w:t>固体废物</w:t>
            </w:r>
            <w:r>
              <w:rPr>
                <w:rFonts w:ascii="Times New Roman" w:hAnsi="Times New Roman" w:eastAsia="仿宋_GB2312" w:cs="Times New Roman"/>
                <w:sz w:val="21"/>
                <w:szCs w:val="21"/>
                <w:highlight w:val="none"/>
              </w:rPr>
              <w:t>5</w:t>
            </w:r>
            <w:r>
              <w:rPr>
                <w:rFonts w:hint="eastAsia" w:ascii="Times New Roman" w:hAnsi="Times New Roman" w:eastAsia="仿宋_GB2312" w:cs="仿宋_GB2312"/>
                <w:sz w:val="21"/>
                <w:szCs w:val="21"/>
                <w:highlight w:val="none"/>
              </w:rPr>
              <w:t>吨以上</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吨以下</w:t>
            </w:r>
          </w:p>
        </w:tc>
        <w:tc>
          <w:tcPr>
            <w:tcW w:w="2297"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color w:val="000000"/>
                <w:sz w:val="21"/>
                <w:szCs w:val="21"/>
                <w:highlight w:val="none"/>
              </w:rPr>
              <w:t>固体废物</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吨以上</w:t>
            </w:r>
          </w:p>
        </w:tc>
        <w:tc>
          <w:tcPr>
            <w:tcW w:w="2297"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海洋功能</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区划</w:t>
            </w:r>
          </w:p>
        </w:tc>
        <w:tc>
          <w:tcPr>
            <w:tcW w:w="564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工业与城镇用海区</w:t>
            </w:r>
          </w:p>
        </w:tc>
        <w:tc>
          <w:tcPr>
            <w:tcW w:w="229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港口航运区、农渔业区</w:t>
            </w:r>
          </w:p>
        </w:tc>
        <w:tc>
          <w:tcPr>
            <w:tcW w:w="229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旅游休闲娱乐区</w:t>
            </w:r>
          </w:p>
        </w:tc>
        <w:tc>
          <w:tcPr>
            <w:tcW w:w="229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矿产与能源区</w:t>
            </w:r>
          </w:p>
        </w:tc>
        <w:tc>
          <w:tcPr>
            <w:tcW w:w="229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海洋保护区、特殊利用区、保留区等需要特殊保护的区域</w:t>
            </w:r>
          </w:p>
        </w:tc>
        <w:tc>
          <w:tcPr>
            <w:tcW w:w="229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对海洋环境的影响</w:t>
            </w:r>
          </w:p>
        </w:tc>
        <w:tc>
          <w:tcPr>
            <w:tcW w:w="5641"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尚未造成海洋环境破坏的</w:t>
            </w:r>
          </w:p>
        </w:tc>
        <w:tc>
          <w:tcPr>
            <w:tcW w:w="229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已造成海洋环境破坏的</w:t>
            </w:r>
          </w:p>
        </w:tc>
        <w:tc>
          <w:tcPr>
            <w:tcW w:w="229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Merge w:val="continue"/>
            <w:vAlign w:val="center"/>
          </w:tcPr>
          <w:p>
            <w:pPr>
              <w:snapToGrid w:val="0"/>
              <w:jc w:val="center"/>
              <w:rPr>
                <w:rFonts w:ascii="Times New Roman" w:hAnsi="Times New Roman" w:cs="Times New Roman"/>
                <w:b/>
                <w:bCs/>
                <w:highlight w:val="none"/>
              </w:rPr>
            </w:pPr>
          </w:p>
        </w:tc>
        <w:tc>
          <w:tcPr>
            <w:tcW w:w="5641"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已严重造成海洋环境破坏的</w:t>
            </w:r>
          </w:p>
        </w:tc>
        <w:tc>
          <w:tcPr>
            <w:tcW w:w="229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38" w:type="dxa"/>
            <w:gridSpan w:val="2"/>
            <w:vAlign w:val="center"/>
          </w:tcPr>
          <w:p>
            <w:pPr>
              <w:snapToGrid w:val="0"/>
              <w:ind w:firstLine="420"/>
              <w:jc w:val="center"/>
              <w:rPr>
                <w:rFonts w:ascii="Times New Roman" w:hAnsi="Times New Roman" w:eastAsia="仿宋_GB2312" w:cs="Times New Roman"/>
                <w:highlight w:val="none"/>
              </w:rPr>
            </w:pPr>
          </w:p>
        </w:tc>
      </w:tr>
    </w:tbl>
    <w:p>
      <w:pPr>
        <w:widowControl/>
        <w:snapToGrid w:val="0"/>
        <w:jc w:val="left"/>
        <w:outlineLvl w:val="1"/>
        <w:rPr>
          <w:rFonts w:ascii="Times New Roman" w:hAnsi="Times New Roman" w:eastAsia="仿宋_GB2312" w:cs="Times New Roman"/>
          <w:b/>
          <w:bCs/>
          <w:sz w:val="10"/>
          <w:szCs w:val="10"/>
          <w:highlight w:val="none"/>
        </w:rPr>
      </w:pPr>
      <w:r>
        <w:rPr>
          <w:rFonts w:ascii="Times New Roman" w:hAnsi="Times New Roman" w:eastAsia="仿宋_GB2312" w:cs="Times New Roman"/>
          <w:b/>
          <w:bCs/>
          <w:sz w:val="32"/>
          <w:szCs w:val="32"/>
          <w:highlight w:val="none"/>
        </w:rPr>
        <w:br w:type="page"/>
      </w:r>
    </w:p>
    <w:p>
      <w:pPr>
        <w:widowControl/>
        <w:spacing w:line="360" w:lineRule="auto"/>
        <w:ind w:left="420"/>
        <w:jc w:val="center"/>
        <w:outlineLvl w:val="1"/>
        <w:rPr>
          <w:rFonts w:ascii="Times New Roman" w:hAnsi="Times New Roman" w:eastAsia="仿宋_GB2312" w:cs="Times New Roman"/>
          <w:b/>
          <w:bCs/>
          <w:sz w:val="32"/>
          <w:szCs w:val="32"/>
          <w:highlight w:val="none"/>
        </w:rPr>
      </w:pPr>
      <w:bookmarkStart w:id="62" w:name="_Toc91081274"/>
      <w:r>
        <w:rPr>
          <w:rFonts w:hint="eastAsia" w:ascii="Times New Roman" w:hAnsi="Times New Roman" w:eastAsia="仿宋_GB2312" w:cs="仿宋_GB2312"/>
          <w:b/>
          <w:bCs/>
          <w:sz w:val="32"/>
          <w:szCs w:val="32"/>
          <w:highlight w:val="none"/>
        </w:rPr>
        <w:t>（七）辐射污染防治类</w:t>
      </w:r>
      <w:bookmarkEnd w:id="62"/>
    </w:p>
    <w:p>
      <w:pPr>
        <w:widowControl/>
        <w:spacing w:line="360" w:lineRule="auto"/>
        <w:ind w:left="420"/>
        <w:outlineLvl w:val="1"/>
        <w:rPr>
          <w:rFonts w:ascii="Times New Roman" w:hAnsi="Times New Roman" w:eastAsia="仿宋_GB2312" w:cs="Times New Roman"/>
          <w:b/>
          <w:bCs/>
          <w:sz w:val="32"/>
          <w:szCs w:val="32"/>
          <w:highlight w:val="none"/>
        </w:rPr>
      </w:pP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1.</w:t>
      </w:r>
      <w:r>
        <w:rPr>
          <w:rFonts w:hint="eastAsia" w:ascii="Times New Roman" w:hAnsi="Times New Roman" w:eastAsia="仿宋_GB2312" w:cs="仿宋_GB2312"/>
          <w:kern w:val="0"/>
          <w:sz w:val="32"/>
          <w:szCs w:val="32"/>
          <w:highlight w:val="none"/>
        </w:rPr>
        <w:t>不按照规定报告有关环境监测结果的</w:t>
      </w: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2.</w:t>
      </w:r>
      <w:r>
        <w:rPr>
          <w:rFonts w:hint="eastAsia" w:ascii="Times New Roman" w:hAnsi="Times New Roman" w:eastAsia="仿宋_GB2312" w:cs="仿宋_GB2312"/>
          <w:kern w:val="0"/>
          <w:sz w:val="32"/>
          <w:szCs w:val="32"/>
          <w:highlight w:val="none"/>
        </w:rPr>
        <w:t>拒绝环境保护行政主管部门和其他有关部门进行现场检查，或者被检查时不如实反映情况和提供必要资料的</w:t>
      </w: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3.</w:t>
      </w:r>
      <w:r>
        <w:rPr>
          <w:rFonts w:hint="eastAsia" w:ascii="Times New Roman" w:hAnsi="Times New Roman" w:eastAsia="仿宋_GB2312" w:cs="仿宋_GB2312"/>
          <w:kern w:val="0"/>
          <w:sz w:val="32"/>
          <w:szCs w:val="32"/>
          <w:highlight w:val="none"/>
        </w:rPr>
        <w:t>无许可证或者不按照许可证规定的种类和范围从事生产、销售、使用、转让、进口、贮存放射性同位素和射线装置以及装备有放射性同位素的仪表的</w:t>
      </w: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4.</w:t>
      </w:r>
      <w:r>
        <w:rPr>
          <w:rFonts w:hint="eastAsia" w:ascii="Times New Roman" w:hAnsi="Times New Roman" w:eastAsia="仿宋_GB2312" w:cs="仿宋_GB2312"/>
          <w:kern w:val="0"/>
          <w:sz w:val="32"/>
          <w:szCs w:val="32"/>
          <w:highlight w:val="none"/>
        </w:rPr>
        <w:t>未建造尾矿库或者不按照放射性污染防治的要求建造尾矿库，贮存、处置铀（钍）矿和伴生放射性矿的尾矿的</w:t>
      </w: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5.</w:t>
      </w:r>
      <w:r>
        <w:rPr>
          <w:rFonts w:hint="eastAsia" w:ascii="Times New Roman" w:hAnsi="Times New Roman" w:eastAsia="仿宋_GB2312" w:cs="仿宋_GB2312"/>
          <w:kern w:val="0"/>
          <w:sz w:val="32"/>
          <w:szCs w:val="32"/>
          <w:highlight w:val="none"/>
        </w:rPr>
        <w:t>向环境排放不得排放的放射性废气、废液的</w:t>
      </w: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6.</w:t>
      </w:r>
      <w:r>
        <w:rPr>
          <w:rFonts w:hint="eastAsia" w:ascii="Times New Roman" w:hAnsi="Times New Roman" w:eastAsia="仿宋_GB2312" w:cs="仿宋_GB2312"/>
          <w:kern w:val="0"/>
          <w:sz w:val="32"/>
          <w:szCs w:val="32"/>
          <w:highlight w:val="none"/>
        </w:rPr>
        <w:t>不按照规定的方式排放放射性废液，利用渗井、渗坑、天然裂隙、溶洞或者国家禁止的其他方式排放放射性废液的</w:t>
      </w: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7.</w:t>
      </w:r>
      <w:r>
        <w:rPr>
          <w:rFonts w:hint="eastAsia" w:ascii="Times New Roman" w:hAnsi="Times New Roman" w:eastAsia="仿宋_GB2312" w:cs="仿宋_GB2312"/>
          <w:kern w:val="0"/>
          <w:sz w:val="32"/>
          <w:szCs w:val="32"/>
          <w:highlight w:val="none"/>
        </w:rPr>
        <w:t>不按照规定处理或者贮存不得向环境排放的放射性废液的</w:t>
      </w: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8.</w:t>
      </w:r>
      <w:r>
        <w:rPr>
          <w:rFonts w:hint="eastAsia" w:ascii="Times New Roman" w:hAnsi="Times New Roman" w:eastAsia="仿宋_GB2312" w:cs="仿宋_GB2312"/>
          <w:kern w:val="0"/>
          <w:sz w:val="32"/>
          <w:szCs w:val="32"/>
          <w:highlight w:val="none"/>
        </w:rPr>
        <w:t>将放射性固体废物或者废旧放射源提供或者委托给无许可证的单位贮存和处置的</w:t>
      </w: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9.</w:t>
      </w:r>
      <w:r>
        <w:rPr>
          <w:rFonts w:hint="eastAsia" w:ascii="Times New Roman" w:hAnsi="Times New Roman" w:eastAsia="仿宋_GB2312" w:cs="仿宋_GB2312"/>
          <w:kern w:val="0"/>
          <w:sz w:val="32"/>
          <w:szCs w:val="32"/>
          <w:highlight w:val="none"/>
        </w:rPr>
        <w:t>不按照规定设置放射性标识、标志、中文警示说明，责令限期改正逾期不改正的</w:t>
      </w: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10.</w:t>
      </w:r>
      <w:r>
        <w:rPr>
          <w:rFonts w:hint="eastAsia" w:ascii="Times New Roman" w:hAnsi="Times New Roman" w:eastAsia="仿宋_GB2312" w:cs="仿宋_GB2312"/>
          <w:kern w:val="0"/>
          <w:sz w:val="32"/>
          <w:szCs w:val="32"/>
          <w:highlight w:val="none"/>
        </w:rPr>
        <w:t>不按照规定建立健全安全保卫制度和制定事故应急计划或者应急措施，责令限期改正逾期不改正的</w:t>
      </w: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11.</w:t>
      </w:r>
      <w:r>
        <w:rPr>
          <w:rFonts w:hint="eastAsia" w:ascii="Times New Roman" w:hAnsi="Times New Roman" w:eastAsia="仿宋_GB2312" w:cs="仿宋_GB2312"/>
          <w:kern w:val="0"/>
          <w:sz w:val="32"/>
          <w:szCs w:val="32"/>
          <w:highlight w:val="none"/>
        </w:rPr>
        <w:t>不按照规定报告放射源丢失、被盗情况或者放射性污染事故，责令限期改正逾期不改正的</w:t>
      </w: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12.</w:t>
      </w:r>
      <w:r>
        <w:rPr>
          <w:rFonts w:hint="eastAsia" w:ascii="Times New Roman" w:hAnsi="Times New Roman" w:eastAsia="仿宋_GB2312" w:cs="仿宋_GB2312"/>
          <w:kern w:val="0"/>
          <w:sz w:val="32"/>
          <w:szCs w:val="32"/>
          <w:highlight w:val="none"/>
        </w:rPr>
        <w:t>不按照规定对其产生的放射性固体废物进行处置，责令限期改正逾期不改正的</w:t>
      </w: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13.</w:t>
      </w:r>
      <w:r>
        <w:rPr>
          <w:rFonts w:hint="eastAsia" w:ascii="Times New Roman" w:hAnsi="Times New Roman" w:eastAsia="仿宋_GB2312" w:cs="仿宋_GB2312"/>
          <w:kern w:val="0"/>
          <w:sz w:val="32"/>
          <w:szCs w:val="32"/>
          <w:highlight w:val="none"/>
        </w:rPr>
        <w:t>未经许可，擅自从事废旧放射源或者其他放射性固体废物的贮存、处置活动的</w:t>
      </w: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14.</w:t>
      </w:r>
      <w:r>
        <w:rPr>
          <w:rFonts w:hint="eastAsia" w:ascii="Times New Roman" w:hAnsi="Times New Roman" w:eastAsia="仿宋_GB2312" w:cs="仿宋_GB2312"/>
          <w:kern w:val="0"/>
          <w:sz w:val="32"/>
          <w:szCs w:val="32"/>
          <w:highlight w:val="none"/>
        </w:rPr>
        <w:t>不按照许可的有关规定从事贮存和处置放射性固体废物活动的</w:t>
      </w: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15.</w:t>
      </w:r>
      <w:r>
        <w:rPr>
          <w:rFonts w:hint="eastAsia" w:ascii="Times New Roman" w:hAnsi="Times New Roman" w:eastAsia="仿宋_GB2312" w:cs="仿宋_GB2312"/>
          <w:kern w:val="0"/>
          <w:sz w:val="32"/>
          <w:szCs w:val="32"/>
          <w:highlight w:val="none"/>
        </w:rPr>
        <w:t>核设施营运单位未对核设施周围环境中所含的放射性核素的种类、浓度或者核设施流出物中的放射性核素总量实施监测，或者未按照规定报告监测结果的</w:t>
      </w: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16.</w:t>
      </w:r>
      <w:r>
        <w:rPr>
          <w:rFonts w:hint="eastAsia" w:ascii="Times New Roman" w:hAnsi="Times New Roman" w:eastAsia="仿宋_GB2312" w:cs="仿宋_GB2312"/>
          <w:kern w:val="0"/>
          <w:sz w:val="32"/>
          <w:szCs w:val="32"/>
          <w:highlight w:val="none"/>
        </w:rPr>
        <w:t>核电厂排放超过国家排放标准的放射性废水、废气的</w:t>
      </w: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17.</w:t>
      </w:r>
      <w:r>
        <w:rPr>
          <w:rFonts w:hint="eastAsia" w:ascii="Times New Roman" w:hAnsi="Times New Roman" w:eastAsia="仿宋_GB2312" w:cs="仿宋_GB2312"/>
          <w:kern w:val="0"/>
          <w:sz w:val="32"/>
          <w:szCs w:val="32"/>
          <w:highlight w:val="none"/>
        </w:rPr>
        <w:t>核电厂排放中、高水平放射性废水的</w:t>
      </w: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18.</w:t>
      </w:r>
      <w:r>
        <w:rPr>
          <w:rFonts w:hint="eastAsia" w:ascii="Times New Roman" w:hAnsi="Times New Roman" w:eastAsia="仿宋_GB2312" w:cs="仿宋_GB2312"/>
          <w:kern w:val="0"/>
          <w:sz w:val="32"/>
          <w:szCs w:val="32"/>
          <w:highlight w:val="none"/>
        </w:rPr>
        <w:t>核技术利用单位向无辐射安全许可证或者超出许可证规定的种类和范围的单位，销售或者转让放射性同位素、射线装置的</w:t>
      </w: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19.</w:t>
      </w:r>
      <w:r>
        <w:rPr>
          <w:rFonts w:hint="eastAsia" w:ascii="Times New Roman" w:hAnsi="Times New Roman" w:eastAsia="仿宋_GB2312" w:cs="仿宋_GB2312"/>
          <w:kern w:val="0"/>
          <w:sz w:val="32"/>
          <w:szCs w:val="32"/>
          <w:highlight w:val="none"/>
        </w:rPr>
        <w:t>核技术利用单位未组织从业人员参加辐射安全与防护培训，责令限期改正逾期不改正的</w:t>
      </w: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20.</w:t>
      </w:r>
      <w:r>
        <w:rPr>
          <w:rFonts w:hint="eastAsia" w:ascii="Times New Roman" w:hAnsi="Times New Roman" w:eastAsia="仿宋_GB2312" w:cs="仿宋_GB2312"/>
          <w:kern w:val="0"/>
          <w:sz w:val="32"/>
          <w:szCs w:val="32"/>
          <w:highlight w:val="none"/>
        </w:rPr>
        <w:t>核技术利用单位未按照规定报送辐射安全与防护状况年度评估报告，责令限期改正逾期不改正的</w:t>
      </w: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21.</w:t>
      </w:r>
      <w:r>
        <w:rPr>
          <w:rFonts w:hint="eastAsia" w:ascii="Times New Roman" w:hAnsi="Times New Roman" w:eastAsia="仿宋_GB2312" w:cs="仿宋_GB2312"/>
          <w:kern w:val="0"/>
          <w:sz w:val="32"/>
          <w:szCs w:val="32"/>
          <w:highlight w:val="none"/>
        </w:rPr>
        <w:t>核技术利用单位未定期组织对从业人员个人辐射剂量、工作场所以及周围环境辐射水平进行监测，责令限期改正逾期不改正的</w:t>
      </w: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22.</w:t>
      </w:r>
      <w:r>
        <w:rPr>
          <w:rFonts w:hint="eastAsia" w:ascii="Times New Roman" w:hAnsi="Times New Roman" w:eastAsia="仿宋_GB2312" w:cs="仿宋_GB2312"/>
          <w:kern w:val="0"/>
          <w:sz w:val="32"/>
          <w:szCs w:val="32"/>
          <w:highlight w:val="none"/>
        </w:rPr>
        <w:t>废旧金属熔炼单位未对废旧金属进行放射性检测，或者发现检测结果异常未如实报告的</w:t>
      </w: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23.</w:t>
      </w:r>
      <w:r>
        <w:rPr>
          <w:rFonts w:hint="eastAsia" w:ascii="Times New Roman" w:hAnsi="Times New Roman" w:eastAsia="仿宋_GB2312" w:cs="仿宋_GB2312"/>
          <w:kern w:val="0"/>
          <w:sz w:val="32"/>
          <w:szCs w:val="32"/>
          <w:highlight w:val="none"/>
        </w:rPr>
        <w:t>电磁能利用装置单位未采取有效的漏能控制和屏蔽措施，责令限期改正逾期不改正的</w:t>
      </w: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24.</w:t>
      </w:r>
      <w:r>
        <w:rPr>
          <w:rFonts w:hint="eastAsia" w:ascii="Times New Roman" w:hAnsi="Times New Roman" w:eastAsia="仿宋_GB2312" w:cs="仿宋_GB2312"/>
          <w:kern w:val="0"/>
          <w:sz w:val="32"/>
          <w:szCs w:val="32"/>
          <w:highlight w:val="none"/>
        </w:rPr>
        <w:t>房地产开发建设单位在销售房屋时，未公示环境影响评价文件中电磁环境信息的</w:t>
      </w: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25.</w:t>
      </w:r>
      <w:r>
        <w:rPr>
          <w:rFonts w:hint="eastAsia" w:ascii="Times New Roman" w:hAnsi="Times New Roman" w:eastAsia="仿宋_GB2312" w:cs="仿宋_GB2312"/>
          <w:kern w:val="0"/>
          <w:sz w:val="32"/>
          <w:szCs w:val="32"/>
          <w:highlight w:val="none"/>
        </w:rPr>
        <w:t>生产、销售、使用放射性同位素和射线装置的单位改变所从事活动的种类或者范围以及新建、改建或者扩建生产、销售、使用设施或者场所，未按照规定重新申请领取许可证的</w:t>
      </w: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26.</w:t>
      </w:r>
      <w:r>
        <w:rPr>
          <w:rFonts w:hint="eastAsia" w:ascii="Times New Roman" w:hAnsi="Times New Roman" w:eastAsia="仿宋_GB2312" w:cs="仿宋_GB2312"/>
          <w:kern w:val="0"/>
          <w:sz w:val="32"/>
          <w:szCs w:val="32"/>
          <w:highlight w:val="none"/>
        </w:rPr>
        <w:t>生产、销售、使用放射性同位素和射线装置的单位许可证有效期届满，需要延续而未按照规定办理延续手续的</w:t>
      </w: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27.</w:t>
      </w:r>
      <w:r>
        <w:rPr>
          <w:rFonts w:hint="eastAsia" w:ascii="Times New Roman" w:hAnsi="Times New Roman" w:eastAsia="仿宋_GB2312" w:cs="仿宋_GB2312"/>
          <w:kern w:val="0"/>
          <w:sz w:val="32"/>
          <w:szCs w:val="32"/>
          <w:highlight w:val="none"/>
        </w:rPr>
        <w:t>生产、销售、使用放射性同位素和射线装置的单位未经批准，擅自进口或者转让放射性同位素的</w:t>
      </w: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28.</w:t>
      </w:r>
      <w:r>
        <w:rPr>
          <w:rFonts w:hint="eastAsia" w:ascii="Times New Roman" w:hAnsi="Times New Roman" w:eastAsia="仿宋_GB2312" w:cs="仿宋_GB2312"/>
          <w:kern w:val="0"/>
          <w:sz w:val="32"/>
          <w:szCs w:val="32"/>
          <w:highlight w:val="none"/>
        </w:rPr>
        <w:t>生产、销售、使用放射性同位素和射线装置的单位部分终止或者全部终止生产、销售、使用活动，未按照规定办理许可证变更或者注销手续，责令限期改正逾期不改正的</w:t>
      </w: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29.</w:t>
      </w:r>
      <w:r>
        <w:rPr>
          <w:rFonts w:hint="eastAsia" w:ascii="Times New Roman" w:hAnsi="Times New Roman" w:eastAsia="仿宋_GB2312" w:cs="仿宋_GB2312"/>
          <w:kern w:val="0"/>
          <w:sz w:val="32"/>
          <w:szCs w:val="32"/>
          <w:highlight w:val="none"/>
        </w:rPr>
        <w:t>伪造、变造、转让许可证的</w:t>
      </w: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30.</w:t>
      </w:r>
      <w:r>
        <w:rPr>
          <w:rFonts w:hint="eastAsia" w:ascii="Times New Roman" w:hAnsi="Times New Roman" w:eastAsia="仿宋_GB2312" w:cs="仿宋_GB2312"/>
          <w:kern w:val="0"/>
          <w:sz w:val="32"/>
          <w:szCs w:val="32"/>
          <w:highlight w:val="none"/>
        </w:rPr>
        <w:t>伪造、变造、转让放射性同位素进口和转让批准文件的</w:t>
      </w: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31.</w:t>
      </w:r>
      <w:r>
        <w:rPr>
          <w:rFonts w:hint="eastAsia" w:ascii="Times New Roman" w:hAnsi="Times New Roman" w:eastAsia="仿宋_GB2312" w:cs="仿宋_GB2312"/>
          <w:kern w:val="0"/>
          <w:sz w:val="32"/>
          <w:szCs w:val="32"/>
          <w:highlight w:val="none"/>
        </w:rPr>
        <w:t>生产、销售、使用放射性同位素和射线装置的单位在室外、野外使用放射性同位素和射线装置，未按照国家有关安全和防护标准的要求划出安全防护区域和设置明显的放射性标志，责令限期改正逾期不改正的</w:t>
      </w: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32.</w:t>
      </w:r>
      <w:r>
        <w:rPr>
          <w:rFonts w:hint="eastAsia" w:ascii="Times New Roman" w:hAnsi="Times New Roman" w:eastAsia="仿宋_GB2312" w:cs="仿宋_GB2312"/>
          <w:kern w:val="0"/>
          <w:sz w:val="32"/>
          <w:szCs w:val="32"/>
          <w:highlight w:val="none"/>
        </w:rPr>
        <w:t>生产、销售、使用放射性同位素和射线装置的单位未经批准擅自在野外进行放射性同位素示踪试验，责令限期改正逾期不改正的</w:t>
      </w: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33.</w:t>
      </w:r>
      <w:r>
        <w:rPr>
          <w:rFonts w:hint="eastAsia" w:ascii="Times New Roman" w:hAnsi="Times New Roman" w:eastAsia="仿宋_GB2312" w:cs="仿宋_GB2312"/>
          <w:kern w:val="0"/>
          <w:sz w:val="32"/>
          <w:szCs w:val="32"/>
          <w:highlight w:val="none"/>
        </w:rPr>
        <w:t>生产放射性同位素的单位未建立放射性同位素产品台账，责令限期改正逾期不改正的</w:t>
      </w: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34.</w:t>
      </w:r>
      <w:r>
        <w:rPr>
          <w:rFonts w:hint="eastAsia" w:ascii="Times New Roman" w:hAnsi="Times New Roman" w:eastAsia="仿宋_GB2312" w:cs="仿宋_GB2312"/>
          <w:kern w:val="0"/>
          <w:sz w:val="32"/>
          <w:szCs w:val="32"/>
          <w:highlight w:val="none"/>
        </w:rPr>
        <w:t>生产放射性同位素的单位未按照国务院生态环境主管部门制定的编码规则，对生产的放射源进行统一编码，责令限期改正逾期不改正的</w:t>
      </w: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35.</w:t>
      </w:r>
      <w:r>
        <w:rPr>
          <w:rFonts w:hint="eastAsia" w:ascii="Times New Roman" w:hAnsi="Times New Roman" w:eastAsia="仿宋_GB2312" w:cs="仿宋_GB2312"/>
          <w:kern w:val="0"/>
          <w:sz w:val="32"/>
          <w:szCs w:val="32"/>
          <w:highlight w:val="none"/>
        </w:rPr>
        <w:t>生产放射性同位素的单位未将放射性同位素产品台账和放射源编码清单报国务院生态环境主管部门备案，责令限期改正逾期不改正的</w:t>
      </w: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36.</w:t>
      </w:r>
      <w:r>
        <w:rPr>
          <w:rFonts w:hint="eastAsia" w:ascii="Times New Roman" w:hAnsi="Times New Roman" w:eastAsia="仿宋_GB2312" w:cs="仿宋_GB2312"/>
          <w:kern w:val="0"/>
          <w:sz w:val="32"/>
          <w:szCs w:val="32"/>
          <w:highlight w:val="none"/>
        </w:rPr>
        <w:t>生产放射性同位素的单位出厂或者销售未列入产品台账的放射性同位素和未编码的放射源，责令限期改正逾期不改正的</w:t>
      </w: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37.</w:t>
      </w:r>
      <w:r>
        <w:rPr>
          <w:rFonts w:hint="eastAsia" w:ascii="Times New Roman" w:hAnsi="Times New Roman" w:eastAsia="仿宋_GB2312" w:cs="仿宋_GB2312"/>
          <w:kern w:val="0"/>
          <w:sz w:val="32"/>
          <w:szCs w:val="32"/>
          <w:highlight w:val="none"/>
        </w:rPr>
        <w:t>生产、销售、使用放射性同位素和射线装置的单位未按照规定对废旧放射源进行处理，责令限期改正逾期不改正的</w:t>
      </w: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38.</w:t>
      </w:r>
      <w:r>
        <w:rPr>
          <w:rFonts w:hint="eastAsia" w:ascii="Times New Roman" w:hAnsi="Times New Roman" w:eastAsia="仿宋_GB2312" w:cs="仿宋_GB2312"/>
          <w:kern w:val="0"/>
          <w:sz w:val="32"/>
          <w:szCs w:val="32"/>
          <w:highlight w:val="none"/>
        </w:rPr>
        <w:t>生产、销售、使用放射性同位素和射线装置的单位未按照规定对使用</w:t>
      </w:r>
      <w:r>
        <w:rPr>
          <w:rFonts w:hint="eastAsia" w:ascii="宋体" w:hAnsi="宋体" w:cs="宋体"/>
          <w:kern w:val="0"/>
          <w:sz w:val="32"/>
          <w:szCs w:val="32"/>
          <w:highlight w:val="none"/>
        </w:rPr>
        <w:t>Ⅰ</w:t>
      </w:r>
      <w:r>
        <w:rPr>
          <w:rFonts w:hint="eastAsia" w:ascii="Times New Roman" w:hAnsi="Times New Roman" w:eastAsia="仿宋_GB2312" w:cs="仿宋_GB2312"/>
          <w:kern w:val="0"/>
          <w:sz w:val="32"/>
          <w:szCs w:val="32"/>
          <w:highlight w:val="none"/>
        </w:rPr>
        <w:t>类、</w:t>
      </w:r>
      <w:r>
        <w:rPr>
          <w:rFonts w:hint="eastAsia" w:ascii="宋体" w:hAnsi="宋体" w:cs="宋体"/>
          <w:kern w:val="0"/>
          <w:sz w:val="32"/>
          <w:szCs w:val="32"/>
          <w:highlight w:val="none"/>
        </w:rPr>
        <w:t>Ⅱ</w:t>
      </w:r>
      <w:r>
        <w:rPr>
          <w:rFonts w:hint="eastAsia" w:ascii="Times New Roman" w:hAnsi="Times New Roman" w:eastAsia="仿宋_GB2312" w:cs="仿宋_GB2312"/>
          <w:kern w:val="0"/>
          <w:sz w:val="32"/>
          <w:szCs w:val="32"/>
          <w:highlight w:val="none"/>
        </w:rPr>
        <w:t>类、</w:t>
      </w:r>
      <w:r>
        <w:rPr>
          <w:rFonts w:hint="eastAsia" w:ascii="宋体" w:hAnsi="宋体" w:cs="宋体"/>
          <w:kern w:val="0"/>
          <w:sz w:val="32"/>
          <w:szCs w:val="32"/>
          <w:highlight w:val="none"/>
        </w:rPr>
        <w:t>Ⅲ</w:t>
      </w:r>
      <w:r>
        <w:rPr>
          <w:rFonts w:hint="eastAsia" w:ascii="Times New Roman" w:hAnsi="Times New Roman" w:eastAsia="仿宋_GB2312" w:cs="仿宋_GB2312"/>
          <w:kern w:val="0"/>
          <w:sz w:val="32"/>
          <w:szCs w:val="32"/>
          <w:highlight w:val="none"/>
        </w:rPr>
        <w:t>类放射源的场所和生产放射性同位素的场所，以及终结运行后产生放射性污染的射线装置实施退役，责令限期改正逾期不改正的</w:t>
      </w: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39.</w:t>
      </w:r>
      <w:r>
        <w:rPr>
          <w:rFonts w:hint="eastAsia" w:ascii="Times New Roman" w:hAnsi="Times New Roman" w:eastAsia="仿宋_GB2312" w:cs="仿宋_GB2312"/>
          <w:kern w:val="0"/>
          <w:sz w:val="32"/>
          <w:szCs w:val="32"/>
          <w:highlight w:val="none"/>
        </w:rPr>
        <w:t>生产、销售、使用放射性同位素和射线装置的单位未按照规定对本单位的放射性同位素、射线装置安全和防护状况进行评估或者发现安全隐患不及时整改，责令限期改正逾期不改正的</w:t>
      </w: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40.</w:t>
      </w:r>
      <w:r>
        <w:rPr>
          <w:rFonts w:hint="eastAsia" w:ascii="Times New Roman" w:hAnsi="Times New Roman" w:eastAsia="仿宋_GB2312" w:cs="仿宋_GB2312"/>
          <w:kern w:val="0"/>
          <w:sz w:val="32"/>
          <w:szCs w:val="32"/>
          <w:highlight w:val="none"/>
        </w:rPr>
        <w:t>生产、销售、使用放射性同位素和射线装置的单位生产、销售、使用、贮存放射性同位素和射线装置的场所未按照规定设置安全和防护设施以及放射性标志，责令限期改正逾期不改正的</w:t>
      </w: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41.</w:t>
      </w:r>
      <w:r>
        <w:rPr>
          <w:rFonts w:hint="eastAsia" w:ascii="Times New Roman" w:hAnsi="Times New Roman" w:eastAsia="仿宋_GB2312" w:cs="仿宋_GB2312"/>
          <w:kern w:val="0"/>
          <w:sz w:val="32"/>
          <w:szCs w:val="32"/>
          <w:highlight w:val="none"/>
        </w:rPr>
        <w:t>核设施营运单位未按照规定，将其产生的废旧放射源送交贮存、处置，或者将其产生的其他放射性固体废物送交处置，责令限期改正逾期不改正的</w:t>
      </w: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42.</w:t>
      </w:r>
      <w:r>
        <w:rPr>
          <w:rFonts w:hint="eastAsia" w:ascii="Times New Roman" w:hAnsi="Times New Roman" w:eastAsia="仿宋_GB2312" w:cs="仿宋_GB2312"/>
          <w:kern w:val="0"/>
          <w:sz w:val="32"/>
          <w:szCs w:val="32"/>
          <w:highlight w:val="none"/>
        </w:rPr>
        <w:t>核技术利用单位未按照规定，将其产生的废旧放射源或者其他放射性固体废物送交贮存、处置，责令限期改正逾期不改正的</w:t>
      </w: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43.</w:t>
      </w:r>
      <w:r>
        <w:rPr>
          <w:rFonts w:hint="eastAsia" w:ascii="Times New Roman" w:hAnsi="Times New Roman" w:eastAsia="仿宋_GB2312" w:cs="仿宋_GB2312"/>
          <w:kern w:val="0"/>
          <w:sz w:val="32"/>
          <w:szCs w:val="32"/>
          <w:highlight w:val="none"/>
        </w:rPr>
        <w:t>放射性固体废物贮存、处置单位未按照国家有关放射性污染防治标准和国务院环境保护主管部门的规定贮存、处置废旧放射源或者其他放射性固体废物的</w:t>
      </w: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44.</w:t>
      </w:r>
      <w:r>
        <w:rPr>
          <w:rFonts w:hint="eastAsia" w:ascii="Times New Roman" w:hAnsi="Times New Roman" w:eastAsia="仿宋_GB2312" w:cs="仿宋_GB2312"/>
          <w:kern w:val="0"/>
          <w:sz w:val="32"/>
          <w:szCs w:val="32"/>
          <w:highlight w:val="none"/>
        </w:rPr>
        <w:t>放射性固体废物贮存、处置单位未按照规定建立情况记录档案，或者未按照规定进行如实记录的</w:t>
      </w: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45.</w:t>
      </w:r>
      <w:r>
        <w:rPr>
          <w:rFonts w:hint="eastAsia" w:ascii="Times New Roman" w:hAnsi="Times New Roman" w:eastAsia="仿宋_GB2312" w:cs="仿宋_GB2312"/>
          <w:kern w:val="0"/>
          <w:sz w:val="32"/>
          <w:szCs w:val="32"/>
          <w:highlight w:val="none"/>
        </w:rPr>
        <w:t>核设施营运单位、核技术利用单位或者放射性固体废物贮存、处置单位未按照规定如实报告有关情况的</w:t>
      </w: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46.</w:t>
      </w:r>
      <w:r>
        <w:rPr>
          <w:rFonts w:hint="eastAsia" w:ascii="Times New Roman" w:hAnsi="Times New Roman" w:eastAsia="仿宋_GB2312" w:cs="仿宋_GB2312"/>
          <w:kern w:val="0"/>
          <w:sz w:val="32"/>
          <w:szCs w:val="32"/>
          <w:highlight w:val="none"/>
        </w:rPr>
        <w:t>核设施营运单位、核技术利用单位或者放射性固体废物贮存、处置单位未按照规定对有关工作人员进行技术培训和考核的</w:t>
      </w: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47.</w:t>
      </w:r>
      <w:r>
        <w:rPr>
          <w:rFonts w:hint="eastAsia" w:ascii="Times New Roman" w:hAnsi="Times New Roman" w:eastAsia="仿宋_GB2312" w:cs="仿宋_GB2312"/>
          <w:kern w:val="0"/>
          <w:sz w:val="32"/>
          <w:szCs w:val="32"/>
          <w:highlight w:val="none"/>
        </w:rPr>
        <w:t>托运人未按照规定将放射性物品运输的核与辐射安全分析报告批准书、辐射监测报告备案，责令限期改正逾期不改正的</w:t>
      </w: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48.</w:t>
      </w:r>
      <w:r>
        <w:rPr>
          <w:rFonts w:hint="eastAsia" w:ascii="Times New Roman" w:hAnsi="Times New Roman" w:eastAsia="仿宋_GB2312" w:cs="仿宋_GB2312"/>
          <w:kern w:val="0"/>
          <w:sz w:val="32"/>
          <w:szCs w:val="32"/>
          <w:highlight w:val="none"/>
        </w:rPr>
        <w:t>未按照规定对托运的放射性物品表面污染和辐射水平实施监测的</w:t>
      </w: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49.</w:t>
      </w:r>
      <w:r>
        <w:rPr>
          <w:rFonts w:hint="eastAsia" w:ascii="Times New Roman" w:hAnsi="Times New Roman" w:eastAsia="仿宋_GB2312" w:cs="仿宋_GB2312"/>
          <w:kern w:val="0"/>
          <w:sz w:val="32"/>
          <w:szCs w:val="32"/>
          <w:highlight w:val="none"/>
        </w:rPr>
        <w:t>将经监测不符合国家放射性物品运输安全标准的放射性物品交付托运的</w:t>
      </w: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50.</w:t>
      </w:r>
      <w:r>
        <w:rPr>
          <w:rFonts w:hint="eastAsia" w:ascii="Times New Roman" w:hAnsi="Times New Roman" w:eastAsia="仿宋_GB2312" w:cs="仿宋_GB2312"/>
          <w:kern w:val="0"/>
          <w:sz w:val="32"/>
          <w:szCs w:val="32"/>
          <w:highlight w:val="none"/>
        </w:rPr>
        <w:t>出具虚假辐射监测报告的</w:t>
      </w: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51.</w:t>
      </w:r>
      <w:r>
        <w:rPr>
          <w:rFonts w:hint="eastAsia" w:ascii="Times New Roman" w:hAnsi="Times New Roman" w:eastAsia="仿宋_GB2312" w:cs="仿宋_GB2312"/>
          <w:kern w:val="0"/>
          <w:sz w:val="32"/>
          <w:szCs w:val="32"/>
          <w:highlight w:val="none"/>
        </w:rPr>
        <w:t>托运人、承运人未按照核与辐射事故应急响应指南的要求，做好事故应急工作并报告事故的</w:t>
      </w:r>
    </w:p>
    <w:p>
      <w:pPr>
        <w:widowControl/>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52.</w:t>
      </w:r>
      <w:r>
        <w:rPr>
          <w:rFonts w:hint="eastAsia" w:ascii="Times New Roman" w:hAnsi="Times New Roman" w:eastAsia="仿宋_GB2312" w:cs="仿宋_GB2312"/>
          <w:kern w:val="0"/>
          <w:sz w:val="32"/>
          <w:szCs w:val="32"/>
          <w:highlight w:val="none"/>
        </w:rPr>
        <w:t>违反规定造成辐射事故的</w:t>
      </w:r>
    </w:p>
    <w:p>
      <w:pPr>
        <w:widowControl/>
        <w:snapToGrid w:val="0"/>
        <w:ind w:firstLine="640" w:firstLineChars="200"/>
        <w:jc w:val="left"/>
        <w:rPr>
          <w:rFonts w:ascii="Times New Roman" w:hAnsi="Times New Roman" w:eastAsia="仿宋_GB2312" w:cs="Times New Roman"/>
          <w:kern w:val="0"/>
          <w:sz w:val="10"/>
          <w:szCs w:val="10"/>
          <w:highlight w:val="none"/>
        </w:rPr>
      </w:pPr>
      <w:r>
        <w:rPr>
          <w:rFonts w:ascii="Times New Roman" w:hAnsi="Times New Roman" w:eastAsia="仿宋_GB2312" w:cs="Times New Roman"/>
          <w:kern w:val="0"/>
          <w:sz w:val="32"/>
          <w:szCs w:val="32"/>
          <w:highlight w:val="none"/>
        </w:rPr>
        <w:br w:type="page"/>
      </w:r>
    </w:p>
    <w:tbl>
      <w:tblPr>
        <w:tblStyle w:val="14"/>
        <w:tblW w:w="9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5"/>
        <w:gridCol w:w="5230"/>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08"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23"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5" w:type="dxa"/>
            <w:vAlign w:val="center"/>
          </w:tcPr>
          <w:p>
            <w:pPr>
              <w:snapToGrid w:val="0"/>
              <w:jc w:val="center"/>
              <w:rPr>
                <w:rFonts w:ascii="Times New Roman" w:hAnsi="Times New Roman" w:cs="Times New Roman"/>
                <w:b/>
                <w:bCs/>
                <w:kern w:val="0"/>
                <w:highlight w:val="none"/>
              </w:rPr>
            </w:pPr>
            <w:r>
              <w:rPr>
                <w:rFonts w:hint="eastAsia" w:ascii="Times New Roman" w:hAnsi="Times New Roman" w:cs="宋体"/>
                <w:b/>
                <w:bCs/>
                <w:kern w:val="0"/>
                <w:highlight w:val="none"/>
              </w:rPr>
              <w:t>违法行为</w:t>
            </w:r>
          </w:p>
        </w:tc>
        <w:tc>
          <w:tcPr>
            <w:tcW w:w="7923"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20" w:firstLineChars="200"/>
              <w:jc w:val="center"/>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不按照规定报告有关环境监测结果的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5"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23"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2" w:beforeLines="20" w:line="288" w:lineRule="auto"/>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《中华人民共和国放射性污染防治法》第二十四条第一款</w:t>
            </w:r>
            <w:r>
              <w:rPr>
                <w:rFonts w:ascii="Times New Roman" w:hAnsi="Times New Roman" w:eastAsia="仿宋_GB2312" w:cs="Times New Roman"/>
                <w:b/>
                <w:bCs/>
                <w:kern w:val="0"/>
                <w:highlight w:val="none"/>
              </w:rPr>
              <w:t xml:space="preserve"> </w:t>
            </w:r>
            <w:r>
              <w:rPr>
                <w:rFonts w:hint="eastAsia" w:ascii="Times New Roman" w:hAnsi="Times New Roman" w:eastAsia="仿宋_GB2312" w:cs="仿宋_GB2312"/>
                <w:kern w:val="0"/>
                <w:highlight w:val="none"/>
              </w:rPr>
              <w:t>核设施营运单位应当对核设施周围环境中所含的放射性核素的种类、浓度以及核设施流出物中的放射性核素总量实施监测，并定期向国务院环境保护行政主管部门和所在地省、自治区、直辖市人民政府环境保护行政主管部门报告监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5"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23" w:type="dxa"/>
            <w:gridSpan w:val="2"/>
            <w:vAlign w:val="center"/>
          </w:tcPr>
          <w:p>
            <w:pPr>
              <w:widowControl/>
              <w:snapToGrid w:val="0"/>
              <w:spacing w:before="62" w:beforeLines="20" w:line="288" w:lineRule="auto"/>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《中华人民共和国放射性污染防治法》第四十九条第（一）项</w:t>
            </w:r>
            <w:r>
              <w:rPr>
                <w:rFonts w:ascii="Times New Roman" w:hAnsi="Times New Roman" w:eastAsia="仿宋_GB2312" w:cs="Times New Roman"/>
                <w:b/>
                <w:bCs/>
                <w:kern w:val="0"/>
                <w:highlight w:val="none"/>
              </w:rPr>
              <w:t xml:space="preserve"> </w:t>
            </w:r>
            <w:r>
              <w:rPr>
                <w:rFonts w:hint="eastAsia" w:ascii="Times New Roman" w:hAnsi="Times New Roman" w:eastAsia="仿宋_GB2312" w:cs="仿宋_GB2312"/>
                <w:kern w:val="0"/>
                <w:highlight w:val="none"/>
              </w:rPr>
              <w:t>违反本法规定，有下列行为之一的，由县级以上人民政府环境保护行政主管部门或者其他有关部门依据职权责令限期改正，可以处二万元以下罚款：</w:t>
            </w:r>
          </w:p>
          <w:p>
            <w:pPr>
              <w:widowControl/>
              <w:snapToGrid w:val="0"/>
              <w:spacing w:line="288" w:lineRule="auto"/>
              <w:ind w:firstLine="420"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（一）不按照规定报告有关环境监测结果的。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30"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5"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监测频次★</w:t>
            </w:r>
          </w:p>
        </w:tc>
        <w:tc>
          <w:tcPr>
            <w:tcW w:w="5230"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未规范报告监测结果的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5" w:type="dxa"/>
            <w:vMerge w:val="continue"/>
            <w:vAlign w:val="center"/>
          </w:tcPr>
          <w:p>
            <w:pPr>
              <w:snapToGrid w:val="0"/>
              <w:jc w:val="center"/>
              <w:rPr>
                <w:rFonts w:ascii="Times New Roman" w:hAnsi="Times New Roman" w:cs="Times New Roman"/>
                <w:b/>
                <w:bCs/>
                <w:highlight w:val="none"/>
              </w:rPr>
            </w:pPr>
          </w:p>
        </w:tc>
        <w:tc>
          <w:tcPr>
            <w:tcW w:w="5230"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未报告环境监测结果的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5" w:type="dxa"/>
            <w:vMerge w:val="continue"/>
            <w:vAlign w:val="center"/>
          </w:tcPr>
          <w:p>
            <w:pPr>
              <w:snapToGrid w:val="0"/>
              <w:jc w:val="center"/>
              <w:rPr>
                <w:rFonts w:ascii="Times New Roman" w:hAnsi="Times New Roman" w:cs="Times New Roman"/>
                <w:b/>
                <w:bCs/>
                <w:highlight w:val="none"/>
              </w:rPr>
            </w:pPr>
          </w:p>
        </w:tc>
        <w:tc>
          <w:tcPr>
            <w:tcW w:w="5230"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报告的监测结果存在弄虚作假的</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5"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核设施分类</w:t>
            </w:r>
          </w:p>
        </w:tc>
        <w:tc>
          <w:tcPr>
            <w:tcW w:w="5230"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放射性废物处理和处置设施</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5" w:type="dxa"/>
            <w:vMerge w:val="continue"/>
            <w:vAlign w:val="center"/>
          </w:tcPr>
          <w:p>
            <w:pPr>
              <w:snapToGrid w:val="0"/>
              <w:jc w:val="center"/>
              <w:rPr>
                <w:rFonts w:ascii="Times New Roman" w:hAnsi="Times New Roman" w:cs="Times New Roman"/>
                <w:b/>
                <w:bCs/>
                <w:highlight w:val="none"/>
              </w:rPr>
            </w:pPr>
          </w:p>
        </w:tc>
        <w:tc>
          <w:tcPr>
            <w:tcW w:w="5230"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核燃料生产、加工、贮存和后处理设施</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5" w:type="dxa"/>
            <w:vMerge w:val="continue"/>
            <w:vAlign w:val="center"/>
          </w:tcPr>
          <w:p>
            <w:pPr>
              <w:snapToGrid w:val="0"/>
              <w:jc w:val="center"/>
              <w:rPr>
                <w:rFonts w:ascii="Times New Roman" w:hAnsi="Times New Roman" w:cs="Times New Roman"/>
                <w:b/>
                <w:bCs/>
                <w:highlight w:val="none"/>
              </w:rPr>
            </w:pPr>
          </w:p>
        </w:tc>
        <w:tc>
          <w:tcPr>
            <w:tcW w:w="5230"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研究堆、实验堆、临界装置等反应堆</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5" w:type="dxa"/>
            <w:vMerge w:val="continue"/>
            <w:vAlign w:val="center"/>
          </w:tcPr>
          <w:p>
            <w:pPr>
              <w:snapToGrid w:val="0"/>
              <w:jc w:val="center"/>
              <w:rPr>
                <w:rFonts w:ascii="Times New Roman" w:hAnsi="Times New Roman" w:cs="Times New Roman"/>
                <w:b/>
                <w:bCs/>
                <w:highlight w:val="none"/>
              </w:rPr>
            </w:pPr>
          </w:p>
        </w:tc>
        <w:tc>
          <w:tcPr>
            <w:tcW w:w="5230"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核电厂、核热电厂、核供汽供热厂等核动力厂</w:t>
            </w:r>
          </w:p>
        </w:tc>
        <w:tc>
          <w:tcPr>
            <w:tcW w:w="2693"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8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23"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5156"/>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2"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805"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67" w:type="dxa"/>
            <w:vAlign w:val="center"/>
          </w:tcPr>
          <w:p>
            <w:pPr>
              <w:snapToGrid w:val="0"/>
              <w:jc w:val="center"/>
              <w:rPr>
                <w:rFonts w:ascii="Times New Roman" w:hAnsi="Times New Roman" w:cs="Times New Roman"/>
                <w:b/>
                <w:bCs/>
                <w:kern w:val="0"/>
                <w:highlight w:val="none"/>
              </w:rPr>
            </w:pPr>
            <w:r>
              <w:rPr>
                <w:rFonts w:hint="eastAsia" w:ascii="Times New Roman" w:hAnsi="Times New Roman" w:cs="宋体"/>
                <w:b/>
                <w:bCs/>
                <w:kern w:val="0"/>
                <w:highlight w:val="none"/>
              </w:rPr>
              <w:t>违法行为</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2" w:beforeLines="20" w:line="288" w:lineRule="auto"/>
              <w:ind w:firstLine="420" w:firstLineChars="200"/>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拒绝环境保护行政主管部门和其他有关部门进行现场检查，或者被检查时不如实反映情况和提供必要资料的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2" w:beforeLines="20" w:line="288" w:lineRule="auto"/>
              <w:ind w:firstLine="422" w:firstLineChars="200"/>
              <w:jc w:val="left"/>
              <w:rPr>
                <w:rFonts w:ascii="Times New Roman" w:hAnsi="Times New Roman" w:eastAsia="仿宋_GB2312" w:cs="Times New Roman"/>
                <w:kern w:val="0"/>
                <w:highlight w:val="none"/>
              </w:rPr>
            </w:pPr>
            <w:r>
              <w:rPr>
                <w:rFonts w:ascii="Times New Roman" w:hAnsi="Times New Roman" w:eastAsia="仿宋_GB2312" w:cs="Times New Roman"/>
                <w:b/>
                <w:bCs/>
                <w:kern w:val="0"/>
                <w:highlight w:val="none"/>
              </w:rPr>
              <w:t>1.</w:t>
            </w:r>
            <w:r>
              <w:rPr>
                <w:rFonts w:hint="eastAsia" w:ascii="Times New Roman" w:hAnsi="Times New Roman" w:eastAsia="仿宋_GB2312" w:cs="仿宋_GB2312"/>
                <w:b/>
                <w:bCs/>
                <w:kern w:val="0"/>
                <w:highlight w:val="none"/>
              </w:rPr>
              <w:t>《中华人民共和国放射性污染防治法》第十一条第三款</w:t>
            </w:r>
            <w:r>
              <w:rPr>
                <w:rFonts w:ascii="Times New Roman" w:hAnsi="Times New Roman" w:eastAsia="仿宋_GB2312" w:cs="Times New Roman"/>
                <w:b/>
                <w:bCs/>
                <w:kern w:val="0"/>
                <w:highlight w:val="none"/>
              </w:rPr>
              <w:t xml:space="preserve"> </w:t>
            </w:r>
            <w:r>
              <w:rPr>
                <w:rFonts w:hint="eastAsia" w:ascii="Times New Roman" w:hAnsi="Times New Roman" w:eastAsia="仿宋_GB2312" w:cs="仿宋_GB2312"/>
                <w:kern w:val="0"/>
                <w:highlight w:val="none"/>
              </w:rPr>
              <w:t>监督检查人员进行现场检查时，应当出示证件。被检查的单位必须如实反映情况，提供必要的资料。监督检查人员应当为被检查单位保守技术秘密和业务秘密。对涉及国家秘密的单位和部位进行检查时，应当遵守国家有关保守国家秘密的规定，依法办理有关审批手续。</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88" w:lineRule="auto"/>
              <w:ind w:firstLine="422" w:firstLineChars="200"/>
              <w:jc w:val="left"/>
              <w:rPr>
                <w:rFonts w:ascii="Times New Roman" w:hAnsi="Times New Roman" w:eastAsia="仿宋_GB2312" w:cs="Times New Roman"/>
                <w:kern w:val="0"/>
                <w:highlight w:val="none"/>
              </w:rPr>
            </w:pPr>
            <w:r>
              <w:rPr>
                <w:rFonts w:ascii="Times New Roman" w:hAnsi="Times New Roman" w:eastAsia="仿宋_GB2312" w:cs="Times New Roman"/>
                <w:b/>
                <w:bCs/>
                <w:highlight w:val="none"/>
              </w:rPr>
              <w:t>2.</w:t>
            </w:r>
            <w:r>
              <w:rPr>
                <w:rFonts w:hint="eastAsia" w:ascii="Times New Roman" w:hAnsi="Times New Roman" w:eastAsia="仿宋_GB2312" w:cs="仿宋_GB2312"/>
                <w:b/>
                <w:bCs/>
                <w:highlight w:val="none"/>
              </w:rPr>
              <w:t>《放射性废物安全管理条例》第二十九条第二款</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被检查单位应当予以配合，如实反映情况，提供必要的资料，不得拒绝和阻碍。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805" w:type="dxa"/>
            <w:gridSpan w:val="2"/>
            <w:vAlign w:val="center"/>
          </w:tcPr>
          <w:p>
            <w:pPr>
              <w:widowControl/>
              <w:snapToGrid w:val="0"/>
              <w:spacing w:before="62" w:beforeLines="20" w:line="288" w:lineRule="auto"/>
              <w:ind w:firstLine="422" w:firstLineChars="200"/>
              <w:jc w:val="left"/>
              <w:rPr>
                <w:rFonts w:ascii="Times New Roman" w:hAnsi="Times New Roman" w:eastAsia="仿宋_GB2312" w:cs="Times New Roman"/>
                <w:kern w:val="0"/>
                <w:highlight w:val="none"/>
              </w:rPr>
            </w:pPr>
            <w:r>
              <w:rPr>
                <w:rFonts w:ascii="Times New Roman" w:hAnsi="Times New Roman" w:eastAsia="仿宋_GB2312" w:cs="Times New Roman"/>
                <w:b/>
                <w:bCs/>
                <w:kern w:val="0"/>
                <w:highlight w:val="none"/>
              </w:rPr>
              <w:t>1.</w:t>
            </w:r>
            <w:r>
              <w:rPr>
                <w:rFonts w:hint="eastAsia" w:ascii="Times New Roman" w:hAnsi="Times New Roman" w:eastAsia="仿宋_GB2312" w:cs="仿宋_GB2312"/>
                <w:b/>
                <w:bCs/>
                <w:kern w:val="0"/>
                <w:highlight w:val="none"/>
              </w:rPr>
              <w:t>《中华人民共和国放射性污染防治法》第四十九条第（二）项</w:t>
            </w:r>
            <w:r>
              <w:rPr>
                <w:rFonts w:ascii="Times New Roman" w:hAnsi="Times New Roman" w:eastAsia="仿宋_GB2312" w:cs="Times New Roman"/>
                <w:b/>
                <w:bCs/>
                <w:kern w:val="0"/>
                <w:highlight w:val="none"/>
              </w:rPr>
              <w:t xml:space="preserve"> </w:t>
            </w:r>
            <w:r>
              <w:rPr>
                <w:rFonts w:hint="eastAsia" w:ascii="Times New Roman" w:hAnsi="Times New Roman" w:eastAsia="仿宋_GB2312" w:cs="仿宋_GB2312"/>
                <w:kern w:val="0"/>
                <w:highlight w:val="none"/>
              </w:rPr>
              <w:t>违反本法规定，有下列行为之一的，由县级以上人民政府环境保护行政主管部门或者其他有关部门依据职权责令限期改正，可以处二万元以下罚款：</w:t>
            </w:r>
          </w:p>
          <w:p>
            <w:pPr>
              <w:widowControl/>
              <w:snapToGrid w:val="0"/>
              <w:spacing w:line="288" w:lineRule="auto"/>
              <w:ind w:firstLine="420"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（二）拒绝环境保护行政主管部门和其他有关部门进行现场检查，或者被检查时不如实反映情况和提供必要资料的。</w:t>
            </w:r>
          </w:p>
          <w:p>
            <w:pPr>
              <w:widowControl/>
              <w:snapToGrid w:val="0"/>
              <w:spacing w:line="288" w:lineRule="auto"/>
              <w:ind w:firstLine="422" w:firstLineChars="200"/>
              <w:jc w:val="left"/>
              <w:rPr>
                <w:rFonts w:ascii="Times New Roman" w:hAnsi="Times New Roman" w:eastAsia="仿宋_GB2312" w:cs="Times New Roman"/>
                <w:kern w:val="0"/>
                <w:highlight w:val="none"/>
              </w:rPr>
            </w:pPr>
            <w:r>
              <w:rPr>
                <w:rFonts w:ascii="Times New Roman" w:hAnsi="Times New Roman" w:eastAsia="仿宋_GB2312" w:cs="Times New Roman"/>
                <w:b/>
                <w:bCs/>
                <w:highlight w:val="none"/>
              </w:rPr>
              <w:t>2.</w:t>
            </w:r>
            <w:r>
              <w:rPr>
                <w:rFonts w:hint="eastAsia" w:ascii="Times New Roman" w:hAnsi="Times New Roman" w:eastAsia="仿宋_GB2312" w:cs="仿宋_GB2312"/>
                <w:b/>
                <w:bCs/>
                <w:highlight w:val="none"/>
              </w:rPr>
              <w:t>《放射性废物安全管理条例》第四十一条</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违反本条例规定，拒绝、阻碍环境保护主管部门或者其他有关部门的监督检查，或者在接受监督检查时弄虚作假的，由监督检查部门责令改正，处</w:t>
            </w:r>
            <w:r>
              <w:rPr>
                <w:rFonts w:ascii="Times New Roman" w:hAnsi="Times New Roman" w:eastAsia="仿宋_GB2312" w:cs="Times New Roman"/>
                <w:highlight w:val="none"/>
              </w:rPr>
              <w:t>2</w:t>
            </w:r>
            <w:r>
              <w:rPr>
                <w:rFonts w:hint="eastAsia" w:ascii="Times New Roman" w:hAnsi="Times New Roman" w:eastAsia="仿宋_GB2312" w:cs="仿宋_GB2312"/>
                <w:highlight w:val="none"/>
              </w:rPr>
              <w:t>万元以下的罚款；构成违反治安管理行为的，由公安机关依法给予治安管理处罚；构成犯罪的，依法追究刑事责任。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15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4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67"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违法事实</w:t>
            </w:r>
            <w:r>
              <w:rPr>
                <w:rFonts w:hint="eastAsia" w:ascii="Times New Roman" w:hAnsi="Times New Roman" w:cs="宋体"/>
                <w:b/>
                <w:bCs/>
                <w:color w:val="000000"/>
                <w:highlight w:val="none"/>
              </w:rPr>
              <w:t>★</w:t>
            </w:r>
          </w:p>
        </w:tc>
        <w:tc>
          <w:tcPr>
            <w:tcW w:w="5156" w:type="dxa"/>
            <w:vAlign w:val="center"/>
          </w:tcPr>
          <w:p>
            <w:pPr>
              <w:pStyle w:val="11"/>
              <w:snapToGrid w:val="0"/>
              <w:jc w:val="center"/>
              <w:rPr>
                <w:rFonts w:ascii="Times New Roman" w:hAnsi="Times New Roman" w:eastAsia="仿宋_GB2312" w:cs="Times New Roman"/>
                <w:highlight w:val="none"/>
              </w:rPr>
            </w:pPr>
            <w:r>
              <w:rPr>
                <w:rFonts w:hint="eastAsia" w:ascii="Times New Roman" w:hAnsi="Times New Roman" w:eastAsia="仿宋_GB2312" w:cs="仿宋_GB2312"/>
                <w:sz w:val="21"/>
                <w:szCs w:val="21"/>
                <w:highlight w:val="none"/>
              </w:rPr>
              <w:t>迟滞</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分钟以上</w:t>
            </w:r>
            <w:r>
              <w:rPr>
                <w:rFonts w:ascii="Times New Roman" w:hAnsi="Times New Roman" w:eastAsia="仿宋_GB2312" w:cs="Times New Roman"/>
                <w:sz w:val="21"/>
                <w:szCs w:val="21"/>
                <w:highlight w:val="none"/>
              </w:rPr>
              <w:t>30</w:t>
            </w:r>
            <w:r>
              <w:rPr>
                <w:rFonts w:hint="eastAsia" w:ascii="Times New Roman" w:hAnsi="Times New Roman" w:eastAsia="仿宋_GB2312" w:cs="仿宋_GB2312"/>
                <w:sz w:val="21"/>
                <w:szCs w:val="21"/>
                <w:highlight w:val="none"/>
              </w:rPr>
              <w:t>分钟以内/提供非关键性假信息</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迟滞超过半小时</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阻碍或隐匿部分资料/提供假信息</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围堵、滞留执法人员或拒绝提供资料</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暴力抗法/伪造现场或证据</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805"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5156"/>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2"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805"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kern w:val="0"/>
                <w:highlight w:val="none"/>
              </w:rPr>
            </w:pPr>
            <w:r>
              <w:rPr>
                <w:rFonts w:hint="eastAsia" w:ascii="Times New Roman" w:hAnsi="Times New Roman" w:cs="宋体"/>
                <w:b/>
                <w:bCs/>
                <w:kern w:val="0"/>
                <w:highlight w:val="none"/>
              </w:rPr>
              <w:t>违法行为</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2" w:beforeLines="20"/>
              <w:ind w:firstLine="420" w:firstLineChars="200"/>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无许可证或者不按照许可证规定的种类和范围从事生产、销售、使用、转让、进口、贮存放射性同位素和射线装置以及装备有放射性同位素的仪表的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2" w:beforeLines="20" w:line="288" w:lineRule="auto"/>
              <w:ind w:firstLine="422" w:firstLineChars="200"/>
              <w:jc w:val="left"/>
              <w:rPr>
                <w:rFonts w:ascii="Times New Roman" w:hAnsi="Times New Roman" w:eastAsia="仿宋_GB2312" w:cs="Times New Roman"/>
                <w:kern w:val="0"/>
                <w:highlight w:val="none"/>
              </w:rPr>
            </w:pPr>
            <w:r>
              <w:rPr>
                <w:rFonts w:ascii="Times New Roman" w:hAnsi="Times New Roman" w:eastAsia="仿宋_GB2312" w:cs="Times New Roman"/>
                <w:b/>
                <w:bCs/>
                <w:kern w:val="0"/>
                <w:highlight w:val="none"/>
              </w:rPr>
              <w:t>1.</w:t>
            </w:r>
            <w:r>
              <w:rPr>
                <w:rFonts w:hint="eastAsia" w:ascii="Times New Roman" w:hAnsi="Times New Roman" w:eastAsia="仿宋_GB2312" w:cs="仿宋_GB2312"/>
                <w:b/>
                <w:bCs/>
                <w:kern w:val="0"/>
                <w:highlight w:val="none"/>
              </w:rPr>
              <w:t>《中华人民共和国放射性污染防治法》第二十八条</w:t>
            </w:r>
            <w:r>
              <w:rPr>
                <w:rFonts w:ascii="Times New Roman" w:hAnsi="Times New Roman" w:eastAsia="仿宋_GB2312" w:cs="Times New Roman"/>
                <w:b/>
                <w:bCs/>
                <w:kern w:val="0"/>
                <w:highlight w:val="none"/>
              </w:rPr>
              <w:t xml:space="preserve"> </w:t>
            </w:r>
            <w:r>
              <w:rPr>
                <w:rFonts w:hint="eastAsia" w:ascii="Times New Roman" w:hAnsi="Times New Roman" w:eastAsia="仿宋_GB2312" w:cs="仿宋_GB2312"/>
                <w:kern w:val="0"/>
                <w:highlight w:val="none"/>
              </w:rPr>
              <w:t>生产、销售、使用放射性同位素和射线装置的单位，应当按照国务院有关放射性同位素与射线装置放射防护的规定申请领取许可证，办理登记手续。</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88" w:lineRule="auto"/>
              <w:ind w:firstLine="420"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转让、进口放射性同位素和射线装置的单位以及装备有放射性同位素的仪表的单位，应当按照国务院有关放射性同位素与射线装置放射防护的规定办理有关手续。</w:t>
            </w:r>
          </w:p>
          <w:p>
            <w:pPr>
              <w:pStyle w:val="11"/>
              <w:snapToGrid w:val="0"/>
              <w:spacing w:line="288" w:lineRule="auto"/>
              <w:ind w:firstLine="420"/>
              <w:rPr>
                <w:rFonts w:ascii="Times New Roman" w:hAnsi="Times New Roman" w:eastAsia="仿宋_GB2312" w:cs="Times New Roman"/>
                <w:kern w:val="2"/>
                <w:sz w:val="21"/>
                <w:szCs w:val="21"/>
                <w:highlight w:val="none"/>
              </w:rPr>
            </w:pPr>
            <w:r>
              <w:rPr>
                <w:rFonts w:ascii="Times New Roman" w:hAnsi="Times New Roman" w:eastAsia="仿宋_GB2312" w:cs="Times New Roman"/>
                <w:b/>
                <w:bCs/>
                <w:highlight w:val="none"/>
              </w:rPr>
              <w:t>2.</w:t>
            </w:r>
            <w:r>
              <w:rPr>
                <w:rFonts w:hint="eastAsia" w:ascii="Times New Roman" w:hAnsi="Times New Roman" w:eastAsia="仿宋_GB2312" w:cs="仿宋_GB2312"/>
                <w:b/>
                <w:bCs/>
                <w:kern w:val="2"/>
                <w:sz w:val="21"/>
                <w:szCs w:val="21"/>
                <w:highlight w:val="none"/>
              </w:rPr>
              <w:t>《放射性同位素与射线装置安全和防护条例》第五条</w:t>
            </w:r>
            <w:r>
              <w:rPr>
                <w:rFonts w:ascii="Times New Roman" w:hAnsi="Times New Roman" w:eastAsia="仿宋_GB2312" w:cs="Times New Roman"/>
                <w:kern w:val="2"/>
                <w:sz w:val="21"/>
                <w:szCs w:val="21"/>
                <w:highlight w:val="none"/>
              </w:rPr>
              <w:t xml:space="preserve"> </w:t>
            </w:r>
            <w:r>
              <w:rPr>
                <w:rFonts w:hint="eastAsia" w:ascii="Times New Roman" w:hAnsi="Times New Roman" w:eastAsia="仿宋_GB2312" w:cs="仿宋_GB2312"/>
                <w:kern w:val="2"/>
                <w:sz w:val="21"/>
                <w:szCs w:val="21"/>
                <w:highlight w:val="none"/>
              </w:rPr>
              <w:t>生产、销售、使用放射性同位素和射线装置的单位，应当依照本章规定取得许可证。</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88" w:lineRule="auto"/>
              <w:ind w:firstLine="422" w:firstLineChars="200"/>
              <w:jc w:val="left"/>
              <w:rPr>
                <w:rFonts w:ascii="Times New Roman" w:hAnsi="Times New Roman" w:eastAsia="仿宋_GB2312" w:cs="Times New Roman"/>
                <w:highlight w:val="none"/>
              </w:rPr>
            </w:pPr>
            <w:r>
              <w:rPr>
                <w:rFonts w:hint="eastAsia" w:ascii="Times New Roman" w:hAnsi="Times New Roman" w:eastAsia="仿宋_GB2312" w:cs="仿宋_GB2312"/>
                <w:b/>
                <w:bCs/>
                <w:highlight w:val="none"/>
              </w:rPr>
              <w:t>第十五条第一款</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禁止无许可证或者不按照许可证规定的种类和范围从事放射性同位素和射线装置的生产、销售、使用活动。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805" w:type="dxa"/>
            <w:gridSpan w:val="2"/>
            <w:vAlign w:val="center"/>
          </w:tcPr>
          <w:p>
            <w:pPr>
              <w:widowControl/>
              <w:snapToGrid w:val="0"/>
              <w:spacing w:before="62" w:beforeLines="20" w:line="288" w:lineRule="auto"/>
              <w:ind w:firstLine="422" w:firstLineChars="200"/>
              <w:jc w:val="left"/>
              <w:rPr>
                <w:rFonts w:ascii="Times New Roman" w:hAnsi="Times New Roman" w:eastAsia="仿宋_GB2312" w:cs="Times New Roman"/>
                <w:kern w:val="0"/>
                <w:highlight w:val="none"/>
              </w:rPr>
            </w:pPr>
            <w:r>
              <w:rPr>
                <w:rFonts w:ascii="Times New Roman" w:hAnsi="Times New Roman" w:eastAsia="仿宋_GB2312" w:cs="Times New Roman"/>
                <w:b/>
                <w:bCs/>
                <w:kern w:val="0"/>
                <w:highlight w:val="none"/>
              </w:rPr>
              <w:t>1.</w:t>
            </w:r>
            <w:r>
              <w:rPr>
                <w:rFonts w:hint="eastAsia" w:ascii="Times New Roman" w:hAnsi="Times New Roman" w:eastAsia="仿宋_GB2312" w:cs="仿宋_GB2312"/>
                <w:b/>
                <w:bCs/>
                <w:kern w:val="0"/>
                <w:highlight w:val="none"/>
              </w:rPr>
              <w:t>《中华人民共和国放射性污染防治法》第五十三条</w:t>
            </w:r>
            <w:r>
              <w:rPr>
                <w:rFonts w:ascii="Times New Roman" w:hAnsi="Times New Roman" w:eastAsia="仿宋_GB2312" w:cs="Times New Roman"/>
                <w:b/>
                <w:bCs/>
                <w:kern w:val="0"/>
                <w:highlight w:val="none"/>
              </w:rPr>
              <w:t xml:space="preserve"> </w:t>
            </w:r>
            <w:r>
              <w:rPr>
                <w:rFonts w:hint="eastAsia" w:ascii="Times New Roman" w:hAnsi="Times New Roman" w:eastAsia="仿宋_GB2312" w:cs="仿宋_GB2312"/>
                <w:kern w:val="0"/>
                <w:highlight w:val="none"/>
              </w:rPr>
              <w:t>违反本法规定，生产、销售、使用、转让、进口、贮存放射性同位素和射线装置以及装备有放射性同位素的仪表的，由县级以上人民政府环境保护行政主管部门或者其他有关部门依据职权责令停止违法行为，限期改正；逾期不改正的，责令停产停业或者吊销许可证；有违法所得的，没收违法所得；违法所得十万元以上的，并处违法所得一倍以上五倍以下罚款；没有违法所得或者违法所得不足十万元的，并处一万元以上十万元以下罚款；构成犯罪的，依法追究刑事责任。</w:t>
            </w:r>
          </w:p>
          <w:p>
            <w:pPr>
              <w:pStyle w:val="11"/>
              <w:snapToGrid w:val="0"/>
              <w:spacing w:line="288" w:lineRule="auto"/>
              <w:ind w:firstLine="420"/>
              <w:rPr>
                <w:rFonts w:ascii="Times New Roman" w:hAnsi="Times New Roman" w:eastAsia="仿宋_GB2312" w:cs="Times New Roman"/>
                <w:kern w:val="2"/>
                <w:sz w:val="21"/>
                <w:szCs w:val="21"/>
                <w:highlight w:val="none"/>
              </w:rPr>
            </w:pPr>
            <w:r>
              <w:rPr>
                <w:rFonts w:ascii="Times New Roman" w:hAnsi="Times New Roman" w:eastAsia="仿宋_GB2312" w:cs="Times New Roman"/>
                <w:b/>
                <w:bCs/>
                <w:highlight w:val="none"/>
              </w:rPr>
              <w:t>2.</w:t>
            </w:r>
            <w:r>
              <w:rPr>
                <w:rFonts w:hint="eastAsia" w:ascii="Times New Roman" w:hAnsi="Times New Roman" w:eastAsia="仿宋_GB2312" w:cs="仿宋_GB2312"/>
                <w:b/>
                <w:bCs/>
                <w:kern w:val="2"/>
                <w:sz w:val="21"/>
                <w:szCs w:val="21"/>
                <w:highlight w:val="none"/>
              </w:rPr>
              <w:t>《放射性同位素与射线装置安全和防护条例》第五十二条第（一）、（二）项</w:t>
            </w:r>
            <w:r>
              <w:rPr>
                <w:rFonts w:ascii="Times New Roman" w:hAnsi="Times New Roman" w:eastAsia="仿宋_GB2312" w:cs="Times New Roman"/>
                <w:b/>
                <w:bCs/>
                <w:kern w:val="2"/>
                <w:sz w:val="21"/>
                <w:szCs w:val="21"/>
                <w:highlight w:val="none"/>
              </w:rPr>
              <w:t xml:space="preserve"> </w:t>
            </w:r>
            <w:r>
              <w:rPr>
                <w:rFonts w:hint="eastAsia" w:ascii="Times New Roman" w:hAnsi="Times New Roman" w:eastAsia="仿宋_GB2312" w:cs="仿宋_GB2312"/>
                <w:kern w:val="2"/>
                <w:sz w:val="21"/>
                <w:szCs w:val="21"/>
                <w:highlight w:val="none"/>
              </w:rPr>
              <w:t>违反本条例规定，生产、销售、使用放射性同位素和射线装置的单位有下列行为之一的，由县级以上人民政府生态环境主管部门责令停止违法行为，限期改正；逾期不改正的，责令停产停业或者由原发证机关吊销许可证；有违法所得的，没收违法所得；违法所得</w:t>
            </w:r>
            <w:r>
              <w:rPr>
                <w:rFonts w:ascii="Times New Roman" w:hAnsi="Times New Roman" w:eastAsia="仿宋_GB2312" w:cs="Times New Roman"/>
                <w:kern w:val="2"/>
                <w:sz w:val="21"/>
                <w:szCs w:val="21"/>
                <w:highlight w:val="none"/>
              </w:rPr>
              <w:t>10</w:t>
            </w:r>
            <w:r>
              <w:rPr>
                <w:rFonts w:hint="eastAsia" w:ascii="Times New Roman" w:hAnsi="Times New Roman" w:eastAsia="仿宋_GB2312" w:cs="仿宋_GB2312"/>
                <w:kern w:val="2"/>
                <w:sz w:val="21"/>
                <w:szCs w:val="21"/>
                <w:highlight w:val="none"/>
              </w:rPr>
              <w:t>万元以上的，并处违法所得</w:t>
            </w:r>
            <w:r>
              <w:rPr>
                <w:rFonts w:ascii="Times New Roman" w:hAnsi="Times New Roman" w:eastAsia="仿宋_GB2312" w:cs="Times New Roman"/>
                <w:kern w:val="2"/>
                <w:sz w:val="21"/>
                <w:szCs w:val="21"/>
                <w:highlight w:val="none"/>
              </w:rPr>
              <w:t>1</w:t>
            </w:r>
            <w:r>
              <w:rPr>
                <w:rFonts w:hint="eastAsia" w:ascii="Times New Roman" w:hAnsi="Times New Roman" w:eastAsia="仿宋_GB2312" w:cs="仿宋_GB2312"/>
                <w:kern w:val="2"/>
                <w:sz w:val="21"/>
                <w:szCs w:val="21"/>
                <w:highlight w:val="none"/>
              </w:rPr>
              <w:t>倍以上</w:t>
            </w:r>
            <w:r>
              <w:rPr>
                <w:rFonts w:ascii="Times New Roman" w:hAnsi="Times New Roman" w:eastAsia="仿宋_GB2312" w:cs="Times New Roman"/>
                <w:kern w:val="2"/>
                <w:sz w:val="21"/>
                <w:szCs w:val="21"/>
                <w:highlight w:val="none"/>
              </w:rPr>
              <w:t>5</w:t>
            </w:r>
            <w:r>
              <w:rPr>
                <w:rFonts w:hint="eastAsia" w:ascii="Times New Roman" w:hAnsi="Times New Roman" w:eastAsia="仿宋_GB2312" w:cs="仿宋_GB2312"/>
                <w:kern w:val="2"/>
                <w:sz w:val="21"/>
                <w:szCs w:val="21"/>
                <w:highlight w:val="none"/>
              </w:rPr>
              <w:t>倍以下的罚款；没有违法所得或者违法所得不足</w:t>
            </w:r>
            <w:r>
              <w:rPr>
                <w:rFonts w:ascii="Times New Roman" w:hAnsi="Times New Roman" w:eastAsia="仿宋_GB2312" w:cs="Times New Roman"/>
                <w:kern w:val="2"/>
                <w:sz w:val="21"/>
                <w:szCs w:val="21"/>
                <w:highlight w:val="none"/>
              </w:rPr>
              <w:t>10</w:t>
            </w:r>
            <w:r>
              <w:rPr>
                <w:rFonts w:hint="eastAsia" w:ascii="Times New Roman" w:hAnsi="Times New Roman" w:eastAsia="仿宋_GB2312" w:cs="仿宋_GB2312"/>
                <w:kern w:val="2"/>
                <w:sz w:val="21"/>
                <w:szCs w:val="21"/>
                <w:highlight w:val="none"/>
              </w:rPr>
              <w:t>万元的，并处</w:t>
            </w:r>
            <w:r>
              <w:rPr>
                <w:rFonts w:ascii="Times New Roman" w:hAnsi="Times New Roman" w:eastAsia="仿宋_GB2312" w:cs="Times New Roman"/>
                <w:kern w:val="2"/>
                <w:sz w:val="21"/>
                <w:szCs w:val="21"/>
                <w:highlight w:val="none"/>
              </w:rPr>
              <w:t>1</w:t>
            </w:r>
            <w:r>
              <w:rPr>
                <w:rFonts w:hint="eastAsia" w:ascii="Times New Roman" w:hAnsi="Times New Roman" w:eastAsia="仿宋_GB2312" w:cs="仿宋_GB2312"/>
                <w:kern w:val="2"/>
                <w:sz w:val="21"/>
                <w:szCs w:val="21"/>
                <w:highlight w:val="none"/>
              </w:rPr>
              <w:t>万元以上</w:t>
            </w:r>
            <w:r>
              <w:rPr>
                <w:rFonts w:ascii="Times New Roman" w:hAnsi="Times New Roman" w:eastAsia="仿宋_GB2312" w:cs="Times New Roman"/>
                <w:kern w:val="2"/>
                <w:sz w:val="21"/>
                <w:szCs w:val="21"/>
                <w:highlight w:val="none"/>
              </w:rPr>
              <w:t>10</w:t>
            </w:r>
            <w:r>
              <w:rPr>
                <w:rFonts w:hint="eastAsia" w:ascii="Times New Roman" w:hAnsi="Times New Roman" w:eastAsia="仿宋_GB2312" w:cs="仿宋_GB2312"/>
                <w:kern w:val="2"/>
                <w:sz w:val="21"/>
                <w:szCs w:val="21"/>
                <w:highlight w:val="none"/>
              </w:rPr>
              <w:t>万元以下的罚款：</w:t>
            </w:r>
          </w:p>
          <w:p>
            <w:pPr>
              <w:widowControl/>
              <w:snapToGrid w:val="0"/>
              <w:spacing w:line="288" w:lineRule="auto"/>
              <w:ind w:firstLine="420"/>
              <w:jc w:val="left"/>
              <w:rPr>
                <w:rFonts w:ascii="Times New Roman" w:hAnsi="Times New Roman" w:eastAsia="仿宋_GB2312" w:cs="Times New Roman"/>
                <w:highlight w:val="none"/>
              </w:rPr>
            </w:pPr>
            <w:r>
              <w:rPr>
                <w:rFonts w:hint="eastAsia" w:ascii="Times New Roman" w:hAnsi="Times New Roman" w:eastAsia="仿宋_GB2312" w:cs="仿宋_GB2312"/>
                <w:highlight w:val="none"/>
              </w:rPr>
              <w:t>（一）无许可证从事放射性同位素和射线装置生产、销售、使用活动的；</w:t>
            </w:r>
          </w:p>
          <w:p>
            <w:pPr>
              <w:widowControl/>
              <w:snapToGrid w:val="0"/>
              <w:spacing w:line="288" w:lineRule="auto"/>
              <w:ind w:firstLine="420"/>
              <w:jc w:val="left"/>
              <w:rPr>
                <w:rFonts w:ascii="Times New Roman" w:hAnsi="Times New Roman" w:eastAsia="仿宋_GB2312" w:cs="Times New Roman"/>
                <w:kern w:val="0"/>
                <w:highlight w:val="none"/>
              </w:rPr>
            </w:pPr>
            <w:r>
              <w:rPr>
                <w:rFonts w:hint="eastAsia" w:ascii="Times New Roman" w:hAnsi="Times New Roman" w:eastAsia="仿宋_GB2312" w:cs="仿宋_GB2312"/>
                <w:highlight w:val="none"/>
              </w:rPr>
              <w:t>（二）未按照许可证的规定从事放射性同位素和射线装置生产、销售、使用活动的。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15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4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jc w:val="center"/>
              <w:rPr>
                <w:rFonts w:ascii="Times New Roman" w:hAnsi="Times New Roman" w:cs="宋体"/>
                <w:b/>
                <w:bCs/>
                <w:highlight w:val="none"/>
              </w:rPr>
            </w:pPr>
            <w:r>
              <w:rPr>
                <w:rFonts w:hint="eastAsia" w:ascii="Times New Roman" w:hAnsi="Times New Roman" w:cs="宋体"/>
                <w:b/>
                <w:bCs/>
                <w:highlight w:val="none"/>
              </w:rPr>
              <w:t>违法所得不足</w:t>
            </w:r>
            <w:r>
              <w:rPr>
                <w:rFonts w:ascii="Times New Roman" w:hAnsi="Times New Roman" w:cs="Times New Roman"/>
                <w:b/>
                <w:bCs/>
                <w:highlight w:val="none"/>
              </w:rPr>
              <w:t>10</w:t>
            </w:r>
            <w:r>
              <w:rPr>
                <w:rFonts w:hint="eastAsia" w:ascii="Times New Roman" w:hAnsi="Times New Roman" w:cs="宋体"/>
                <w:b/>
                <w:bCs/>
                <w:highlight w:val="none"/>
              </w:rPr>
              <w:t>万元</w:t>
            </w:r>
            <w:r>
              <w:rPr>
                <w:rFonts w:hint="eastAsia" w:ascii="Times New Roman" w:hAnsi="Times New Roman" w:cs="宋体"/>
                <w:b/>
                <w:bCs/>
                <w:color w:val="000000"/>
                <w:highlight w:val="none"/>
              </w:rPr>
              <w:t>★</w:t>
            </w:r>
          </w:p>
        </w:tc>
        <w:tc>
          <w:tcPr>
            <w:tcW w:w="5156" w:type="dxa"/>
            <w:vAlign w:val="center"/>
          </w:tcPr>
          <w:p>
            <w:pPr>
              <w:widowControl/>
              <w:snapToGrid w:val="0"/>
              <w:jc w:val="center"/>
              <w:rPr>
                <w:rFonts w:ascii="Times New Roman" w:hAnsi="Times New Roman" w:cs="宋体"/>
                <w:b/>
                <w:bCs/>
                <w:highlight w:val="none"/>
              </w:rPr>
            </w:pPr>
            <w:r>
              <w:rPr>
                <w:rFonts w:hint="eastAsia" w:ascii="Times New Roman" w:hAnsi="Times New Roman" w:eastAsia="仿宋_GB2312" w:cs="仿宋_GB2312"/>
                <w:highlight w:val="none"/>
              </w:rPr>
              <w:t>无违法所得</w:t>
            </w:r>
          </w:p>
        </w:tc>
        <w:tc>
          <w:tcPr>
            <w:tcW w:w="2649" w:type="dxa"/>
            <w:vAlign w:val="center"/>
          </w:tcPr>
          <w:p>
            <w:pPr>
              <w:snapToGrid w:val="0"/>
              <w:jc w:val="center"/>
              <w:rPr>
                <w:rFonts w:ascii="Times New Roman" w:hAnsi="Times New Roman" w:cs="宋体"/>
                <w:b/>
                <w:bCs/>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宋体"/>
                <w:b/>
                <w:bCs/>
                <w:highlight w:val="none"/>
              </w:rPr>
            </w:pPr>
          </w:p>
        </w:tc>
        <w:tc>
          <w:tcPr>
            <w:tcW w:w="5156" w:type="dxa"/>
            <w:vAlign w:val="center"/>
          </w:tcPr>
          <w:p>
            <w:pPr>
              <w:snapToGrid w:val="0"/>
              <w:jc w:val="center"/>
              <w:rPr>
                <w:rFonts w:ascii="Times New Roman" w:hAnsi="Times New Roman" w:cs="宋体"/>
                <w:b/>
                <w:bCs/>
                <w:highlight w:val="none"/>
              </w:rPr>
            </w:pPr>
            <w:r>
              <w:rPr>
                <w:rFonts w:hint="eastAsia" w:ascii="Times New Roman" w:hAnsi="Times New Roman" w:eastAsia="仿宋_GB2312" w:cs="仿宋_GB2312"/>
                <w:highlight w:val="none"/>
              </w:rPr>
              <w:t>违法所得不足</w:t>
            </w:r>
            <w:r>
              <w:rPr>
                <w:rFonts w:ascii="Times New Roman" w:hAnsi="Times New Roman" w:eastAsia="仿宋_GB2312" w:cs="Times New Roman"/>
                <w:kern w:val="0"/>
                <w:highlight w:val="none"/>
              </w:rPr>
              <w:t>5</w:t>
            </w:r>
            <w:r>
              <w:rPr>
                <w:rFonts w:hint="eastAsia" w:ascii="Times New Roman" w:hAnsi="Times New Roman" w:eastAsia="仿宋_GB2312" w:cs="仿宋_GB2312"/>
                <w:kern w:val="0"/>
                <w:highlight w:val="none"/>
              </w:rPr>
              <w:t>万元</w:t>
            </w:r>
          </w:p>
        </w:tc>
        <w:tc>
          <w:tcPr>
            <w:tcW w:w="2649" w:type="dxa"/>
            <w:vAlign w:val="center"/>
          </w:tcPr>
          <w:p>
            <w:pPr>
              <w:snapToGrid w:val="0"/>
              <w:jc w:val="center"/>
              <w:rPr>
                <w:rFonts w:ascii="Times New Roman" w:hAnsi="Times New Roman" w:cs="宋体"/>
                <w:b/>
                <w:bCs/>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宋体"/>
                <w:b/>
                <w:bCs/>
                <w:highlight w:val="none"/>
              </w:rPr>
            </w:pPr>
          </w:p>
        </w:tc>
        <w:tc>
          <w:tcPr>
            <w:tcW w:w="5156" w:type="dxa"/>
            <w:vAlign w:val="center"/>
          </w:tcPr>
          <w:p>
            <w:pPr>
              <w:snapToGrid w:val="0"/>
              <w:jc w:val="center"/>
              <w:rPr>
                <w:rFonts w:ascii="Times New Roman" w:hAnsi="Times New Roman" w:cs="宋体"/>
                <w:b/>
                <w:bCs/>
                <w:highlight w:val="none"/>
              </w:rPr>
            </w:pPr>
            <w:r>
              <w:rPr>
                <w:rFonts w:hint="eastAsia" w:ascii="Times New Roman" w:hAnsi="Times New Roman" w:eastAsia="仿宋_GB2312" w:cs="仿宋_GB2312"/>
                <w:highlight w:val="none"/>
              </w:rPr>
              <w:t>违法所得</w:t>
            </w:r>
            <w:r>
              <w:rPr>
                <w:rFonts w:ascii="Times New Roman" w:hAnsi="Times New Roman" w:eastAsia="仿宋_GB2312" w:cs="Times New Roman"/>
                <w:kern w:val="0"/>
                <w:highlight w:val="none"/>
              </w:rPr>
              <w:t>5-10</w:t>
            </w:r>
            <w:r>
              <w:rPr>
                <w:rFonts w:hint="eastAsia" w:ascii="Times New Roman" w:hAnsi="Times New Roman" w:eastAsia="仿宋_GB2312" w:cs="仿宋_GB2312"/>
                <w:kern w:val="0"/>
                <w:highlight w:val="none"/>
              </w:rPr>
              <w:t>万元</w:t>
            </w:r>
          </w:p>
        </w:tc>
        <w:tc>
          <w:tcPr>
            <w:tcW w:w="2649" w:type="dxa"/>
            <w:vAlign w:val="center"/>
          </w:tcPr>
          <w:p>
            <w:pPr>
              <w:snapToGrid w:val="0"/>
              <w:jc w:val="center"/>
              <w:rPr>
                <w:rFonts w:ascii="Times New Roman" w:hAnsi="Times New Roman" w:cs="宋体"/>
                <w:b/>
                <w:bCs/>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违法所得</w:t>
            </w:r>
            <w:r>
              <w:rPr>
                <w:rFonts w:ascii="Times New Roman" w:hAnsi="Times New Roman" w:cs="Times New Roman"/>
                <w:b/>
                <w:bCs/>
                <w:highlight w:val="none"/>
              </w:rPr>
              <w:t>10</w:t>
            </w:r>
            <w:r>
              <w:rPr>
                <w:rFonts w:hint="eastAsia" w:ascii="Times New Roman" w:hAnsi="Times New Roman" w:cs="宋体"/>
                <w:b/>
                <w:bCs/>
                <w:highlight w:val="none"/>
              </w:rPr>
              <w:t>万元</w:t>
            </w:r>
          </w:p>
          <w:p>
            <w:pPr>
              <w:snapToGrid w:val="0"/>
              <w:jc w:val="center"/>
              <w:rPr>
                <w:rFonts w:ascii="Times New Roman" w:hAnsi="Times New Roman" w:cs="宋体"/>
                <w:b/>
                <w:bCs/>
                <w:highlight w:val="none"/>
              </w:rPr>
            </w:pPr>
            <w:r>
              <w:rPr>
                <w:rFonts w:hint="eastAsia" w:ascii="Times New Roman" w:hAnsi="Times New Roman" w:cs="宋体"/>
                <w:b/>
                <w:bCs/>
                <w:highlight w:val="none"/>
              </w:rPr>
              <w:t>以上</w:t>
            </w:r>
            <w:r>
              <w:rPr>
                <w:rFonts w:hint="eastAsia" w:ascii="Times New Roman" w:hAnsi="Times New Roman" w:cs="宋体"/>
                <w:b/>
                <w:bCs/>
                <w:color w:val="000000"/>
                <w:highlight w:val="none"/>
              </w:rPr>
              <w:t>★</w:t>
            </w:r>
          </w:p>
        </w:tc>
        <w:tc>
          <w:tcPr>
            <w:tcW w:w="5156" w:type="dxa"/>
            <w:vAlign w:val="center"/>
          </w:tcPr>
          <w:p>
            <w:pPr>
              <w:widowControl/>
              <w:snapToGrid w:val="0"/>
              <w:jc w:val="center"/>
              <w:rPr>
                <w:rFonts w:ascii="Times New Roman" w:hAnsi="Times New Roman" w:cs="宋体"/>
                <w:b/>
                <w:bCs/>
                <w:highlight w:val="none"/>
              </w:rPr>
            </w:pPr>
            <w:r>
              <w:rPr>
                <w:rFonts w:hint="eastAsia" w:ascii="Times New Roman" w:hAnsi="Times New Roman" w:eastAsia="仿宋_GB2312" w:cs="仿宋_GB2312"/>
                <w:highlight w:val="none"/>
              </w:rPr>
              <w:t>违法所得</w:t>
            </w:r>
            <w:r>
              <w:rPr>
                <w:rFonts w:ascii="Times New Roman" w:hAnsi="Times New Roman" w:eastAsia="仿宋_GB2312" w:cs="Times New Roman"/>
                <w:kern w:val="0"/>
                <w:highlight w:val="none"/>
              </w:rPr>
              <w:t>10-20</w:t>
            </w:r>
            <w:r>
              <w:rPr>
                <w:rFonts w:hint="eastAsia" w:ascii="Times New Roman" w:hAnsi="Times New Roman" w:eastAsia="仿宋_GB2312" w:cs="仿宋_GB2312"/>
                <w:kern w:val="0"/>
                <w:highlight w:val="none"/>
              </w:rPr>
              <w:t>万元</w:t>
            </w:r>
          </w:p>
        </w:tc>
        <w:tc>
          <w:tcPr>
            <w:tcW w:w="2649" w:type="dxa"/>
            <w:vAlign w:val="center"/>
          </w:tcPr>
          <w:p>
            <w:pPr>
              <w:snapToGrid w:val="0"/>
              <w:jc w:val="center"/>
              <w:rPr>
                <w:rFonts w:ascii="Times New Roman" w:hAnsi="Times New Roman" w:cs="宋体"/>
                <w:b/>
                <w:bCs/>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宋体"/>
                <w:b/>
                <w:bCs/>
                <w:highlight w:val="none"/>
              </w:rPr>
            </w:pPr>
          </w:p>
        </w:tc>
        <w:tc>
          <w:tcPr>
            <w:tcW w:w="5156" w:type="dxa"/>
            <w:vAlign w:val="center"/>
          </w:tcPr>
          <w:p>
            <w:pPr>
              <w:snapToGrid w:val="0"/>
              <w:jc w:val="center"/>
              <w:rPr>
                <w:rFonts w:ascii="Times New Roman" w:hAnsi="Times New Roman" w:cs="宋体"/>
                <w:b/>
                <w:bCs/>
                <w:highlight w:val="none"/>
              </w:rPr>
            </w:pPr>
            <w:r>
              <w:rPr>
                <w:rFonts w:hint="eastAsia" w:ascii="Times New Roman" w:hAnsi="Times New Roman" w:eastAsia="仿宋_GB2312" w:cs="仿宋_GB2312"/>
                <w:highlight w:val="none"/>
              </w:rPr>
              <w:t>违法所得</w:t>
            </w:r>
            <w:r>
              <w:rPr>
                <w:rFonts w:ascii="Times New Roman" w:hAnsi="Times New Roman" w:eastAsia="仿宋_GB2312" w:cs="Times New Roman"/>
                <w:kern w:val="0"/>
                <w:highlight w:val="none"/>
              </w:rPr>
              <w:t>20-40</w:t>
            </w:r>
            <w:r>
              <w:rPr>
                <w:rFonts w:hint="eastAsia" w:ascii="Times New Roman" w:hAnsi="Times New Roman" w:eastAsia="仿宋_GB2312" w:cs="仿宋_GB2312"/>
                <w:kern w:val="0"/>
                <w:highlight w:val="none"/>
              </w:rPr>
              <w:t>万元</w:t>
            </w:r>
          </w:p>
        </w:tc>
        <w:tc>
          <w:tcPr>
            <w:tcW w:w="2649" w:type="dxa"/>
            <w:vAlign w:val="center"/>
          </w:tcPr>
          <w:p>
            <w:pPr>
              <w:snapToGrid w:val="0"/>
              <w:jc w:val="center"/>
              <w:rPr>
                <w:rFonts w:ascii="Times New Roman" w:hAnsi="Times New Roman" w:cs="宋体"/>
                <w:b/>
                <w:bCs/>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宋体"/>
                <w:b/>
                <w:bCs/>
                <w:highlight w:val="none"/>
              </w:rPr>
            </w:pPr>
          </w:p>
        </w:tc>
        <w:tc>
          <w:tcPr>
            <w:tcW w:w="5156" w:type="dxa"/>
            <w:vAlign w:val="center"/>
          </w:tcPr>
          <w:p>
            <w:pPr>
              <w:snapToGrid w:val="0"/>
              <w:jc w:val="center"/>
              <w:rPr>
                <w:rFonts w:ascii="Times New Roman" w:hAnsi="Times New Roman" w:cs="宋体"/>
                <w:b/>
                <w:bCs/>
                <w:highlight w:val="none"/>
              </w:rPr>
            </w:pPr>
            <w:r>
              <w:rPr>
                <w:rFonts w:hint="eastAsia" w:ascii="Times New Roman" w:hAnsi="Times New Roman" w:eastAsia="仿宋_GB2312" w:cs="仿宋_GB2312"/>
                <w:highlight w:val="none"/>
              </w:rPr>
              <w:t>违法所得</w:t>
            </w:r>
            <w:r>
              <w:rPr>
                <w:rFonts w:ascii="Times New Roman" w:hAnsi="Times New Roman" w:eastAsia="仿宋_GB2312" w:cs="Times New Roman"/>
                <w:highlight w:val="none"/>
              </w:rPr>
              <w:t>40</w:t>
            </w:r>
            <w:r>
              <w:rPr>
                <w:rFonts w:hint="eastAsia" w:ascii="Times New Roman" w:hAnsi="Times New Roman" w:eastAsia="仿宋_GB2312" w:cs="仿宋_GB2312"/>
                <w:highlight w:val="none"/>
              </w:rPr>
              <w:t>万元以上</w:t>
            </w:r>
          </w:p>
        </w:tc>
        <w:tc>
          <w:tcPr>
            <w:tcW w:w="2649" w:type="dxa"/>
            <w:vAlign w:val="center"/>
          </w:tcPr>
          <w:p>
            <w:pPr>
              <w:snapToGrid w:val="0"/>
              <w:jc w:val="center"/>
              <w:rPr>
                <w:rFonts w:ascii="Times New Roman" w:hAnsi="Times New Roman" w:cs="宋体"/>
                <w:b/>
                <w:bCs/>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涉及放射种类</w:t>
            </w:r>
          </w:p>
        </w:tc>
        <w:tc>
          <w:tcPr>
            <w:tcW w:w="5156"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Ⅳ</w:t>
            </w:r>
            <w:r>
              <w:rPr>
                <w:rFonts w:hint="eastAsia" w:ascii="Times New Roman" w:hAnsi="Times New Roman" w:eastAsia="仿宋_GB2312" w:cs="仿宋_GB2312"/>
                <w:highlight w:val="none"/>
              </w:rPr>
              <w:t>类、</w:t>
            </w:r>
            <w:r>
              <w:rPr>
                <w:rFonts w:hint="eastAsia" w:ascii="宋体" w:hAnsi="宋体" w:cs="宋体"/>
                <w:highlight w:val="none"/>
              </w:rPr>
              <w:t>Ⅴ</w:t>
            </w:r>
            <w:r>
              <w:rPr>
                <w:rFonts w:hint="eastAsia" w:ascii="Times New Roman" w:hAnsi="Times New Roman" w:eastAsia="仿宋_GB2312" w:cs="仿宋_GB2312"/>
                <w:highlight w:val="none"/>
              </w:rPr>
              <w:t>类放射源或</w:t>
            </w:r>
            <w:r>
              <w:rPr>
                <w:rFonts w:hint="eastAsia" w:ascii="宋体" w:hAnsi="宋体" w:cs="宋体"/>
                <w:highlight w:val="none"/>
              </w:rPr>
              <w:t>Ⅲ</w:t>
            </w:r>
            <w:r>
              <w:rPr>
                <w:rFonts w:hint="eastAsia" w:ascii="Times New Roman" w:hAnsi="Times New Roman" w:eastAsia="仿宋_GB2312" w:cs="仿宋_GB2312"/>
                <w:highlight w:val="none"/>
              </w:rPr>
              <w:t>类射线装置的</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Ⅲ</w:t>
            </w:r>
            <w:r>
              <w:rPr>
                <w:rFonts w:hint="eastAsia" w:ascii="Times New Roman" w:hAnsi="Times New Roman" w:eastAsia="仿宋_GB2312" w:cs="仿宋_GB2312"/>
                <w:highlight w:val="none"/>
              </w:rPr>
              <w:t>类放射源或</w:t>
            </w:r>
            <w:r>
              <w:rPr>
                <w:rFonts w:hint="eastAsia" w:ascii="宋体" w:hAnsi="宋体" w:cs="宋体"/>
                <w:highlight w:val="none"/>
              </w:rPr>
              <w:t>Ⅱ</w:t>
            </w:r>
            <w:r>
              <w:rPr>
                <w:rFonts w:hint="eastAsia" w:ascii="Times New Roman" w:hAnsi="Times New Roman" w:eastAsia="仿宋_GB2312" w:cs="仿宋_GB2312"/>
                <w:highlight w:val="none"/>
              </w:rPr>
              <w:t>类射线装置的</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Ⅰ</w:t>
            </w:r>
            <w:r>
              <w:rPr>
                <w:rFonts w:hint="eastAsia" w:ascii="Times New Roman" w:hAnsi="Times New Roman" w:eastAsia="仿宋_GB2312" w:cs="仿宋_GB2312"/>
                <w:highlight w:val="none"/>
              </w:rPr>
              <w:t>类、</w:t>
            </w:r>
            <w:r>
              <w:rPr>
                <w:rFonts w:hint="eastAsia" w:ascii="宋体" w:hAnsi="宋体" w:cs="宋体"/>
                <w:highlight w:val="none"/>
              </w:rPr>
              <w:t>Ⅱ</w:t>
            </w:r>
            <w:r>
              <w:rPr>
                <w:rFonts w:hint="eastAsia" w:ascii="Times New Roman" w:hAnsi="Times New Roman" w:eastAsia="仿宋_GB2312" w:cs="仿宋_GB2312"/>
                <w:highlight w:val="none"/>
              </w:rPr>
              <w:t>类放射源或</w:t>
            </w:r>
            <w:r>
              <w:rPr>
                <w:rFonts w:hint="eastAsia" w:ascii="宋体" w:hAnsi="宋体" w:cs="宋体"/>
                <w:highlight w:val="none"/>
              </w:rPr>
              <w:t>Ⅰ</w:t>
            </w:r>
            <w:r>
              <w:rPr>
                <w:rFonts w:hint="eastAsia" w:ascii="Times New Roman" w:hAnsi="Times New Roman" w:eastAsia="仿宋_GB2312" w:cs="仿宋_GB2312"/>
                <w:highlight w:val="none"/>
              </w:rPr>
              <w:t>类射线装置的</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非密封放射性物质工作场所分类</w:t>
            </w: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丙级工作场所</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widowControl/>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乙级工作场所</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widowControl/>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甲级工作场所</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工作场所防护情况</w:t>
            </w: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有防护措施</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有防护措施但不完备</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无防护措施</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color w:val="000000"/>
                <w:highlight w:val="none"/>
              </w:rPr>
              <w:t>违法持续时间</w:t>
            </w:r>
          </w:p>
        </w:tc>
        <w:tc>
          <w:tcPr>
            <w:tcW w:w="5156"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个月以内的</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b/>
                <w:bCs/>
                <w:highlight w:val="none"/>
              </w:rPr>
            </w:pPr>
            <w:r>
              <w:rPr>
                <w:rFonts w:hint="eastAsia" w:ascii="Times New Roman" w:hAnsi="Times New Roman" w:eastAsia="仿宋_GB2312" w:cs="仿宋_GB2312"/>
                <w:color w:val="000000"/>
                <w:highlight w:val="none"/>
              </w:rPr>
              <w:t>超过</w:t>
            </w: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个月并且在</w:t>
            </w: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个月以内的</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b/>
                <w:bCs/>
                <w:highlight w:val="none"/>
              </w:rPr>
            </w:pPr>
            <w:r>
              <w:rPr>
                <w:rFonts w:hint="eastAsia" w:ascii="Times New Roman" w:hAnsi="Times New Roman" w:eastAsia="仿宋_GB2312" w:cs="仿宋_GB2312"/>
                <w:color w:val="000000"/>
                <w:highlight w:val="none"/>
              </w:rPr>
              <w:t>超过</w:t>
            </w: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个月并且在</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年以内的</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b/>
                <w:bCs/>
                <w:highlight w:val="none"/>
              </w:rPr>
            </w:pPr>
            <w:r>
              <w:rPr>
                <w:rFonts w:hint="eastAsia" w:ascii="Times New Roman" w:hAnsi="Times New Roman" w:eastAsia="仿宋_GB2312" w:cs="仿宋_GB2312"/>
                <w:color w:val="000000"/>
                <w:highlight w:val="none"/>
              </w:rPr>
              <w:t>超过</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年并且在</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年以内的</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b/>
                <w:bCs/>
                <w:highlight w:val="none"/>
              </w:rPr>
            </w:pP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年以上</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805" w:type="dxa"/>
            <w:gridSpan w:val="2"/>
            <w:vAlign w:val="center"/>
          </w:tcPr>
          <w:p>
            <w:pPr>
              <w:snapToGrid w:val="0"/>
              <w:ind w:firstLine="420"/>
              <w:rPr>
                <w:rFonts w:ascii="Times New Roman" w:hAnsi="Times New Roman" w:cs="Times New Roman"/>
                <w:color w:val="000000"/>
                <w:highlight w:val="none"/>
              </w:rPr>
            </w:pPr>
            <w:r>
              <w:rPr>
                <w:rFonts w:hint="eastAsia" w:ascii="Times New Roman" w:hAnsi="Times New Roman" w:eastAsia="仿宋_GB2312" w:cs="仿宋_GB2312"/>
                <w:color w:val="000000"/>
                <w:highlight w:val="none"/>
              </w:rPr>
              <w:t>对于</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违法所得</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万元以上</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的情形，法定处罚金额上限</w:t>
            </w:r>
            <w:r>
              <w:rPr>
                <w:rFonts w:ascii="Times New Roman" w:hAnsi="Times New Roman" w:eastAsia="仿宋_GB2312" w:cs="Times New Roman"/>
                <w:color w:val="000000"/>
                <w:highlight w:val="none"/>
              </w:rPr>
              <w:t>M=</w:t>
            </w:r>
            <w:r>
              <w:rPr>
                <w:rFonts w:hint="eastAsia" w:ascii="Times New Roman" w:hAnsi="Times New Roman" w:eastAsia="仿宋_GB2312" w:cs="仿宋_GB2312"/>
                <w:color w:val="000000"/>
                <w:highlight w:val="none"/>
              </w:rPr>
              <w:t>违法所得</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，法定处罚金额下限</w:t>
            </w:r>
            <w:r>
              <w:rPr>
                <w:rFonts w:ascii="Times New Roman" w:hAnsi="Times New Roman" w:eastAsia="仿宋_GB2312" w:cs="Times New Roman"/>
                <w:color w:val="000000"/>
                <w:highlight w:val="none"/>
              </w:rPr>
              <w:t>N=</w:t>
            </w:r>
            <w:r>
              <w:rPr>
                <w:rFonts w:hint="eastAsia" w:ascii="Times New Roman" w:hAnsi="Times New Roman" w:eastAsia="仿宋_GB2312" w:cs="仿宋_GB2312"/>
                <w:color w:val="000000"/>
                <w:highlight w:val="none"/>
              </w:rPr>
              <w:t>违法所得</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w:t>
            </w: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5156"/>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2"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805"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kern w:val="0"/>
                <w:highlight w:val="none"/>
              </w:rPr>
            </w:pPr>
            <w:r>
              <w:rPr>
                <w:rFonts w:hint="eastAsia" w:ascii="Times New Roman" w:hAnsi="Times New Roman" w:cs="宋体"/>
                <w:b/>
                <w:bCs/>
                <w:kern w:val="0"/>
                <w:highlight w:val="none"/>
              </w:rPr>
              <w:t>违法行为</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2" w:beforeLines="20" w:line="288" w:lineRule="auto"/>
              <w:ind w:firstLine="420" w:firstLineChars="200"/>
              <w:rPr>
                <w:rFonts w:ascii="Times New Roman" w:hAnsi="Times New Roman" w:eastAsia="仿宋_GB2312" w:cs="Times New Roman"/>
                <w:color w:val="000000"/>
                <w:kern w:val="0"/>
                <w:highlight w:val="none"/>
              </w:rPr>
            </w:pPr>
            <w:r>
              <w:rPr>
                <w:rFonts w:hint="eastAsia" w:ascii="Times New Roman" w:hAnsi="Times New Roman" w:eastAsia="仿宋_GB2312" w:cs="仿宋_GB2312"/>
                <w:color w:val="000000"/>
                <w:kern w:val="0"/>
                <w:highlight w:val="none"/>
              </w:rPr>
              <w:t>未建造尾矿库或者不按照放射性污染防治的要求建造尾矿库，贮存、处置铀（钍）矿和伴生放射性矿的尾矿的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2" w:beforeLines="20" w:line="288" w:lineRule="auto"/>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《中华人民共和国放射性污染防治法》第三十七条</w:t>
            </w:r>
            <w:r>
              <w:rPr>
                <w:rFonts w:ascii="Times New Roman" w:hAnsi="Times New Roman" w:eastAsia="仿宋_GB2312" w:cs="Times New Roman"/>
                <w:b/>
                <w:bCs/>
                <w:kern w:val="0"/>
                <w:highlight w:val="none"/>
              </w:rPr>
              <w:t xml:space="preserve"> </w:t>
            </w:r>
            <w:r>
              <w:rPr>
                <w:rFonts w:hint="eastAsia" w:ascii="Times New Roman" w:hAnsi="Times New Roman" w:eastAsia="仿宋_GB2312" w:cs="仿宋_GB2312"/>
                <w:kern w:val="0"/>
                <w:highlight w:val="none"/>
              </w:rPr>
              <w:t>对铀（钍）矿和伴生放射性矿开发利用过程中产生的尾矿，应当建造尾矿库进行贮存、处置；建造的尾矿库应当符合放射性污染防治的要求。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805" w:type="dxa"/>
            <w:gridSpan w:val="2"/>
            <w:vAlign w:val="center"/>
          </w:tcPr>
          <w:p>
            <w:pPr>
              <w:widowControl/>
              <w:snapToGrid w:val="0"/>
              <w:spacing w:before="62" w:beforeLines="20" w:line="288" w:lineRule="auto"/>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《中华人民共和国放射性污染防治法》第五十四条第（一）项</w:t>
            </w:r>
            <w:r>
              <w:rPr>
                <w:rFonts w:ascii="Times New Roman" w:hAnsi="Times New Roman" w:eastAsia="仿宋_GB2312" w:cs="Times New Roman"/>
                <w:b/>
                <w:bCs/>
                <w:kern w:val="0"/>
                <w:highlight w:val="none"/>
              </w:rPr>
              <w:t xml:space="preserve"> </w:t>
            </w:r>
            <w:r>
              <w:rPr>
                <w:rFonts w:hint="eastAsia" w:ascii="Times New Roman" w:hAnsi="Times New Roman" w:eastAsia="仿宋_GB2312" w:cs="仿宋_GB2312"/>
                <w:kern w:val="0"/>
                <w:highlight w:val="none"/>
              </w:rPr>
              <w:t>违反本法规定，有下列行为之一的，由县级以上人民政府环境保护行政主管部门责令停止违法行为，限期改正，处以罚款；构成犯罪的，依法追究刑事责任：</w:t>
            </w:r>
          </w:p>
          <w:p>
            <w:pPr>
              <w:widowControl/>
              <w:snapToGrid w:val="0"/>
              <w:spacing w:line="288" w:lineRule="auto"/>
              <w:ind w:firstLine="420"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（一）未建造尾矿库或者不按照放射性污染防治的要求建造尾矿库，贮存、处置铀（钍）矿和伴生放射性矿的尾矿的。</w:t>
            </w:r>
          </w:p>
          <w:p>
            <w:pPr>
              <w:widowControl/>
              <w:snapToGrid w:val="0"/>
              <w:spacing w:line="288" w:lineRule="auto"/>
              <w:ind w:firstLine="420"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有前款第（一）项、第（二）项、第（三）项、第（五）项行为之一的，处十万元以上二十万元以下罚款；有前款第（四）项行为的，处一万元以上十万元以下罚款。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156"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49"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156" w:type="dxa"/>
            <w:vAlign w:val="center"/>
          </w:tcPr>
          <w:p>
            <w:pPr>
              <w:widowControl/>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kern w:val="0"/>
                <w:highlight w:val="none"/>
              </w:rPr>
              <w:t>未按放射性污染防治的要求建设尾矿库</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kern w:val="0"/>
                <w:highlight w:val="none"/>
              </w:rPr>
              <w:t>未建设尾矿库</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涉及尾矿规模</w:t>
            </w:r>
          </w:p>
        </w:tc>
        <w:tc>
          <w:tcPr>
            <w:tcW w:w="5156" w:type="dxa"/>
            <w:vAlign w:val="center"/>
          </w:tcPr>
          <w:p>
            <w:pPr>
              <w:pStyle w:val="12"/>
              <w:snapToGrid w:val="0"/>
              <w:spacing w:before="0" w:beforeAutospacing="0" w:after="0" w:afterAutospacing="0"/>
              <w:ind w:firstLine="48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不足</w:t>
            </w:r>
            <w:r>
              <w:rPr>
                <w:rFonts w:ascii="Times New Roman" w:hAnsi="Times New Roman" w:eastAsia="仿宋_GB2312" w:cs="Times New Roman"/>
                <w:color w:val="000000"/>
                <w:sz w:val="21"/>
                <w:szCs w:val="21"/>
                <w:highlight w:val="none"/>
              </w:rPr>
              <w:t>1000m</w:t>
            </w:r>
            <w:r>
              <w:rPr>
                <w:rFonts w:ascii="Times New Roman" w:hAnsi="Times New Roman" w:eastAsia="仿宋_GB2312" w:cs="Times New Roman"/>
                <w:color w:val="000000"/>
                <w:sz w:val="21"/>
                <w:szCs w:val="21"/>
                <w:highlight w:val="none"/>
                <w:vertAlign w:val="superscript"/>
              </w:rPr>
              <w:t>3</w:t>
            </w:r>
            <w:r>
              <w:rPr>
                <w:rFonts w:hint="eastAsia" w:ascii="Times New Roman" w:hAnsi="Times New Roman" w:eastAsia="仿宋_GB2312" w:cs="仿宋_GB2312"/>
                <w:color w:val="000000"/>
                <w:sz w:val="21"/>
                <w:szCs w:val="21"/>
                <w:highlight w:val="none"/>
              </w:rPr>
              <w:t>的</w:t>
            </w:r>
          </w:p>
        </w:tc>
        <w:tc>
          <w:tcPr>
            <w:tcW w:w="2649"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1000m</w:t>
            </w:r>
            <w:r>
              <w:rPr>
                <w:rFonts w:ascii="Times New Roman" w:hAnsi="Times New Roman" w:eastAsia="仿宋_GB2312" w:cs="Times New Roman"/>
                <w:color w:val="000000"/>
                <w:sz w:val="21"/>
                <w:szCs w:val="21"/>
                <w:highlight w:val="none"/>
                <w:vertAlign w:val="superscript"/>
              </w:rPr>
              <w:t>3</w:t>
            </w:r>
            <w:r>
              <w:rPr>
                <w:rFonts w:hint="eastAsia" w:ascii="Times New Roman" w:hAnsi="Times New Roman" w:eastAsia="仿宋_GB2312" w:cs="仿宋_GB2312"/>
                <w:color w:val="000000"/>
                <w:sz w:val="21"/>
                <w:szCs w:val="21"/>
                <w:highlight w:val="none"/>
              </w:rPr>
              <w:t>以上不足</w:t>
            </w:r>
            <w:r>
              <w:rPr>
                <w:rFonts w:ascii="Times New Roman" w:hAnsi="Times New Roman" w:eastAsia="仿宋_GB2312" w:cs="Times New Roman"/>
                <w:color w:val="000000"/>
                <w:sz w:val="21"/>
                <w:szCs w:val="21"/>
                <w:highlight w:val="none"/>
              </w:rPr>
              <w:t>2000m</w:t>
            </w:r>
            <w:r>
              <w:rPr>
                <w:rFonts w:ascii="Times New Roman" w:hAnsi="Times New Roman" w:eastAsia="仿宋_GB2312" w:cs="Times New Roman"/>
                <w:color w:val="000000"/>
                <w:sz w:val="21"/>
                <w:szCs w:val="21"/>
                <w:highlight w:val="none"/>
                <w:vertAlign w:val="superscript"/>
              </w:rPr>
              <w:t>3</w:t>
            </w:r>
            <w:r>
              <w:rPr>
                <w:rFonts w:hint="eastAsia" w:ascii="Times New Roman" w:hAnsi="Times New Roman" w:eastAsia="仿宋_GB2312" w:cs="仿宋_GB2312"/>
                <w:color w:val="000000"/>
                <w:sz w:val="21"/>
                <w:szCs w:val="21"/>
                <w:highlight w:val="none"/>
              </w:rPr>
              <w:t>的</w:t>
            </w:r>
          </w:p>
        </w:tc>
        <w:tc>
          <w:tcPr>
            <w:tcW w:w="2649"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2000m</w:t>
            </w:r>
            <w:r>
              <w:rPr>
                <w:rFonts w:ascii="Times New Roman" w:hAnsi="Times New Roman" w:eastAsia="仿宋_GB2312" w:cs="Times New Roman"/>
                <w:color w:val="000000"/>
                <w:sz w:val="21"/>
                <w:szCs w:val="21"/>
                <w:highlight w:val="none"/>
                <w:vertAlign w:val="superscript"/>
              </w:rPr>
              <w:t>3</w:t>
            </w:r>
            <w:r>
              <w:rPr>
                <w:rFonts w:hint="eastAsia" w:ascii="Times New Roman" w:hAnsi="Times New Roman" w:eastAsia="仿宋_GB2312" w:cs="仿宋_GB2312"/>
                <w:color w:val="000000"/>
                <w:sz w:val="21"/>
                <w:szCs w:val="21"/>
                <w:highlight w:val="none"/>
              </w:rPr>
              <w:t>以上不足</w:t>
            </w:r>
            <w:r>
              <w:rPr>
                <w:rFonts w:ascii="Times New Roman" w:hAnsi="Times New Roman" w:eastAsia="仿宋_GB2312" w:cs="Times New Roman"/>
                <w:color w:val="000000"/>
                <w:sz w:val="21"/>
                <w:szCs w:val="21"/>
                <w:highlight w:val="none"/>
              </w:rPr>
              <w:t>3000m</w:t>
            </w:r>
            <w:r>
              <w:rPr>
                <w:rFonts w:ascii="Times New Roman" w:hAnsi="Times New Roman" w:eastAsia="仿宋_GB2312" w:cs="Times New Roman"/>
                <w:color w:val="000000"/>
                <w:sz w:val="21"/>
                <w:szCs w:val="21"/>
                <w:highlight w:val="none"/>
                <w:vertAlign w:val="superscript"/>
              </w:rPr>
              <w:t>3</w:t>
            </w:r>
            <w:r>
              <w:rPr>
                <w:rFonts w:hint="eastAsia" w:ascii="Times New Roman" w:hAnsi="Times New Roman" w:eastAsia="仿宋_GB2312" w:cs="仿宋_GB2312"/>
                <w:color w:val="000000"/>
                <w:sz w:val="21"/>
                <w:szCs w:val="21"/>
                <w:highlight w:val="none"/>
              </w:rPr>
              <w:t>的</w:t>
            </w:r>
          </w:p>
        </w:tc>
        <w:tc>
          <w:tcPr>
            <w:tcW w:w="2649"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pStyle w:val="11"/>
              <w:snapToGrid w:val="0"/>
              <w:jc w:val="center"/>
              <w:rPr>
                <w:rFonts w:ascii="Times New Roman" w:hAnsi="Times New Roman" w:eastAsia="仿宋_GB2312" w:cs="Times New Roman"/>
                <w:b/>
                <w:bCs/>
                <w:color w:val="000000"/>
                <w:sz w:val="21"/>
                <w:szCs w:val="21"/>
                <w:highlight w:val="none"/>
              </w:rPr>
            </w:pPr>
            <w:r>
              <w:rPr>
                <w:rFonts w:ascii="Times New Roman" w:hAnsi="Times New Roman" w:eastAsia="仿宋_GB2312" w:cs="Times New Roman"/>
                <w:color w:val="000000"/>
                <w:sz w:val="21"/>
                <w:szCs w:val="21"/>
                <w:highlight w:val="none"/>
              </w:rPr>
              <w:t>3000m</w:t>
            </w:r>
            <w:r>
              <w:rPr>
                <w:rFonts w:ascii="Times New Roman" w:hAnsi="Times New Roman" w:eastAsia="仿宋_GB2312" w:cs="Times New Roman"/>
                <w:color w:val="000000"/>
                <w:sz w:val="21"/>
                <w:szCs w:val="21"/>
                <w:highlight w:val="none"/>
                <w:vertAlign w:val="superscript"/>
              </w:rPr>
              <w:t>3</w:t>
            </w:r>
            <w:r>
              <w:rPr>
                <w:rFonts w:hint="eastAsia" w:ascii="Times New Roman" w:hAnsi="Times New Roman" w:eastAsia="仿宋_GB2312" w:cs="仿宋_GB2312"/>
                <w:color w:val="000000"/>
                <w:sz w:val="21"/>
                <w:szCs w:val="21"/>
                <w:highlight w:val="none"/>
              </w:rPr>
              <w:t>以上不足</w:t>
            </w:r>
            <w:r>
              <w:rPr>
                <w:rFonts w:ascii="Times New Roman" w:hAnsi="Times New Roman" w:eastAsia="仿宋_GB2312" w:cs="Times New Roman"/>
                <w:color w:val="000000"/>
                <w:sz w:val="21"/>
                <w:szCs w:val="21"/>
                <w:highlight w:val="none"/>
              </w:rPr>
              <w:t>5000m</w:t>
            </w:r>
            <w:r>
              <w:rPr>
                <w:rFonts w:ascii="Times New Roman" w:hAnsi="Times New Roman" w:eastAsia="仿宋_GB2312" w:cs="Times New Roman"/>
                <w:color w:val="000000"/>
                <w:sz w:val="21"/>
                <w:szCs w:val="21"/>
                <w:highlight w:val="none"/>
                <w:vertAlign w:val="superscript"/>
              </w:rPr>
              <w:t>3</w:t>
            </w:r>
            <w:r>
              <w:rPr>
                <w:rFonts w:hint="eastAsia" w:ascii="Times New Roman" w:hAnsi="Times New Roman" w:eastAsia="仿宋_GB2312" w:cs="仿宋_GB2312"/>
                <w:color w:val="000000"/>
                <w:sz w:val="21"/>
                <w:szCs w:val="21"/>
                <w:highlight w:val="none"/>
              </w:rPr>
              <w:t>的</w:t>
            </w:r>
          </w:p>
        </w:tc>
        <w:tc>
          <w:tcPr>
            <w:tcW w:w="2649"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5000m</w:t>
            </w:r>
            <w:r>
              <w:rPr>
                <w:rFonts w:ascii="Times New Roman" w:hAnsi="Times New Roman" w:eastAsia="仿宋_GB2312" w:cs="Times New Roman"/>
                <w:color w:val="000000"/>
                <w:sz w:val="21"/>
                <w:szCs w:val="21"/>
                <w:highlight w:val="none"/>
                <w:vertAlign w:val="superscript"/>
              </w:rPr>
              <w:t>3</w:t>
            </w:r>
            <w:r>
              <w:rPr>
                <w:rFonts w:hint="eastAsia" w:ascii="Times New Roman" w:hAnsi="Times New Roman" w:eastAsia="仿宋_GB2312" w:cs="仿宋_GB2312"/>
                <w:color w:val="000000"/>
                <w:sz w:val="21"/>
                <w:szCs w:val="21"/>
                <w:highlight w:val="none"/>
              </w:rPr>
              <w:t>以上的</w:t>
            </w:r>
          </w:p>
        </w:tc>
        <w:tc>
          <w:tcPr>
            <w:tcW w:w="2649"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805"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5156"/>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2"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805"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67" w:type="dxa"/>
            <w:vAlign w:val="center"/>
          </w:tcPr>
          <w:p>
            <w:pPr>
              <w:snapToGrid w:val="0"/>
              <w:jc w:val="center"/>
              <w:rPr>
                <w:rFonts w:ascii="Times New Roman" w:hAnsi="Times New Roman" w:cs="Times New Roman"/>
                <w:b/>
                <w:bCs/>
                <w:kern w:val="0"/>
                <w:highlight w:val="none"/>
              </w:rPr>
            </w:pPr>
            <w:r>
              <w:rPr>
                <w:rFonts w:hint="eastAsia" w:ascii="Times New Roman" w:hAnsi="Times New Roman" w:cs="宋体"/>
                <w:b/>
                <w:bCs/>
                <w:kern w:val="0"/>
                <w:highlight w:val="none"/>
              </w:rPr>
              <w:t>违法行为</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20" w:firstLineChars="200"/>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向环境排放不得排放的放射性废气、废液的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2" w:beforeLines="20" w:line="288" w:lineRule="auto"/>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《中华人民共和国放射性污染防治法》第四十条</w:t>
            </w:r>
            <w:r>
              <w:rPr>
                <w:rFonts w:ascii="Times New Roman" w:hAnsi="Times New Roman" w:eastAsia="仿宋_GB2312" w:cs="Times New Roman"/>
                <w:kern w:val="0"/>
                <w:highlight w:val="none"/>
              </w:rPr>
              <w:t xml:space="preserve"> </w:t>
            </w:r>
            <w:r>
              <w:rPr>
                <w:rFonts w:hint="eastAsia" w:ascii="Times New Roman" w:hAnsi="Times New Roman" w:eastAsia="仿宋_GB2312" w:cs="仿宋_GB2312"/>
                <w:kern w:val="0"/>
                <w:highlight w:val="none"/>
              </w:rPr>
              <w:t>向环境排放放射性废气、废液，必须符合国家放射性污染防治标准。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805" w:type="dxa"/>
            <w:gridSpan w:val="2"/>
            <w:vAlign w:val="center"/>
          </w:tcPr>
          <w:p>
            <w:pPr>
              <w:widowControl/>
              <w:snapToGrid w:val="0"/>
              <w:spacing w:before="62" w:beforeLines="20" w:line="288" w:lineRule="auto"/>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《中华人民共和国放射性污染防治法》第五十四条第（二）项</w:t>
            </w:r>
            <w:r>
              <w:rPr>
                <w:rFonts w:ascii="Times New Roman" w:hAnsi="Times New Roman" w:eastAsia="仿宋_GB2312" w:cs="Times New Roman"/>
                <w:b/>
                <w:bCs/>
                <w:kern w:val="0"/>
                <w:highlight w:val="none"/>
              </w:rPr>
              <w:t xml:space="preserve"> </w:t>
            </w:r>
            <w:r>
              <w:rPr>
                <w:rFonts w:hint="eastAsia" w:ascii="Times New Roman" w:hAnsi="Times New Roman" w:eastAsia="仿宋_GB2312" w:cs="仿宋_GB2312"/>
                <w:kern w:val="0"/>
                <w:highlight w:val="none"/>
              </w:rPr>
              <w:t>违反本法规定，有下列行为之一的，由县级以上人民政府环境保护行政主管部门责令停止违法行为，限期改正，处以罚款；构成犯罪的，依法追究刑事责任：</w:t>
            </w:r>
          </w:p>
          <w:p>
            <w:pPr>
              <w:widowControl/>
              <w:snapToGrid w:val="0"/>
              <w:spacing w:line="288" w:lineRule="auto"/>
              <w:ind w:firstLine="420"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（二）向环境排放不得排放的放射性废气、废液的。</w:t>
            </w:r>
          </w:p>
          <w:p>
            <w:pPr>
              <w:widowControl/>
              <w:snapToGrid w:val="0"/>
              <w:spacing w:line="288" w:lineRule="auto"/>
              <w:ind w:firstLine="420"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有前款第（一）项、第（二）项、第（三）项、第（五）项行为之一的，处十万元以上二十万元以下罚款；有前款第（四）项行为的，处一万元以上十万元以下罚款。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15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4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放射性废物类型</w:t>
            </w:r>
            <w:r>
              <w:rPr>
                <w:rFonts w:hint="eastAsia" w:ascii="Times New Roman" w:hAnsi="Times New Roman" w:cs="宋体"/>
                <w:b/>
                <w:bCs/>
                <w:color w:val="000000"/>
                <w:highlight w:val="none"/>
              </w:rPr>
              <w:t>★</w:t>
            </w:r>
          </w:p>
        </w:tc>
        <w:tc>
          <w:tcPr>
            <w:tcW w:w="5156" w:type="dxa"/>
            <w:vAlign w:val="center"/>
          </w:tcPr>
          <w:p>
            <w:pPr>
              <w:snapToGrid w:val="0"/>
              <w:jc w:val="center"/>
              <w:rPr>
                <w:rFonts w:ascii="Times New Roman" w:hAnsi="Times New Roman" w:eastAsia="仿宋_GB2312" w:cs="Times New Roman"/>
                <w:color w:val="000000"/>
                <w:kern w:val="0"/>
                <w:highlight w:val="none"/>
              </w:rPr>
            </w:pPr>
            <w:r>
              <w:rPr>
                <w:rFonts w:hint="eastAsia" w:ascii="Times New Roman" w:hAnsi="Times New Roman" w:eastAsia="仿宋_GB2312" w:cs="仿宋_GB2312"/>
                <w:color w:val="000000"/>
                <w:kern w:val="0"/>
                <w:highlight w:val="none"/>
              </w:rPr>
              <w:t>极短寿命放射性废物</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极低水平放射性废物</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低水平放射性废物</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中水平放射性废物</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高水平放射性废物</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排放地点</w:t>
            </w: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符合环境功能规划（或无环境功能规划）</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不符合环境功能规划，但不在保护区内</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位于自然保护区实验区</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饮用水水源准保护区</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位于自然保护区缓冲区</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饮用水水源二级保护区</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位于自然保护区核心区</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饮用水水源一级保护区</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805" w:type="dxa"/>
            <w:gridSpan w:val="2"/>
            <w:vAlign w:val="center"/>
          </w:tcPr>
          <w:p>
            <w:pPr>
              <w:snapToGrid w:val="0"/>
              <w:spacing w:line="288" w:lineRule="auto"/>
              <w:ind w:firstLine="420"/>
              <w:jc w:val="center"/>
              <w:rPr>
                <w:rFonts w:ascii="Times New Roman" w:hAnsi="Times New Roman" w:cs="Times New Roman"/>
                <w:color w:val="FF0000"/>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p>
      <w:pPr>
        <w:snapToGrid w:val="0"/>
        <w:rPr>
          <w:rFonts w:ascii="Times New Roman" w:hAnsi="Times New Roman" w:cs="Times New Roman"/>
          <w:sz w:val="10"/>
          <w:szCs w:val="10"/>
          <w:highlight w:val="none"/>
        </w:rPr>
      </w:pP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5156"/>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9072"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805"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1267" w:type="dxa"/>
            <w:vAlign w:val="center"/>
          </w:tcPr>
          <w:p>
            <w:pPr>
              <w:snapToGrid w:val="0"/>
              <w:jc w:val="center"/>
              <w:rPr>
                <w:rFonts w:ascii="Times New Roman" w:hAnsi="Times New Roman" w:cs="Times New Roman"/>
                <w:b/>
                <w:bCs/>
                <w:kern w:val="0"/>
                <w:highlight w:val="none"/>
              </w:rPr>
            </w:pPr>
            <w:r>
              <w:rPr>
                <w:rFonts w:hint="eastAsia" w:ascii="Times New Roman" w:hAnsi="Times New Roman" w:cs="宋体"/>
                <w:b/>
                <w:bCs/>
                <w:kern w:val="0"/>
                <w:highlight w:val="none"/>
              </w:rPr>
              <w:t>违法行为</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20" w:firstLineChars="200"/>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不按照规定的方式排放放射性废液，利用渗井、渗坑、天然裂隙、溶洞或者国家禁止的其他方式排放放射性废液的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《中华人民共和国放射性污染防治法》第四十二条第二款、第三款</w:t>
            </w:r>
            <w:r>
              <w:rPr>
                <w:rFonts w:ascii="Times New Roman" w:hAnsi="Times New Roman" w:eastAsia="仿宋_GB2312" w:cs="Times New Roman"/>
                <w:b/>
                <w:bCs/>
                <w:kern w:val="0"/>
                <w:highlight w:val="none"/>
              </w:rPr>
              <w:t xml:space="preserve"> </w:t>
            </w:r>
            <w:r>
              <w:rPr>
                <w:rFonts w:hint="eastAsia" w:ascii="Times New Roman" w:hAnsi="Times New Roman" w:eastAsia="仿宋_GB2312" w:cs="仿宋_GB2312"/>
                <w:kern w:val="0"/>
                <w:highlight w:val="none"/>
              </w:rPr>
              <w:t>产生放射性废液的单位，向环境排放符合国家放射性污染防治标准的放射性废液，必须采用符合国务院环境保护行政主管部门规定的排放方式。</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20"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禁止利用渗井、渗坑、天然裂隙、溶洞或者国家禁止的其他方式排放放射性废液。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805" w:type="dxa"/>
            <w:gridSpan w:val="2"/>
            <w:vAlign w:val="center"/>
          </w:tcPr>
          <w:p>
            <w:pPr>
              <w:widowControl/>
              <w:snapToGrid w:val="0"/>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《中华人民共和国放射性污染防治法》第五十四条第（三）项</w:t>
            </w:r>
            <w:r>
              <w:rPr>
                <w:rFonts w:ascii="Times New Roman" w:hAnsi="Times New Roman" w:eastAsia="仿宋_GB2312" w:cs="Times New Roman"/>
                <w:b/>
                <w:bCs/>
                <w:kern w:val="0"/>
                <w:highlight w:val="none"/>
              </w:rPr>
              <w:t xml:space="preserve"> </w:t>
            </w:r>
            <w:r>
              <w:rPr>
                <w:rFonts w:hint="eastAsia" w:ascii="Times New Roman" w:hAnsi="Times New Roman" w:eastAsia="仿宋_GB2312" w:cs="仿宋_GB2312"/>
                <w:kern w:val="0"/>
                <w:highlight w:val="none"/>
              </w:rPr>
              <w:t>违反本法规定，有下列行为之一的，由县级以上人民政府环境保护行政主管部门责令停止违法行为，限期改正，处以罚款；构成犯罪的，依法追究刑事责任：</w:t>
            </w:r>
          </w:p>
          <w:p>
            <w:pPr>
              <w:widowControl/>
              <w:snapToGrid w:val="0"/>
              <w:ind w:firstLine="420"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（三）不按照规定的方式排放放射性废液，利用渗井、渗坑、天然裂隙、溶洞或者国家禁止的其他方式排放放射性废液的。</w:t>
            </w:r>
          </w:p>
          <w:p>
            <w:pPr>
              <w:widowControl/>
              <w:snapToGrid w:val="0"/>
              <w:ind w:firstLine="420"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有前款第（一）项、第（二）项、第（三）项、第（五）项行为之一的，处十万元以上二十万元以下罚款；有前款第（四）项行为的，处一万元以上十万元以下罚款。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67"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15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49"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156" w:type="dxa"/>
            <w:vAlign w:val="center"/>
          </w:tcPr>
          <w:p>
            <w:pPr>
              <w:pStyle w:val="11"/>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kern w:val="2"/>
                <w:sz w:val="21"/>
                <w:szCs w:val="21"/>
                <w:highlight w:val="none"/>
              </w:rPr>
              <w:t>部分处理设施不能正常运行</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部分处理设施停运</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整体或关键处理设施不能正常运行</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整体或关键处理设施停运</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为逃避现场检查临时停产</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正常生产时不通过处理设施利用其他方式直接排放</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项目应编制的环评文件类别</w:t>
            </w:r>
          </w:p>
        </w:tc>
        <w:tc>
          <w:tcPr>
            <w:tcW w:w="5156" w:type="dxa"/>
            <w:vAlign w:val="center"/>
          </w:tcPr>
          <w:p>
            <w:pPr>
              <w:pStyle w:val="11"/>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sz w:val="21"/>
                <w:szCs w:val="21"/>
                <w:highlight w:val="none"/>
              </w:rPr>
              <w:t>报告表</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pStyle w:val="11"/>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sz w:val="21"/>
                <w:szCs w:val="21"/>
                <w:highlight w:val="none"/>
              </w:rPr>
              <w:t>报告书（非生产型）</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pStyle w:val="11"/>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sz w:val="21"/>
                <w:szCs w:val="21"/>
                <w:highlight w:val="none"/>
              </w:rPr>
              <w:t>报告书（生产型）</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放射性</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废液数量</w:t>
            </w:r>
          </w:p>
        </w:tc>
        <w:tc>
          <w:tcPr>
            <w:tcW w:w="5156" w:type="dxa"/>
            <w:vAlign w:val="center"/>
          </w:tcPr>
          <w:p>
            <w:pPr>
              <w:pStyle w:val="11"/>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sz w:val="21"/>
                <w:szCs w:val="21"/>
                <w:highlight w:val="none"/>
              </w:rPr>
              <w:t>不足</w:t>
            </w: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千克</w:t>
            </w:r>
          </w:p>
        </w:tc>
        <w:tc>
          <w:tcPr>
            <w:tcW w:w="2649" w:type="dxa"/>
            <w:vAlign w:val="center"/>
          </w:tcPr>
          <w:p>
            <w:pPr>
              <w:pStyle w:val="11"/>
              <w:snapToGrid w:val="0"/>
              <w:jc w:val="center"/>
              <w:rPr>
                <w:rFonts w:ascii="Times New Roman" w:hAnsi="Times New Roman" w:cs="Times New Roman"/>
                <w:color w:val="000000"/>
                <w:highlight w:val="none"/>
              </w:rPr>
            </w:pPr>
            <w:r>
              <w:rPr>
                <w:rFonts w:ascii="Times New Roman" w:hAnsi="Times New Roman" w:eastAsia="仿宋_GB2312" w:cs="Times New Roman"/>
                <w:color w:val="000000"/>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kern w:val="0"/>
                <w:highlight w:val="none"/>
              </w:rPr>
            </w:pP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千克以上不足</w:t>
            </w:r>
            <w:r>
              <w:rPr>
                <w:rFonts w:ascii="Times New Roman" w:hAnsi="Times New Roman" w:eastAsia="仿宋_GB2312" w:cs="Times New Roman"/>
                <w:color w:val="000000"/>
                <w:highlight w:val="none"/>
              </w:rPr>
              <w:t>100</w:t>
            </w:r>
            <w:r>
              <w:rPr>
                <w:rFonts w:hint="eastAsia" w:ascii="Times New Roman" w:hAnsi="Times New Roman" w:eastAsia="仿宋_GB2312" w:cs="仿宋_GB2312"/>
                <w:color w:val="000000"/>
                <w:highlight w:val="none"/>
              </w:rPr>
              <w:t>千克</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kern w:val="0"/>
                <w:highlight w:val="none"/>
              </w:rPr>
            </w:pPr>
            <w:r>
              <w:rPr>
                <w:rFonts w:ascii="Times New Roman" w:hAnsi="Times New Roman" w:eastAsia="仿宋_GB2312" w:cs="Times New Roman"/>
                <w:color w:val="000000"/>
                <w:highlight w:val="none"/>
              </w:rPr>
              <w:t>100</w:t>
            </w:r>
            <w:r>
              <w:rPr>
                <w:rFonts w:hint="eastAsia" w:ascii="Times New Roman" w:hAnsi="Times New Roman" w:eastAsia="仿宋_GB2312" w:cs="仿宋_GB2312"/>
                <w:color w:val="000000"/>
                <w:highlight w:val="none"/>
              </w:rPr>
              <w:t>千克以上</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放射性废物类型</w:t>
            </w:r>
          </w:p>
        </w:tc>
        <w:tc>
          <w:tcPr>
            <w:tcW w:w="5156" w:type="dxa"/>
            <w:vAlign w:val="center"/>
          </w:tcPr>
          <w:p>
            <w:pPr>
              <w:snapToGrid w:val="0"/>
              <w:jc w:val="center"/>
              <w:rPr>
                <w:rFonts w:ascii="Times New Roman" w:hAnsi="Times New Roman" w:eastAsia="仿宋_GB2312" w:cs="Times New Roman"/>
                <w:color w:val="000000"/>
                <w:kern w:val="0"/>
                <w:highlight w:val="none"/>
              </w:rPr>
            </w:pPr>
            <w:r>
              <w:rPr>
                <w:rFonts w:hint="eastAsia" w:ascii="Times New Roman" w:hAnsi="Times New Roman" w:eastAsia="仿宋_GB2312" w:cs="仿宋_GB2312"/>
                <w:color w:val="000000"/>
                <w:kern w:val="0"/>
                <w:highlight w:val="none"/>
              </w:rPr>
              <w:t>极短寿命放射性废物</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极低水平放射性废物</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低水平放射性废物</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中水平放射性废物</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高水平放射性废物</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67"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排放地点</w:t>
            </w: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符合环境功能规划（或无环境功能规划）</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不符合环境功能规划，但不在保护区内</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位于自然保护区实验区</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饮用水水源准保护区</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位于自然保护区缓冲区</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饮用水水源二级保护区</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位于自然保护区核心区</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饮用水水源一级保护区</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67"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805" w:type="dxa"/>
            <w:gridSpan w:val="2"/>
            <w:vAlign w:val="center"/>
          </w:tcPr>
          <w:p>
            <w:pPr>
              <w:snapToGrid w:val="0"/>
              <w:ind w:firstLine="420"/>
              <w:jc w:val="center"/>
              <w:rPr>
                <w:rFonts w:ascii="Times New Roman" w:hAnsi="Times New Roman" w:cs="Times New Roman"/>
                <w:color w:val="000000"/>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5156"/>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2"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805"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kern w:val="0"/>
                <w:highlight w:val="none"/>
              </w:rPr>
            </w:pPr>
            <w:r>
              <w:rPr>
                <w:rFonts w:hint="eastAsia" w:ascii="Times New Roman" w:hAnsi="Times New Roman" w:cs="宋体"/>
                <w:b/>
                <w:bCs/>
                <w:kern w:val="0"/>
                <w:highlight w:val="none"/>
              </w:rPr>
              <w:t>违法行为</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20" w:firstLineChars="200"/>
              <w:jc w:val="center"/>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不按照规定处理或者贮存不得向环境排放的放射性废液的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88" w:lineRule="auto"/>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《中华人民共和国放射性污染防治法》第四十二条第一款</w:t>
            </w:r>
            <w:r>
              <w:rPr>
                <w:rFonts w:ascii="Times New Roman" w:hAnsi="Times New Roman" w:eastAsia="仿宋_GB2312" w:cs="Times New Roman"/>
                <w:b/>
                <w:bCs/>
                <w:kern w:val="0"/>
                <w:highlight w:val="none"/>
              </w:rPr>
              <w:t xml:space="preserve"> </w:t>
            </w:r>
            <w:r>
              <w:rPr>
                <w:rFonts w:hint="eastAsia" w:ascii="Times New Roman" w:hAnsi="Times New Roman" w:eastAsia="仿宋_GB2312" w:cs="仿宋_GB2312"/>
                <w:kern w:val="0"/>
                <w:highlight w:val="none"/>
              </w:rPr>
              <w:t>产生放射性废液的单位，必须按照国家放射性污染防治标准的要求，对不得向环境排放的放射性废液进行处理或者贮存。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805" w:type="dxa"/>
            <w:gridSpan w:val="2"/>
            <w:vAlign w:val="center"/>
          </w:tcPr>
          <w:p>
            <w:pPr>
              <w:widowControl/>
              <w:snapToGrid w:val="0"/>
              <w:spacing w:line="288" w:lineRule="auto"/>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《中华人民共和国放射性污染防治法》第五十四条第（四）项</w:t>
            </w:r>
            <w:r>
              <w:rPr>
                <w:rFonts w:ascii="Times New Roman" w:hAnsi="Times New Roman" w:eastAsia="仿宋_GB2312" w:cs="Times New Roman"/>
                <w:b/>
                <w:bCs/>
                <w:kern w:val="0"/>
                <w:highlight w:val="none"/>
              </w:rPr>
              <w:t xml:space="preserve"> </w:t>
            </w:r>
            <w:r>
              <w:rPr>
                <w:rFonts w:hint="eastAsia" w:ascii="Times New Roman" w:hAnsi="Times New Roman" w:eastAsia="仿宋_GB2312" w:cs="仿宋_GB2312"/>
                <w:kern w:val="0"/>
                <w:highlight w:val="none"/>
              </w:rPr>
              <w:t>违反本法规定，有下列行为之一的，由县级以上人民政府环境保护行政主管部门责令停止违法行为，限期改正，处以罚款；构成犯罪的，依法追究刑事责任：</w:t>
            </w:r>
          </w:p>
          <w:p>
            <w:pPr>
              <w:widowControl/>
              <w:snapToGrid w:val="0"/>
              <w:spacing w:line="288" w:lineRule="auto"/>
              <w:ind w:firstLine="420"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（四）不按照规定处理或者贮存不得向环境排放的放射性废液的。</w:t>
            </w:r>
          </w:p>
          <w:p>
            <w:pPr>
              <w:widowControl/>
              <w:snapToGrid w:val="0"/>
              <w:spacing w:line="288" w:lineRule="auto"/>
              <w:ind w:firstLine="420"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有前款第（一）项、第（二）项、第（三）项、第（五）项行为之一的，处十万元以上二十万元以下罚款；有前款第（四）项行为的，处一万元以上十万元以下罚款。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15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4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违法事实</w:t>
            </w:r>
            <w:r>
              <w:rPr>
                <w:rFonts w:hint="eastAsia" w:ascii="Times New Roman" w:hAnsi="Times New Roman" w:cs="宋体"/>
                <w:b/>
                <w:bCs/>
                <w:color w:val="000000"/>
                <w:highlight w:val="none"/>
              </w:rPr>
              <w:t>★</w:t>
            </w: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处理或者贮存不符合标准要求，无放射性废液泄露</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处理或者贮存不符合标准要求，存在放射性废液泄露</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kern w:val="0"/>
                <w:highlight w:val="none"/>
              </w:rPr>
              <w:t>未按规定处理或者贮存，向环境排放的放射性废液</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放射性废物类型</w:t>
            </w:r>
          </w:p>
        </w:tc>
        <w:tc>
          <w:tcPr>
            <w:tcW w:w="5156" w:type="dxa"/>
            <w:vAlign w:val="center"/>
          </w:tcPr>
          <w:p>
            <w:pPr>
              <w:snapToGrid w:val="0"/>
              <w:jc w:val="center"/>
              <w:rPr>
                <w:rFonts w:ascii="Times New Roman" w:hAnsi="Times New Roman" w:eastAsia="仿宋_GB2312" w:cs="Times New Roman"/>
                <w:color w:val="000000"/>
                <w:kern w:val="0"/>
                <w:highlight w:val="none"/>
              </w:rPr>
            </w:pPr>
            <w:r>
              <w:rPr>
                <w:rFonts w:hint="eastAsia" w:ascii="Times New Roman" w:hAnsi="Times New Roman" w:eastAsia="仿宋_GB2312" w:cs="仿宋_GB2312"/>
                <w:color w:val="000000"/>
                <w:kern w:val="0"/>
                <w:highlight w:val="none"/>
              </w:rPr>
              <w:t>极短寿命放射性废物</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极低水平放射性废物</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低水平放射性废物</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中水平放射性废物</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高水平放射性废物</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放射性</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废液数量</w:t>
            </w:r>
          </w:p>
        </w:tc>
        <w:tc>
          <w:tcPr>
            <w:tcW w:w="5156"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不足</w:t>
            </w: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千克</w:t>
            </w:r>
          </w:p>
        </w:tc>
        <w:tc>
          <w:tcPr>
            <w:tcW w:w="2649"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千克以上不足</w:t>
            </w:r>
            <w:r>
              <w:rPr>
                <w:rFonts w:ascii="Times New Roman" w:hAnsi="Times New Roman" w:eastAsia="仿宋_GB2312" w:cs="Times New Roman"/>
                <w:color w:val="000000"/>
                <w:sz w:val="21"/>
                <w:szCs w:val="21"/>
                <w:highlight w:val="none"/>
              </w:rPr>
              <w:t>100</w:t>
            </w:r>
            <w:r>
              <w:rPr>
                <w:rFonts w:hint="eastAsia" w:ascii="Times New Roman" w:hAnsi="Times New Roman" w:eastAsia="仿宋_GB2312" w:cs="仿宋_GB2312"/>
                <w:color w:val="000000"/>
                <w:sz w:val="21"/>
                <w:szCs w:val="21"/>
                <w:highlight w:val="none"/>
              </w:rPr>
              <w:t>千克</w:t>
            </w:r>
          </w:p>
        </w:tc>
        <w:tc>
          <w:tcPr>
            <w:tcW w:w="2649"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100</w:t>
            </w:r>
            <w:r>
              <w:rPr>
                <w:rFonts w:hint="eastAsia" w:ascii="Times New Roman" w:hAnsi="Times New Roman" w:eastAsia="仿宋_GB2312" w:cs="仿宋_GB2312"/>
                <w:color w:val="000000"/>
                <w:sz w:val="21"/>
                <w:szCs w:val="21"/>
                <w:highlight w:val="none"/>
              </w:rPr>
              <w:t>千克以上</w:t>
            </w:r>
          </w:p>
        </w:tc>
        <w:tc>
          <w:tcPr>
            <w:tcW w:w="2649"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805"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5156"/>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2"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805"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kern w:val="0"/>
                <w:highlight w:val="none"/>
              </w:rPr>
            </w:pPr>
            <w:r>
              <w:rPr>
                <w:rFonts w:hint="eastAsia" w:ascii="Times New Roman" w:hAnsi="Times New Roman" w:cs="宋体"/>
                <w:b/>
                <w:bCs/>
                <w:kern w:val="0"/>
                <w:highlight w:val="none"/>
              </w:rPr>
              <w:t>违法行为</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88" w:lineRule="auto"/>
              <w:ind w:firstLine="420" w:firstLineChars="200"/>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将放射性固体废物或者废旧放射源提供或者委托给无许可证的单位贮存和处置的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805" w:type="dxa"/>
            <w:gridSpan w:val="2"/>
            <w:vAlign w:val="center"/>
          </w:tcPr>
          <w:p>
            <w:pPr>
              <w:spacing w:before="62" w:beforeLines="20"/>
              <w:ind w:firstLine="422" w:firstLineChars="200"/>
              <w:rPr>
                <w:rFonts w:ascii="Times New Roman" w:hAnsi="Times New Roman" w:eastAsia="仿宋_GB2312" w:cs="Times New Roman"/>
                <w:highlight w:val="none"/>
              </w:rPr>
            </w:pPr>
            <w:r>
              <w:rPr>
                <w:rFonts w:ascii="Times New Roman" w:hAnsi="Times New Roman" w:eastAsia="仿宋_GB2312" w:cs="Times New Roman"/>
                <w:b/>
                <w:bCs/>
                <w:kern w:val="0"/>
                <w:highlight w:val="none"/>
              </w:rPr>
              <w:t>1.</w:t>
            </w:r>
            <w:r>
              <w:rPr>
                <w:rFonts w:hint="eastAsia" w:ascii="Times New Roman" w:hAnsi="Times New Roman" w:eastAsia="仿宋_GB2312" w:cs="仿宋_GB2312"/>
                <w:b/>
                <w:bCs/>
                <w:kern w:val="0"/>
                <w:highlight w:val="none"/>
              </w:rPr>
              <w:t>《中华人民共和国放射性污染防治法》第四十六条第三款</w:t>
            </w:r>
            <w:r>
              <w:rPr>
                <w:rFonts w:ascii="Times New Roman" w:hAnsi="Times New Roman" w:eastAsia="仿宋_GB2312" w:cs="Times New Roman"/>
                <w:b/>
                <w:bCs/>
                <w:kern w:val="0"/>
                <w:highlight w:val="none"/>
              </w:rPr>
              <w:t xml:space="preserve"> </w:t>
            </w:r>
            <w:r>
              <w:rPr>
                <w:rFonts w:hint="eastAsia" w:ascii="Times New Roman" w:hAnsi="Times New Roman" w:eastAsia="仿宋_GB2312" w:cs="仿宋_GB2312"/>
                <w:highlight w:val="none"/>
              </w:rPr>
              <w:t>禁止将放射性固体废物提供或者委托给无许可证的单位贮存和处置。</w:t>
            </w:r>
          </w:p>
          <w:p>
            <w:pPr>
              <w:ind w:firstLine="422" w:firstLineChars="200"/>
              <w:rPr>
                <w:rFonts w:ascii="Times New Roman" w:hAnsi="Times New Roman" w:eastAsia="仿宋_GB2312" w:cs="Times New Roman"/>
                <w:kern w:val="0"/>
                <w:highlight w:val="none"/>
              </w:rPr>
            </w:pPr>
            <w:r>
              <w:rPr>
                <w:rFonts w:ascii="Times New Roman" w:hAnsi="Times New Roman" w:cs="Times New Roman"/>
                <w:b/>
                <w:bCs/>
                <w:highlight w:val="none"/>
              </w:rPr>
              <w:t>2.</w:t>
            </w:r>
            <w:r>
              <w:rPr>
                <w:rFonts w:hint="eastAsia" w:ascii="Times New Roman" w:hAnsi="Times New Roman" w:eastAsia="仿宋_GB2312" w:cs="仿宋_GB2312"/>
                <w:b/>
                <w:bCs/>
                <w:kern w:val="0"/>
                <w:highlight w:val="none"/>
              </w:rPr>
              <w:t>《山东省辐射污染防治条例》第三十六条第二款</w:t>
            </w:r>
            <w:r>
              <w:rPr>
                <w:rFonts w:ascii="Times New Roman" w:hAnsi="Times New Roman" w:eastAsia="仿宋_GB2312" w:cs="Times New Roman"/>
                <w:kern w:val="0"/>
                <w:highlight w:val="none"/>
              </w:rPr>
              <w:t xml:space="preserve"> </w:t>
            </w:r>
            <w:r>
              <w:rPr>
                <w:rFonts w:hint="eastAsia" w:ascii="Times New Roman" w:hAnsi="Times New Roman" w:eastAsia="仿宋_GB2312" w:cs="仿宋_GB2312"/>
                <w:kern w:val="0"/>
                <w:highlight w:val="none"/>
              </w:rPr>
              <w:t>禁止将放射性废物交无放射性废物贮存、处置资质的单位贮存、处置或者擅自处置。</w:t>
            </w:r>
          </w:p>
          <w:p>
            <w:pPr>
              <w:pStyle w:val="11"/>
              <w:ind w:firstLine="420"/>
              <w:rPr>
                <w:rFonts w:ascii="Times New Roman" w:hAnsi="Times New Roman" w:eastAsia="仿宋_GB2312" w:cs="Times New Roman"/>
                <w:sz w:val="21"/>
                <w:szCs w:val="21"/>
                <w:highlight w:val="none"/>
              </w:rPr>
            </w:pPr>
            <w:r>
              <w:rPr>
                <w:rFonts w:ascii="Times New Roman" w:hAnsi="Times New Roman" w:cs="Times New Roman"/>
                <w:highlight w:val="none"/>
              </w:rPr>
              <w:t>3.</w:t>
            </w:r>
            <w:r>
              <w:rPr>
                <w:rFonts w:hint="eastAsia" w:ascii="Times New Roman" w:hAnsi="Times New Roman" w:eastAsia="仿宋_GB2312" w:cs="仿宋_GB2312"/>
                <w:b/>
                <w:bCs/>
                <w:sz w:val="21"/>
                <w:szCs w:val="21"/>
                <w:highlight w:val="none"/>
              </w:rPr>
              <w:t>《放射性废物安全管理条例》第十条</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Times New Roman"/>
                <w:sz w:val="21"/>
                <w:szCs w:val="21"/>
                <w:highlight w:val="none"/>
              </w:rPr>
              <w:t>核</w:t>
            </w:r>
            <w:r>
              <w:rPr>
                <w:rFonts w:hint="eastAsia" w:ascii="Times New Roman" w:hAnsi="Times New Roman" w:eastAsia="仿宋_GB2312" w:cs="仿宋_GB2312"/>
                <w:sz w:val="21"/>
                <w:szCs w:val="21"/>
                <w:highlight w:val="none"/>
              </w:rPr>
              <w:t>设施营运单位应当将其产生的不能回收利用并不能返回原生产单位或者出口方的废旧放射源（以下简称废旧放射源），送交取得相应许可证的放射性固体废物贮存单位集中贮存，或者直接送交取得相应许可证的放射性固体废物处置单位处置。</w:t>
            </w:r>
          </w:p>
          <w:p>
            <w:pPr>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highlight w:val="none"/>
              </w:rPr>
              <w:t>核设施营运单位应当对其产生的除废旧放射源以外的放射性固体废物和不能经净化排放的放射性废液进行处理，使其转变为稳定的、标准化的固体废物后自行贮存，并及时送交取得相应许可证的放射性固体废物处置单位处置。</w:t>
            </w:r>
          </w:p>
          <w:p>
            <w:pPr>
              <w:ind w:firstLine="420" w:firstLineChars="200"/>
              <w:rPr>
                <w:rFonts w:ascii="Times New Roman" w:hAnsi="Times New Roman" w:eastAsia="仿宋_GB2312" w:cs="Times New Roman"/>
                <w:highlight w:val="none"/>
              </w:rPr>
            </w:pPr>
            <w:r>
              <w:rPr>
                <w:rFonts w:ascii="Times New Roman" w:hAnsi="Times New Roman" w:eastAsia="仿宋_GB2312" w:cs="Times New Roman"/>
                <w:highlight w:val="none"/>
              </w:rPr>
              <w:t>4.</w:t>
            </w:r>
            <w:r>
              <w:rPr>
                <w:rFonts w:hint="eastAsia" w:ascii="Times New Roman" w:hAnsi="Times New Roman" w:eastAsia="仿宋_GB2312" w:cs="仿宋_GB2312"/>
                <w:b/>
                <w:bCs/>
                <w:highlight w:val="none"/>
              </w:rPr>
              <w:t>《放射性废物安全管理条例》第十一条第二款</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核技术利用单位应当及时将其产生的废旧放射源和其他放射性固体废物，送交取得相应许可证的放射性固体废物贮存单位集中贮存，或者直接送交取得相应许可证的放射性固体废物处置单位处置。</w:t>
            </w:r>
          </w:p>
          <w:p>
            <w:pPr>
              <w:ind w:firstLine="420" w:firstLineChars="200"/>
              <w:rPr>
                <w:rFonts w:ascii="Times New Roman" w:hAnsi="Times New Roman" w:cs="Times New Roman"/>
                <w:highlight w:val="none"/>
              </w:rPr>
            </w:pPr>
            <w:r>
              <w:rPr>
                <w:rFonts w:ascii="Times New Roman" w:hAnsi="Times New Roman" w:cs="Times New Roman"/>
                <w:highlight w:val="none"/>
              </w:rPr>
              <w:t>5.</w:t>
            </w:r>
            <w:r>
              <w:rPr>
                <w:rFonts w:hint="eastAsia" w:ascii="Times New Roman" w:hAnsi="Times New Roman" w:eastAsia="仿宋_GB2312" w:cs="仿宋_GB2312"/>
                <w:b/>
                <w:bCs/>
                <w:highlight w:val="none"/>
              </w:rPr>
              <w:t>《放射性废物安全管理条例》第十七条第一款</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放射性固体废物贮存单位应当按照国家有关放射性污染防治标准和国务院环境保护主管部门的规定，对其接收的废旧放射源和其他放射性固体废物进行分类存放和清理，及时予以清洁解控或者送交取得相应许可证的放射性固体废物处置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805" w:type="dxa"/>
            <w:gridSpan w:val="2"/>
            <w:vAlign w:val="center"/>
          </w:tcPr>
          <w:p>
            <w:pPr>
              <w:widowControl/>
              <w:snapToGrid w:val="0"/>
              <w:spacing w:before="62" w:beforeLines="20" w:line="288" w:lineRule="auto"/>
              <w:ind w:firstLine="422" w:firstLineChars="200"/>
              <w:jc w:val="left"/>
              <w:rPr>
                <w:rFonts w:ascii="Times New Roman" w:hAnsi="Times New Roman" w:eastAsia="仿宋_GB2312" w:cs="Times New Roman"/>
                <w:kern w:val="0"/>
                <w:highlight w:val="none"/>
              </w:rPr>
            </w:pPr>
            <w:r>
              <w:rPr>
                <w:rFonts w:ascii="Times New Roman" w:hAnsi="Times New Roman" w:eastAsia="仿宋_GB2312" w:cs="Times New Roman"/>
                <w:b/>
                <w:bCs/>
                <w:kern w:val="0"/>
                <w:highlight w:val="none"/>
              </w:rPr>
              <w:t>1.</w:t>
            </w:r>
            <w:r>
              <w:rPr>
                <w:rFonts w:hint="eastAsia" w:ascii="Times New Roman" w:hAnsi="Times New Roman" w:eastAsia="仿宋_GB2312" w:cs="仿宋_GB2312"/>
                <w:b/>
                <w:bCs/>
                <w:kern w:val="0"/>
                <w:highlight w:val="none"/>
              </w:rPr>
              <w:t>《中华人民共和国放射性污染防治法》第五十四条第（五）项</w:t>
            </w:r>
            <w:r>
              <w:rPr>
                <w:rFonts w:ascii="Times New Roman" w:hAnsi="Times New Roman" w:eastAsia="仿宋_GB2312" w:cs="Times New Roman"/>
                <w:b/>
                <w:bCs/>
                <w:kern w:val="0"/>
                <w:highlight w:val="none"/>
              </w:rPr>
              <w:t xml:space="preserve"> </w:t>
            </w:r>
            <w:r>
              <w:rPr>
                <w:rFonts w:hint="eastAsia" w:ascii="Times New Roman" w:hAnsi="Times New Roman" w:eastAsia="仿宋_GB2312" w:cs="仿宋_GB2312"/>
                <w:kern w:val="0"/>
                <w:highlight w:val="none"/>
              </w:rPr>
              <w:t>违反本法规定，有下列行为之一的，由县级以上人民政府环境保护行政主管部门责令停止违法行为，限期改正，处以罚款；构成犯罪的，依法追究刑事责任：</w:t>
            </w:r>
          </w:p>
          <w:p>
            <w:pPr>
              <w:widowControl/>
              <w:snapToGrid w:val="0"/>
              <w:spacing w:line="288" w:lineRule="auto"/>
              <w:ind w:firstLine="420"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（五）将放射性固体废物提供或者委托给无许可证的单位贮存和处置的。</w:t>
            </w:r>
          </w:p>
          <w:p>
            <w:pPr>
              <w:widowControl/>
              <w:snapToGrid w:val="0"/>
              <w:spacing w:line="288" w:lineRule="auto"/>
              <w:ind w:firstLine="420"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有前款第（一）项、第（二）项、第（三）项、第（五）项行为之一的，处十万元以上二十万元以下罚款；有前款第（四）项行为的，处一万元以上十万元以下罚款。</w:t>
            </w:r>
          </w:p>
          <w:p>
            <w:pPr>
              <w:widowControl/>
              <w:snapToGrid w:val="0"/>
              <w:spacing w:line="288" w:lineRule="auto"/>
              <w:ind w:firstLine="422" w:firstLineChars="200"/>
              <w:jc w:val="left"/>
              <w:rPr>
                <w:rFonts w:ascii="Times New Roman" w:hAnsi="Times New Roman" w:eastAsia="仿宋_GB2312" w:cs="Times New Roman"/>
                <w:kern w:val="0"/>
                <w:highlight w:val="none"/>
              </w:rPr>
            </w:pPr>
            <w:r>
              <w:rPr>
                <w:rFonts w:ascii="Times New Roman" w:hAnsi="Times New Roman" w:eastAsia="仿宋_GB2312" w:cs="Times New Roman"/>
                <w:b/>
                <w:bCs/>
                <w:kern w:val="0"/>
                <w:highlight w:val="none"/>
              </w:rPr>
              <w:t>2.</w:t>
            </w:r>
            <w:r>
              <w:rPr>
                <w:rFonts w:hint="eastAsia" w:ascii="Times New Roman" w:hAnsi="Times New Roman" w:eastAsia="仿宋_GB2312" w:cs="仿宋_GB2312"/>
                <w:b/>
                <w:bCs/>
                <w:kern w:val="0"/>
                <w:highlight w:val="none"/>
              </w:rPr>
              <w:t>《山东省辐射污染防治条例》第五十八条</w:t>
            </w:r>
            <w:r>
              <w:rPr>
                <w:rFonts w:ascii="Times New Roman" w:hAnsi="Times New Roman" w:eastAsia="仿宋_GB2312" w:cs="Times New Roman"/>
                <w:kern w:val="0"/>
                <w:highlight w:val="none"/>
              </w:rPr>
              <w:t xml:space="preserve"> </w:t>
            </w:r>
            <w:r>
              <w:rPr>
                <w:rFonts w:hint="eastAsia" w:ascii="Times New Roman" w:hAnsi="Times New Roman" w:eastAsia="仿宋_GB2312" w:cs="仿宋_GB2312"/>
                <w:kern w:val="0"/>
                <w:highlight w:val="none"/>
              </w:rPr>
              <w:t>违反本条例规定，产生放射性废物的单位将放射性废物送交无放射性废物贮存、处置资质的单位进行贮存、处置，或者擅自处置的，由县级以上人民政府环境保护主管部门责令停止违法行为，限期改正，并处十万元以上二十万元以下罚款；造成环境污染的，责令限期采取治理措施消除污染；逾期不采取治理措施的，按照法定程序指定有资质的单位代为处置，所需费用由产生放射性废物的单位承担。</w:t>
            </w:r>
          </w:p>
          <w:p>
            <w:pPr>
              <w:pStyle w:val="11"/>
              <w:ind w:firstLine="420"/>
              <w:rPr>
                <w:rFonts w:ascii="Times New Roman" w:hAnsi="Times New Roman" w:eastAsia="仿宋_GB2312" w:cs="Times New Roman"/>
                <w:sz w:val="21"/>
                <w:szCs w:val="21"/>
                <w:highlight w:val="none"/>
              </w:rPr>
            </w:pPr>
            <w:r>
              <w:rPr>
                <w:rFonts w:ascii="Times New Roman" w:hAnsi="Times New Roman" w:eastAsia="仿宋_GB2312" w:cs="Times New Roman"/>
                <w:highlight w:val="none"/>
              </w:rPr>
              <w:t>3.</w:t>
            </w:r>
            <w:r>
              <w:rPr>
                <w:rFonts w:hint="eastAsia" w:ascii="Times New Roman" w:hAnsi="Times New Roman" w:eastAsia="仿宋_GB2312" w:cs="仿宋_GB2312"/>
                <w:b/>
                <w:bCs/>
                <w:sz w:val="21"/>
                <w:szCs w:val="21"/>
                <w:highlight w:val="none"/>
              </w:rPr>
              <w:t>《放射性废物安全管理条例》第三十七条</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违反本条例规定，有下列行为之一的，由县级以上人民政府环境保护主管部门责令停止违法行为，限期改正，处</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万元以上</w:t>
            </w:r>
            <w:r>
              <w:rPr>
                <w:rFonts w:ascii="Times New Roman" w:hAnsi="Times New Roman" w:eastAsia="仿宋_GB2312" w:cs="Times New Roman"/>
                <w:sz w:val="21"/>
                <w:szCs w:val="21"/>
                <w:highlight w:val="none"/>
              </w:rPr>
              <w:t>20</w:t>
            </w:r>
            <w:r>
              <w:rPr>
                <w:rFonts w:hint="eastAsia" w:ascii="Times New Roman" w:hAnsi="Times New Roman" w:eastAsia="仿宋_GB2312" w:cs="仿宋_GB2312"/>
                <w:sz w:val="21"/>
                <w:szCs w:val="21"/>
                <w:highlight w:val="none"/>
              </w:rPr>
              <w:t>万元以下的罚款；造成环境污染的，责令限期采取治理措施消除污染，逾期不采取治理措施，经催告仍不治理的，可以指定有治理能力的单位代为治理，所需费用由违法者承担；构成犯罪的，依法追究刑事责任：</w:t>
            </w:r>
          </w:p>
          <w:p>
            <w:pPr>
              <w:widowControl/>
              <w:snapToGrid w:val="0"/>
              <w:spacing w:line="288" w:lineRule="auto"/>
              <w:ind w:firstLine="420" w:firstLineChars="200"/>
              <w:jc w:val="left"/>
              <w:rPr>
                <w:rFonts w:ascii="Times New Roman" w:hAnsi="Times New Roman" w:eastAsia="仿宋_GB2312" w:cs="Times New Roman"/>
                <w:highlight w:val="none"/>
              </w:rPr>
            </w:pPr>
            <w:r>
              <w:rPr>
                <w:rFonts w:hint="eastAsia" w:ascii="Times New Roman" w:hAnsi="Times New Roman" w:eastAsia="仿宋_GB2312" w:cs="仿宋_GB2312"/>
                <w:highlight w:val="none"/>
              </w:rPr>
              <w:t>（一）核设施营运单位将废旧放射源送交无相应许可证的单位贮存、处置，或者将其他放射性固体废物送交无相应许可证的单位处置，或者擅自处置的；</w:t>
            </w:r>
          </w:p>
          <w:p>
            <w:pPr>
              <w:widowControl/>
              <w:snapToGrid w:val="0"/>
              <w:spacing w:line="288" w:lineRule="auto"/>
              <w:ind w:firstLine="420" w:firstLineChars="200"/>
              <w:jc w:val="left"/>
              <w:rPr>
                <w:rFonts w:ascii="Times New Roman" w:hAnsi="Times New Roman" w:eastAsia="仿宋_GB2312" w:cs="Times New Roman"/>
                <w:highlight w:val="none"/>
              </w:rPr>
            </w:pPr>
            <w:r>
              <w:rPr>
                <w:rFonts w:hint="eastAsia" w:ascii="Times New Roman" w:hAnsi="Times New Roman" w:eastAsia="仿宋_GB2312" w:cs="仿宋_GB2312"/>
                <w:highlight w:val="none"/>
              </w:rPr>
              <w:t>（二）核技术利用单位将废旧放射源或者其他放射性固体废物送交无相应许可证的单位贮存、处置，或者擅自处置的；</w:t>
            </w:r>
          </w:p>
          <w:p>
            <w:pPr>
              <w:widowControl/>
              <w:snapToGrid w:val="0"/>
              <w:spacing w:line="288" w:lineRule="auto"/>
              <w:ind w:firstLine="420" w:firstLineChars="200"/>
              <w:jc w:val="left"/>
              <w:rPr>
                <w:rFonts w:ascii="Times New Roman" w:hAnsi="Times New Roman" w:eastAsia="仿宋_GB2312" w:cs="Times New Roman"/>
                <w:highlight w:val="none"/>
              </w:rPr>
            </w:pPr>
            <w:r>
              <w:rPr>
                <w:rFonts w:hint="eastAsia" w:ascii="Times New Roman" w:hAnsi="Times New Roman" w:eastAsia="仿宋_GB2312" w:cs="仿宋_GB2312"/>
                <w:highlight w:val="none"/>
              </w:rPr>
              <w:t>（三）放射性固体废物贮存单位将废旧放射源或者其他放射性固体废物送交无相应许可证的单位处置，或者擅自处置的。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15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4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放射性废物类型</w:t>
            </w:r>
            <w:r>
              <w:rPr>
                <w:rFonts w:hint="eastAsia" w:ascii="Times New Roman" w:hAnsi="Times New Roman" w:cs="宋体"/>
                <w:b/>
                <w:bCs/>
                <w:color w:val="000000"/>
                <w:highlight w:val="none"/>
              </w:rPr>
              <w:t>★</w:t>
            </w:r>
          </w:p>
        </w:tc>
        <w:tc>
          <w:tcPr>
            <w:tcW w:w="5156" w:type="dxa"/>
            <w:vAlign w:val="center"/>
          </w:tcPr>
          <w:p>
            <w:pPr>
              <w:snapToGrid w:val="0"/>
              <w:jc w:val="center"/>
              <w:rPr>
                <w:rFonts w:ascii="Times New Roman" w:hAnsi="Times New Roman" w:eastAsia="仿宋_GB2312" w:cs="Times New Roman"/>
                <w:color w:val="000000"/>
                <w:kern w:val="0"/>
                <w:highlight w:val="none"/>
              </w:rPr>
            </w:pPr>
            <w:r>
              <w:rPr>
                <w:rFonts w:hint="eastAsia" w:ascii="Times New Roman" w:hAnsi="Times New Roman" w:eastAsia="仿宋_GB2312" w:cs="仿宋_GB2312"/>
                <w:color w:val="000000"/>
                <w:kern w:val="0"/>
                <w:highlight w:val="none"/>
              </w:rPr>
              <w:t>极短寿命放射性废物</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极低水平放射性废物</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低水平放射性废物</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中水平放射性废物</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高水平放射性废物</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废旧放射源类型</w:t>
            </w:r>
            <w:r>
              <w:rPr>
                <w:rFonts w:hint="eastAsia" w:ascii="Times New Roman" w:hAnsi="Times New Roman" w:cs="宋体"/>
                <w:b/>
                <w:bCs/>
                <w:color w:val="000000"/>
                <w:highlight w:val="none"/>
              </w:rPr>
              <w:t>★</w:t>
            </w:r>
          </w:p>
        </w:tc>
        <w:tc>
          <w:tcPr>
            <w:tcW w:w="5156"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Ⅳ</w:t>
            </w:r>
            <w:r>
              <w:rPr>
                <w:rFonts w:hint="eastAsia" w:ascii="Times New Roman" w:hAnsi="Times New Roman" w:eastAsia="仿宋_GB2312" w:cs="仿宋_GB2312"/>
                <w:highlight w:val="none"/>
              </w:rPr>
              <w:t>类、</w:t>
            </w:r>
            <w:r>
              <w:rPr>
                <w:rFonts w:hint="eastAsia" w:ascii="宋体" w:hAnsi="宋体" w:cs="宋体"/>
                <w:highlight w:val="none"/>
              </w:rPr>
              <w:t>Ⅴ</w:t>
            </w:r>
            <w:r>
              <w:rPr>
                <w:rFonts w:hint="eastAsia" w:ascii="Times New Roman" w:hAnsi="Times New Roman" w:eastAsia="仿宋_GB2312" w:cs="仿宋_GB2312"/>
                <w:highlight w:val="none"/>
              </w:rPr>
              <w:t>类放射源</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Ⅲ</w:t>
            </w:r>
            <w:r>
              <w:rPr>
                <w:rFonts w:hint="eastAsia" w:ascii="Times New Roman" w:hAnsi="Times New Roman" w:eastAsia="仿宋_GB2312" w:cs="仿宋_GB2312"/>
                <w:highlight w:val="none"/>
              </w:rPr>
              <w:t>类放射源</w:t>
            </w:r>
          </w:p>
        </w:tc>
        <w:tc>
          <w:tcPr>
            <w:tcW w:w="264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Ⅰ</w:t>
            </w:r>
            <w:r>
              <w:rPr>
                <w:rFonts w:hint="eastAsia" w:ascii="Times New Roman" w:hAnsi="Times New Roman" w:eastAsia="仿宋_GB2312" w:cs="仿宋_GB2312"/>
                <w:highlight w:val="none"/>
              </w:rPr>
              <w:t>类、</w:t>
            </w:r>
            <w:r>
              <w:rPr>
                <w:rFonts w:hint="eastAsia" w:ascii="宋体" w:hAnsi="宋体" w:cs="宋体"/>
                <w:highlight w:val="none"/>
              </w:rPr>
              <w:t>Ⅱ</w:t>
            </w:r>
            <w:r>
              <w:rPr>
                <w:rFonts w:hint="eastAsia" w:ascii="Times New Roman" w:hAnsi="Times New Roman" w:eastAsia="仿宋_GB2312" w:cs="仿宋_GB2312"/>
                <w:highlight w:val="none"/>
              </w:rPr>
              <w:t>类放射源</w:t>
            </w:r>
          </w:p>
        </w:tc>
        <w:tc>
          <w:tcPr>
            <w:tcW w:w="264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放射性</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废物数量</w:t>
            </w:r>
          </w:p>
        </w:tc>
        <w:tc>
          <w:tcPr>
            <w:tcW w:w="5156" w:type="dxa"/>
            <w:vAlign w:val="center"/>
          </w:tcPr>
          <w:p>
            <w:pPr>
              <w:pStyle w:val="11"/>
              <w:snapToGrid w:val="0"/>
              <w:jc w:val="center"/>
              <w:rPr>
                <w:highlight w:val="none"/>
              </w:rPr>
            </w:pPr>
            <w:r>
              <w:rPr>
                <w:rFonts w:hint="eastAsia" w:ascii="Times New Roman" w:hAnsi="Times New Roman" w:eastAsia="仿宋_GB2312" w:cs="仿宋_GB2312"/>
                <w:color w:val="000000"/>
                <w:sz w:val="21"/>
                <w:szCs w:val="21"/>
                <w:highlight w:val="none"/>
              </w:rPr>
              <w:t>不足</w:t>
            </w: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千克</w:t>
            </w:r>
          </w:p>
        </w:tc>
        <w:tc>
          <w:tcPr>
            <w:tcW w:w="2649" w:type="dxa"/>
            <w:vAlign w:val="center"/>
          </w:tcPr>
          <w:p>
            <w:pPr>
              <w:pStyle w:val="11"/>
              <w:snapToGrid w:val="0"/>
              <w:jc w:val="center"/>
              <w:rPr>
                <w:rFonts w:ascii="Times New Roman" w:hAnsi="Times New Roman" w:cs="Times New Roman"/>
                <w:color w:val="000000"/>
                <w:highlight w:val="none"/>
              </w:rPr>
            </w:pPr>
            <w:r>
              <w:rPr>
                <w:rFonts w:ascii="Times New Roman" w:hAnsi="Times New Roman" w:eastAsia="仿宋_GB2312" w:cs="Times New Roman"/>
                <w:color w:val="000000"/>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pStyle w:val="11"/>
              <w:snapToGrid w:val="0"/>
              <w:jc w:val="center"/>
              <w:rPr>
                <w:highlight w:val="none"/>
              </w:rPr>
            </w:pP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千克以上不足</w:t>
            </w:r>
            <w:r>
              <w:rPr>
                <w:rFonts w:ascii="Times New Roman" w:hAnsi="Times New Roman" w:eastAsia="仿宋_GB2312" w:cs="Times New Roman"/>
                <w:color w:val="000000"/>
                <w:sz w:val="21"/>
                <w:szCs w:val="21"/>
                <w:highlight w:val="none"/>
              </w:rPr>
              <w:t>100</w:t>
            </w:r>
            <w:r>
              <w:rPr>
                <w:rFonts w:hint="eastAsia" w:ascii="Times New Roman" w:hAnsi="Times New Roman" w:eastAsia="仿宋_GB2312" w:cs="仿宋_GB2312"/>
                <w:color w:val="000000"/>
                <w:sz w:val="21"/>
                <w:szCs w:val="21"/>
                <w:highlight w:val="none"/>
              </w:rPr>
              <w:t>千克</w:t>
            </w:r>
          </w:p>
        </w:tc>
        <w:tc>
          <w:tcPr>
            <w:tcW w:w="2649" w:type="dxa"/>
            <w:vAlign w:val="center"/>
          </w:tcPr>
          <w:p>
            <w:pPr>
              <w:pStyle w:val="11"/>
              <w:snapToGrid w:val="0"/>
              <w:jc w:val="center"/>
              <w:rPr>
                <w:rFonts w:ascii="Times New Roman" w:hAnsi="Times New Roman" w:cs="Times New Roman"/>
                <w:color w:val="000000"/>
                <w:highlight w:val="none"/>
              </w:rPr>
            </w:pPr>
            <w:r>
              <w:rPr>
                <w:rFonts w:ascii="Times New Roman" w:hAnsi="Times New Roman" w:eastAsia="仿宋_GB2312" w:cs="Times New Roman"/>
                <w:color w:val="000000"/>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pStyle w:val="11"/>
              <w:snapToGrid w:val="0"/>
              <w:jc w:val="center"/>
              <w:rPr>
                <w:highlight w:val="none"/>
              </w:rPr>
            </w:pPr>
            <w:r>
              <w:rPr>
                <w:rFonts w:ascii="Times New Roman" w:hAnsi="Times New Roman" w:eastAsia="仿宋_GB2312" w:cs="Times New Roman"/>
                <w:color w:val="000000"/>
                <w:sz w:val="21"/>
                <w:szCs w:val="21"/>
                <w:highlight w:val="none"/>
              </w:rPr>
              <w:t>100</w:t>
            </w:r>
            <w:r>
              <w:rPr>
                <w:rFonts w:hint="eastAsia" w:ascii="Times New Roman" w:hAnsi="Times New Roman" w:eastAsia="仿宋_GB2312" w:cs="仿宋_GB2312"/>
                <w:color w:val="000000"/>
                <w:sz w:val="21"/>
                <w:szCs w:val="21"/>
                <w:highlight w:val="none"/>
              </w:rPr>
              <w:t>千克以上</w:t>
            </w:r>
          </w:p>
        </w:tc>
        <w:tc>
          <w:tcPr>
            <w:tcW w:w="2649" w:type="dxa"/>
            <w:vAlign w:val="center"/>
          </w:tcPr>
          <w:p>
            <w:pPr>
              <w:pStyle w:val="11"/>
              <w:snapToGrid w:val="0"/>
              <w:jc w:val="center"/>
              <w:rPr>
                <w:rFonts w:ascii="Times New Roman" w:hAnsi="Times New Roman" w:cs="Times New Roman"/>
                <w:color w:val="000000"/>
                <w:highlight w:val="none"/>
              </w:rPr>
            </w:pPr>
            <w:r>
              <w:rPr>
                <w:rFonts w:ascii="Times New Roman" w:hAnsi="Times New Roman" w:eastAsia="仿宋_GB2312" w:cs="Times New Roman"/>
                <w:color w:val="000000"/>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color w:val="000000"/>
                <w:highlight w:val="none"/>
              </w:rPr>
              <w:t>违法持续时间</w:t>
            </w:r>
          </w:p>
        </w:tc>
        <w:tc>
          <w:tcPr>
            <w:tcW w:w="5156"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个月以内的</w:t>
            </w:r>
          </w:p>
        </w:tc>
        <w:tc>
          <w:tcPr>
            <w:tcW w:w="264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b/>
                <w:bCs/>
                <w:highlight w:val="none"/>
              </w:rPr>
            </w:pPr>
            <w:r>
              <w:rPr>
                <w:rFonts w:hint="eastAsia" w:ascii="Times New Roman" w:hAnsi="Times New Roman" w:eastAsia="仿宋_GB2312" w:cs="仿宋_GB2312"/>
                <w:color w:val="000000"/>
                <w:highlight w:val="none"/>
              </w:rPr>
              <w:t>超过</w:t>
            </w: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个月并且在</w:t>
            </w: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个月以内的</w:t>
            </w:r>
          </w:p>
        </w:tc>
        <w:tc>
          <w:tcPr>
            <w:tcW w:w="264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b/>
                <w:bCs/>
                <w:highlight w:val="none"/>
              </w:rPr>
            </w:pPr>
            <w:r>
              <w:rPr>
                <w:rFonts w:hint="eastAsia" w:ascii="Times New Roman" w:hAnsi="Times New Roman" w:eastAsia="仿宋_GB2312" w:cs="仿宋_GB2312"/>
                <w:color w:val="000000"/>
                <w:highlight w:val="none"/>
              </w:rPr>
              <w:t>超过</w:t>
            </w: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个月并且在</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年以内的</w:t>
            </w:r>
          </w:p>
        </w:tc>
        <w:tc>
          <w:tcPr>
            <w:tcW w:w="264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b/>
                <w:bCs/>
                <w:highlight w:val="none"/>
              </w:rPr>
            </w:pPr>
            <w:r>
              <w:rPr>
                <w:rFonts w:hint="eastAsia" w:ascii="Times New Roman" w:hAnsi="Times New Roman" w:eastAsia="仿宋_GB2312" w:cs="仿宋_GB2312"/>
                <w:color w:val="000000"/>
                <w:highlight w:val="none"/>
              </w:rPr>
              <w:t>超过</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年并且在</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年以内的</w:t>
            </w:r>
          </w:p>
        </w:tc>
        <w:tc>
          <w:tcPr>
            <w:tcW w:w="264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b/>
                <w:bCs/>
                <w:highlight w:val="none"/>
              </w:rPr>
            </w:pP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年以上的</w:t>
            </w:r>
          </w:p>
        </w:tc>
        <w:tc>
          <w:tcPr>
            <w:tcW w:w="264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805"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5156"/>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2"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805"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kern w:val="0"/>
                <w:highlight w:val="none"/>
              </w:rPr>
            </w:pPr>
            <w:r>
              <w:rPr>
                <w:rFonts w:hint="eastAsia" w:ascii="Times New Roman" w:hAnsi="Times New Roman" w:cs="宋体"/>
                <w:b/>
                <w:bCs/>
                <w:kern w:val="0"/>
                <w:highlight w:val="none"/>
              </w:rPr>
              <w:t>违法行为</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不按照规定设置放射性标识、标志、中文警示说明，责令限期改正逾期不改正的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88" w:lineRule="auto"/>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《中华人民共和国放射性污染防治法》第十六条</w:t>
            </w:r>
            <w:r>
              <w:rPr>
                <w:rFonts w:ascii="Times New Roman" w:hAnsi="Times New Roman" w:eastAsia="仿宋_GB2312" w:cs="Times New Roman"/>
                <w:b/>
                <w:bCs/>
                <w:kern w:val="0"/>
                <w:highlight w:val="none"/>
              </w:rPr>
              <w:t xml:space="preserve"> </w:t>
            </w:r>
            <w:r>
              <w:rPr>
                <w:rFonts w:hint="eastAsia" w:ascii="Times New Roman" w:hAnsi="Times New Roman" w:eastAsia="仿宋_GB2312" w:cs="仿宋_GB2312"/>
                <w:kern w:val="0"/>
                <w:highlight w:val="none"/>
              </w:rPr>
              <w:t>放射性物质和射线装置应当设置明显的放射性标识和中文警示说明。生产、销售、使用、贮存、处置放射性物质和射线装置的场所，以及运输放射性物质和含放射源的射线装置的工具，应当设置明显的放射性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805" w:type="dxa"/>
            <w:gridSpan w:val="2"/>
            <w:vAlign w:val="center"/>
          </w:tcPr>
          <w:p>
            <w:pPr>
              <w:snapToGrid w:val="0"/>
              <w:spacing w:line="288" w:lineRule="auto"/>
              <w:ind w:firstLine="422" w:firstLineChars="200"/>
              <w:rPr>
                <w:rFonts w:ascii="Times New Roman" w:hAnsi="Times New Roman" w:eastAsia="仿宋_GB2312" w:cs="Times New Roman"/>
                <w:highlight w:val="none"/>
              </w:rPr>
            </w:pPr>
            <w:r>
              <w:rPr>
                <w:rFonts w:hint="eastAsia" w:ascii="Times New Roman" w:hAnsi="Times New Roman" w:eastAsia="仿宋_GB2312" w:cs="仿宋_GB2312"/>
                <w:b/>
                <w:bCs/>
                <w:kern w:val="0"/>
                <w:highlight w:val="none"/>
              </w:rPr>
              <w:t>《中华人民共和国放射性污染防治法》第五十五条第（一）项</w:t>
            </w:r>
            <w:r>
              <w:rPr>
                <w:rFonts w:ascii="Times New Roman" w:hAnsi="Times New Roman" w:eastAsia="仿宋_GB2312" w:cs="Times New Roman"/>
                <w:b/>
                <w:bCs/>
                <w:kern w:val="0"/>
                <w:highlight w:val="none"/>
              </w:rPr>
              <w:t xml:space="preserve"> </w:t>
            </w:r>
            <w:r>
              <w:rPr>
                <w:rFonts w:hint="eastAsia" w:ascii="Times New Roman" w:hAnsi="Times New Roman" w:eastAsia="仿宋_GB2312" w:cs="仿宋_GB2312"/>
                <w:highlight w:val="none"/>
              </w:rPr>
              <w:t>违反本法规定，有下列行为之一的，由县级以上人民政府环境保护行政主管部门或者其他有关部门依据职权责令限期改正；逾期不改正的，责令停产停业，并处二万元以上十万元以下罚款；构成犯罪的，依法追究刑事责任：</w:t>
            </w:r>
          </w:p>
          <w:p>
            <w:pPr>
              <w:snapToGrid w:val="0"/>
              <w:spacing w:line="288" w:lineRule="auto"/>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highlight w:val="none"/>
              </w:rPr>
              <w:t>（一）不按照规定设置放射性标识、标志、中文警示说明的。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15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4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color w:val="000000"/>
                <w:highlight w:val="none"/>
              </w:rPr>
              <w:t>违法事实★</w:t>
            </w:r>
          </w:p>
        </w:tc>
        <w:tc>
          <w:tcPr>
            <w:tcW w:w="5156" w:type="dxa"/>
            <w:vAlign w:val="center"/>
          </w:tcPr>
          <w:p>
            <w:pPr>
              <w:pStyle w:val="12"/>
              <w:snapToGrid w:val="0"/>
              <w:spacing w:before="0" w:beforeAutospacing="0" w:after="0" w:afterAutospacing="0"/>
              <w:jc w:val="center"/>
              <w:rPr>
                <w:rFonts w:ascii="Times New Roman" w:hAnsi="Times New Roman" w:eastAsia="仿宋_GB2312" w:cs="Times New Roman"/>
                <w:highlight w:val="none"/>
              </w:rPr>
            </w:pPr>
            <w:r>
              <w:rPr>
                <w:rFonts w:hint="eastAsia" w:ascii="Times New Roman" w:hAnsi="Times New Roman" w:eastAsia="仿宋_GB2312" w:cs="仿宋_GB2312"/>
                <w:color w:val="000000"/>
                <w:sz w:val="21"/>
                <w:szCs w:val="21"/>
                <w:highlight w:val="none"/>
              </w:rPr>
              <w:t>放射性标识、标志、中文警示说明设置不规范的</w:t>
            </w:r>
          </w:p>
        </w:tc>
        <w:tc>
          <w:tcPr>
            <w:tcW w:w="2649" w:type="dxa"/>
            <w:vAlign w:val="center"/>
          </w:tcPr>
          <w:p>
            <w:pPr>
              <w:pStyle w:val="11"/>
              <w:snapToGrid w:val="0"/>
              <w:jc w:val="center"/>
              <w:rPr>
                <w:rFonts w:ascii="Times New Roman" w:hAnsi="Times New Roman" w:cs="Times New Roman"/>
                <w:highlight w:val="none"/>
              </w:rPr>
            </w:pPr>
            <w:r>
              <w:rPr>
                <w:rFonts w:ascii="Times New Roman" w:hAnsi="Times New Roman" w:cs="Times New Roman"/>
                <w:color w:val="000000"/>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未设置放射性标识、标志、中文警示说明</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涉及放射类型</w:t>
            </w:r>
          </w:p>
        </w:tc>
        <w:tc>
          <w:tcPr>
            <w:tcW w:w="5156"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Ⅳ</w:t>
            </w:r>
            <w:r>
              <w:rPr>
                <w:rFonts w:hint="eastAsia" w:ascii="Times New Roman" w:hAnsi="Times New Roman" w:eastAsia="仿宋_GB2312" w:cs="仿宋_GB2312"/>
                <w:highlight w:val="none"/>
              </w:rPr>
              <w:t>类、</w:t>
            </w:r>
            <w:r>
              <w:rPr>
                <w:rFonts w:hint="eastAsia" w:ascii="宋体" w:hAnsi="宋体" w:cs="宋体"/>
                <w:highlight w:val="none"/>
              </w:rPr>
              <w:t>Ⅴ</w:t>
            </w:r>
            <w:r>
              <w:rPr>
                <w:rFonts w:hint="eastAsia" w:ascii="Times New Roman" w:hAnsi="Times New Roman" w:eastAsia="仿宋_GB2312" w:cs="仿宋_GB2312"/>
                <w:highlight w:val="none"/>
              </w:rPr>
              <w:t>类放射源或</w:t>
            </w:r>
            <w:r>
              <w:rPr>
                <w:rFonts w:hint="eastAsia" w:ascii="宋体" w:hAnsi="宋体" w:cs="宋体"/>
                <w:highlight w:val="none"/>
              </w:rPr>
              <w:t>Ⅲ</w:t>
            </w:r>
            <w:r>
              <w:rPr>
                <w:rFonts w:hint="eastAsia" w:ascii="Times New Roman" w:hAnsi="Times New Roman" w:eastAsia="仿宋_GB2312" w:cs="仿宋_GB2312"/>
                <w:highlight w:val="none"/>
              </w:rPr>
              <w:t>类射线装置的</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Ⅲ</w:t>
            </w:r>
            <w:r>
              <w:rPr>
                <w:rFonts w:hint="eastAsia" w:ascii="Times New Roman" w:hAnsi="Times New Roman" w:eastAsia="仿宋_GB2312" w:cs="仿宋_GB2312"/>
                <w:highlight w:val="none"/>
              </w:rPr>
              <w:t>类放射源或</w:t>
            </w:r>
            <w:r>
              <w:rPr>
                <w:rFonts w:hint="eastAsia" w:ascii="宋体" w:hAnsi="宋体" w:cs="宋体"/>
                <w:highlight w:val="none"/>
              </w:rPr>
              <w:t>Ⅱ</w:t>
            </w:r>
            <w:r>
              <w:rPr>
                <w:rFonts w:hint="eastAsia" w:ascii="Times New Roman" w:hAnsi="Times New Roman" w:eastAsia="仿宋_GB2312" w:cs="仿宋_GB2312"/>
                <w:highlight w:val="none"/>
              </w:rPr>
              <w:t>类射线装置的</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Ⅰ</w:t>
            </w:r>
            <w:r>
              <w:rPr>
                <w:rFonts w:hint="eastAsia" w:ascii="Times New Roman" w:hAnsi="Times New Roman" w:eastAsia="仿宋_GB2312" w:cs="仿宋_GB2312"/>
                <w:highlight w:val="none"/>
              </w:rPr>
              <w:t>类、</w:t>
            </w:r>
            <w:r>
              <w:rPr>
                <w:rFonts w:hint="eastAsia" w:ascii="宋体" w:hAnsi="宋体" w:cs="宋体"/>
                <w:highlight w:val="none"/>
              </w:rPr>
              <w:t>Ⅱ</w:t>
            </w:r>
            <w:r>
              <w:rPr>
                <w:rFonts w:hint="eastAsia" w:ascii="Times New Roman" w:hAnsi="Times New Roman" w:eastAsia="仿宋_GB2312" w:cs="仿宋_GB2312"/>
                <w:highlight w:val="none"/>
              </w:rPr>
              <w:t>类放射源或</w:t>
            </w:r>
            <w:r>
              <w:rPr>
                <w:rFonts w:hint="eastAsia" w:ascii="宋体" w:hAnsi="宋体" w:cs="宋体"/>
                <w:highlight w:val="none"/>
              </w:rPr>
              <w:t>Ⅰ</w:t>
            </w:r>
            <w:r>
              <w:rPr>
                <w:rFonts w:hint="eastAsia" w:ascii="Times New Roman" w:hAnsi="Times New Roman" w:eastAsia="仿宋_GB2312" w:cs="仿宋_GB2312"/>
                <w:highlight w:val="none"/>
              </w:rPr>
              <w:t>类射线装置的</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非密封放射性物质工作场所分类</w:t>
            </w: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丙级工作场所</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乙级工作场所</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甲级工作场所</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超过限期</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改正时间</w:t>
            </w: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天</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天</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个月以上</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805"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5368"/>
        <w:gridCol w:w="2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072"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805"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Align w:val="center"/>
          </w:tcPr>
          <w:p>
            <w:pPr>
              <w:snapToGrid w:val="0"/>
              <w:jc w:val="center"/>
              <w:rPr>
                <w:rFonts w:ascii="Times New Roman" w:hAnsi="Times New Roman" w:cs="Times New Roman"/>
                <w:b/>
                <w:bCs/>
                <w:kern w:val="0"/>
                <w:highlight w:val="none"/>
              </w:rPr>
            </w:pPr>
            <w:r>
              <w:rPr>
                <w:rFonts w:hint="eastAsia" w:ascii="Times New Roman" w:hAnsi="Times New Roman" w:cs="宋体"/>
                <w:b/>
                <w:bCs/>
                <w:kern w:val="0"/>
                <w:highlight w:val="none"/>
              </w:rPr>
              <w:t>违法行为</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20" w:firstLineChars="200"/>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不按照规定制定事故应急计划或者应急措施，责令限期改正逾期不改正的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《中华人民共和国放射性污染防治法》第二十五条</w:t>
            </w:r>
            <w:r>
              <w:rPr>
                <w:rFonts w:ascii="Times New Roman" w:hAnsi="Times New Roman" w:eastAsia="仿宋_GB2312" w:cs="Times New Roman"/>
                <w:b/>
                <w:bCs/>
                <w:kern w:val="0"/>
                <w:highlight w:val="none"/>
              </w:rPr>
              <w:t xml:space="preserve"> </w:t>
            </w:r>
            <w:r>
              <w:rPr>
                <w:rFonts w:hint="eastAsia" w:ascii="Times New Roman" w:hAnsi="Times New Roman" w:eastAsia="仿宋_GB2312" w:cs="仿宋_GB2312"/>
                <w:kern w:val="0"/>
                <w:highlight w:val="none"/>
              </w:rPr>
              <w:t>核设施营运单位应当建立健全安全保卫制度，加强安全保卫工作，并接受公安部门的监督指导。</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20"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核设施营运单位应当按照核设施的规模和性质制定核事故场内应急计划，做好应急准备。</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20"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出现核事故应急状态时，核设施营运单位必须立即采取有效的应急措施控制事故，并向核设施主管部门和环境保护行政主管部门、卫生行政部门、公安部门以及其他有关部门报告。</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第三十三条</w:t>
            </w:r>
            <w:r>
              <w:rPr>
                <w:rFonts w:ascii="Times New Roman" w:hAnsi="Times New Roman" w:eastAsia="仿宋_GB2312" w:cs="Times New Roman"/>
                <w:kern w:val="0"/>
                <w:highlight w:val="none"/>
              </w:rPr>
              <w:t xml:space="preserve"> </w:t>
            </w:r>
            <w:r>
              <w:rPr>
                <w:rFonts w:hint="eastAsia" w:ascii="Times New Roman" w:hAnsi="Times New Roman" w:eastAsia="仿宋_GB2312" w:cs="仿宋_GB2312"/>
                <w:kern w:val="0"/>
                <w:highlight w:val="none"/>
              </w:rPr>
              <w:t>生产、销售、使用、贮存放射源的单位，应当建立健全安全保卫制度，指定专人负责，落实安全责任制，制定必要的事故应急措施。发生放射源丢失、被盗和放射性污染事故时，有关单位和个人必须立即采取应急措施，并向公安部门、卫生行政部门和环境保护行政主管部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805" w:type="dxa"/>
            <w:gridSpan w:val="2"/>
            <w:vAlign w:val="center"/>
          </w:tcPr>
          <w:p>
            <w:pPr>
              <w:widowControl/>
              <w:snapToGrid w:val="0"/>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《中华人民共和国放射性污染防治法》第五十五条第（二）项</w:t>
            </w:r>
            <w:r>
              <w:rPr>
                <w:rFonts w:ascii="Times New Roman" w:hAnsi="Times New Roman" w:eastAsia="仿宋_GB2312" w:cs="Times New Roman"/>
                <w:b/>
                <w:bCs/>
                <w:kern w:val="0"/>
                <w:highlight w:val="none"/>
              </w:rPr>
              <w:t xml:space="preserve"> </w:t>
            </w:r>
            <w:r>
              <w:rPr>
                <w:rFonts w:hint="eastAsia" w:ascii="Times New Roman" w:hAnsi="Times New Roman" w:eastAsia="仿宋_GB2312" w:cs="仿宋_GB2312"/>
                <w:kern w:val="0"/>
                <w:highlight w:val="none"/>
              </w:rPr>
              <w:t>违反本法规定，有下列行为之一的，由县级以上人民政府环境保护行政主管部门或者其他有关部门依据职权责令限期改正；逾期不改正的，责令停产停业，并处二万元以上十万元以下罚款；构成犯罪的，依法追究刑事责任：</w:t>
            </w:r>
          </w:p>
          <w:p>
            <w:pPr>
              <w:widowControl/>
              <w:snapToGrid w:val="0"/>
              <w:ind w:firstLine="420"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（二）不按照规定建立健全安全保卫制度和制定事故应急计划或者应急措施的。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368"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43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368" w:type="dxa"/>
            <w:vAlign w:val="center"/>
          </w:tcPr>
          <w:p>
            <w:pPr>
              <w:snapToGrid w:val="0"/>
              <w:jc w:val="center"/>
              <w:rPr>
                <w:rFonts w:ascii="Times New Roman" w:hAnsi="Times New Roman" w:eastAsia="仿宋_GB2312" w:cs="Times New Roman"/>
                <w:b/>
                <w:bCs/>
                <w:color w:val="000000"/>
                <w:highlight w:val="none"/>
              </w:rPr>
            </w:pPr>
            <w:r>
              <w:rPr>
                <w:rFonts w:hint="eastAsia" w:ascii="Times New Roman" w:hAnsi="Times New Roman" w:eastAsia="仿宋_GB2312" w:cs="仿宋_GB2312"/>
                <w:color w:val="000000"/>
                <w:highlight w:val="none"/>
              </w:rPr>
              <w:t>制定事故应急计划或者应急措施不健全</w:t>
            </w:r>
          </w:p>
        </w:tc>
        <w:tc>
          <w:tcPr>
            <w:tcW w:w="2437"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368"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未制定事故应急计划或者应急措施</w:t>
            </w:r>
          </w:p>
        </w:tc>
        <w:tc>
          <w:tcPr>
            <w:tcW w:w="2437"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辐射事故</w:t>
            </w:r>
          </w:p>
        </w:tc>
        <w:tc>
          <w:tcPr>
            <w:tcW w:w="5368"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未造成辐射事故</w:t>
            </w:r>
          </w:p>
        </w:tc>
        <w:tc>
          <w:tcPr>
            <w:tcW w:w="2437"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368"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造成</w:t>
            </w:r>
            <w:r>
              <w:rPr>
                <w:rFonts w:ascii="Times New Roman" w:hAnsi="Times New Roman" w:eastAsia="仿宋_GB2312" w:cs="仿宋_GB2312"/>
                <w:color w:val="000000"/>
                <w:highlight w:val="none"/>
              </w:rPr>
              <w:t>一般辐射事故</w:t>
            </w:r>
          </w:p>
        </w:tc>
        <w:tc>
          <w:tcPr>
            <w:tcW w:w="2437"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368"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造成</w:t>
            </w:r>
            <w:r>
              <w:rPr>
                <w:rFonts w:ascii="Times New Roman" w:hAnsi="Times New Roman" w:eastAsia="仿宋_GB2312" w:cs="仿宋_GB2312"/>
                <w:color w:val="000000"/>
                <w:highlight w:val="none"/>
              </w:rPr>
              <w:t>较大辐射事故</w:t>
            </w:r>
          </w:p>
        </w:tc>
        <w:tc>
          <w:tcPr>
            <w:tcW w:w="2437"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368"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造成</w:t>
            </w:r>
            <w:r>
              <w:rPr>
                <w:rFonts w:ascii="Times New Roman" w:hAnsi="Times New Roman" w:eastAsia="仿宋_GB2312" w:cs="仿宋_GB2312"/>
                <w:color w:val="000000"/>
                <w:highlight w:val="none"/>
              </w:rPr>
              <w:t>重大辐射</w:t>
            </w:r>
            <w:r>
              <w:rPr>
                <w:rFonts w:hint="eastAsia" w:ascii="Times New Roman" w:hAnsi="Times New Roman" w:eastAsia="仿宋_GB2312" w:cs="仿宋_GB2312"/>
                <w:color w:val="000000"/>
                <w:highlight w:val="none"/>
              </w:rPr>
              <w:t>事故</w:t>
            </w:r>
          </w:p>
        </w:tc>
        <w:tc>
          <w:tcPr>
            <w:tcW w:w="2437"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368"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造成特别重大辐射事故</w:t>
            </w:r>
          </w:p>
        </w:tc>
        <w:tc>
          <w:tcPr>
            <w:tcW w:w="2437"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核设施</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分类</w:t>
            </w:r>
          </w:p>
        </w:tc>
        <w:tc>
          <w:tcPr>
            <w:tcW w:w="5368"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放射性废物处理和处置设施</w:t>
            </w:r>
          </w:p>
        </w:tc>
        <w:tc>
          <w:tcPr>
            <w:tcW w:w="243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368"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核燃料生产、加工、贮存和后处理设施</w:t>
            </w:r>
          </w:p>
        </w:tc>
        <w:tc>
          <w:tcPr>
            <w:tcW w:w="243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368"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研究堆、实验堆、临界装置等反应堆</w:t>
            </w:r>
          </w:p>
        </w:tc>
        <w:tc>
          <w:tcPr>
            <w:tcW w:w="243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368"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核电厂、核热电厂、核供汽供热厂等核动力厂</w:t>
            </w:r>
          </w:p>
        </w:tc>
        <w:tc>
          <w:tcPr>
            <w:tcW w:w="243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涉及放射源类型</w:t>
            </w:r>
          </w:p>
        </w:tc>
        <w:tc>
          <w:tcPr>
            <w:tcW w:w="5368"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color w:val="000000"/>
                <w:highlight w:val="none"/>
              </w:rPr>
              <w:t>Ⅳ</w:t>
            </w:r>
            <w:r>
              <w:rPr>
                <w:rFonts w:hint="eastAsia" w:ascii="Times New Roman" w:hAnsi="Times New Roman" w:eastAsia="仿宋_GB2312" w:cs="仿宋_GB2312"/>
                <w:color w:val="000000"/>
                <w:highlight w:val="none"/>
              </w:rPr>
              <w:t>类、</w:t>
            </w:r>
            <w:r>
              <w:rPr>
                <w:rFonts w:hint="eastAsia" w:ascii="宋体" w:hAnsi="宋体" w:cs="宋体"/>
                <w:color w:val="000000"/>
                <w:highlight w:val="none"/>
              </w:rPr>
              <w:t>Ⅴ</w:t>
            </w:r>
            <w:r>
              <w:rPr>
                <w:rFonts w:hint="eastAsia" w:ascii="Times New Roman" w:hAnsi="Times New Roman" w:eastAsia="仿宋_GB2312" w:cs="仿宋_GB2312"/>
                <w:color w:val="000000"/>
                <w:highlight w:val="none"/>
              </w:rPr>
              <w:t>类放射源</w:t>
            </w:r>
          </w:p>
        </w:tc>
        <w:tc>
          <w:tcPr>
            <w:tcW w:w="243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368"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color w:val="000000"/>
                <w:highlight w:val="none"/>
              </w:rPr>
              <w:t>Ⅲ</w:t>
            </w:r>
            <w:r>
              <w:rPr>
                <w:rFonts w:hint="eastAsia" w:ascii="Times New Roman" w:hAnsi="Times New Roman" w:eastAsia="仿宋_GB2312" w:cs="仿宋_GB2312"/>
                <w:color w:val="000000"/>
                <w:highlight w:val="none"/>
              </w:rPr>
              <w:t>类放射源</w:t>
            </w:r>
          </w:p>
        </w:tc>
        <w:tc>
          <w:tcPr>
            <w:tcW w:w="243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368"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color w:val="000000"/>
                <w:highlight w:val="none"/>
              </w:rPr>
              <w:t>Ⅰ</w:t>
            </w:r>
            <w:r>
              <w:rPr>
                <w:rFonts w:hint="eastAsia" w:ascii="Times New Roman" w:hAnsi="Times New Roman" w:eastAsia="仿宋_GB2312" w:cs="仿宋_GB2312"/>
                <w:color w:val="000000"/>
                <w:highlight w:val="none"/>
              </w:rPr>
              <w:t>类、</w:t>
            </w:r>
            <w:r>
              <w:rPr>
                <w:rFonts w:hint="eastAsia" w:ascii="宋体" w:hAnsi="宋体" w:cs="宋体"/>
                <w:color w:val="000000"/>
                <w:highlight w:val="none"/>
              </w:rPr>
              <w:t>Ⅱ</w:t>
            </w:r>
            <w:r>
              <w:rPr>
                <w:rFonts w:hint="eastAsia" w:ascii="Times New Roman" w:hAnsi="Times New Roman" w:eastAsia="仿宋_GB2312" w:cs="仿宋_GB2312"/>
                <w:color w:val="000000"/>
                <w:highlight w:val="none"/>
              </w:rPr>
              <w:t>类放射源</w:t>
            </w:r>
          </w:p>
        </w:tc>
        <w:tc>
          <w:tcPr>
            <w:tcW w:w="243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超过限期</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改正时间</w:t>
            </w:r>
          </w:p>
        </w:tc>
        <w:tc>
          <w:tcPr>
            <w:tcW w:w="5368"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w:t>
            </w:r>
          </w:p>
        </w:tc>
        <w:tc>
          <w:tcPr>
            <w:tcW w:w="243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368"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天</w:t>
            </w:r>
          </w:p>
        </w:tc>
        <w:tc>
          <w:tcPr>
            <w:tcW w:w="243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368"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天</w:t>
            </w:r>
          </w:p>
        </w:tc>
        <w:tc>
          <w:tcPr>
            <w:tcW w:w="243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368"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w:t>
            </w:r>
          </w:p>
        </w:tc>
        <w:tc>
          <w:tcPr>
            <w:tcW w:w="243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368"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个月以上</w:t>
            </w:r>
          </w:p>
        </w:tc>
        <w:tc>
          <w:tcPr>
            <w:tcW w:w="2437"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805" w:type="dxa"/>
            <w:gridSpan w:val="2"/>
            <w:vAlign w:val="center"/>
          </w:tcPr>
          <w:p>
            <w:pPr>
              <w:snapToGrid w:val="0"/>
              <w:ind w:firstLine="420"/>
              <w:jc w:val="center"/>
              <w:rPr>
                <w:rFonts w:ascii="Times New Roman" w:hAnsi="Times New Roman" w:eastAsia="仿宋_GB2312" w:cs="Times New Roman"/>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5156"/>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2"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805"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kern w:val="0"/>
                <w:highlight w:val="none"/>
              </w:rPr>
            </w:pPr>
            <w:r>
              <w:rPr>
                <w:rFonts w:hint="eastAsia" w:ascii="Times New Roman" w:hAnsi="Times New Roman" w:cs="宋体"/>
                <w:b/>
                <w:bCs/>
                <w:kern w:val="0"/>
                <w:highlight w:val="none"/>
              </w:rPr>
              <w:t>违法行为</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2" w:beforeLines="20"/>
              <w:ind w:firstLine="420" w:firstLineChars="200"/>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不按照规定报告放射源丢失、被盗情况或者放射性污染事故，责令限期改正逾期不改正的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2" w:beforeLines="20" w:line="264" w:lineRule="auto"/>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《中华人民共和国放射性污染防治法》第三十三条</w:t>
            </w:r>
            <w:r>
              <w:rPr>
                <w:rFonts w:ascii="Times New Roman" w:hAnsi="Times New Roman" w:eastAsia="仿宋_GB2312" w:cs="Times New Roman"/>
                <w:kern w:val="0"/>
                <w:highlight w:val="none"/>
              </w:rPr>
              <w:t xml:space="preserve"> </w:t>
            </w:r>
            <w:r>
              <w:rPr>
                <w:rFonts w:hint="eastAsia" w:ascii="Times New Roman" w:hAnsi="Times New Roman" w:eastAsia="仿宋_GB2312" w:cs="仿宋_GB2312"/>
                <w:kern w:val="0"/>
                <w:highlight w:val="none"/>
              </w:rPr>
              <w:t>生产、销售、使用、贮存放射源的单位，应当建立健全安全保卫制度，指定专人负责，落实安全责任制，制定必要的事故应急措施。发生放射源丢失、被盗和放射性污染事故时，有关单位和个人必须立即采取应急措施，并向公安部门、卫生行政部门和环境保护行政主管部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805" w:type="dxa"/>
            <w:gridSpan w:val="2"/>
            <w:vAlign w:val="center"/>
          </w:tcPr>
          <w:p>
            <w:pPr>
              <w:widowControl/>
              <w:snapToGrid w:val="0"/>
              <w:spacing w:before="62" w:beforeLines="20" w:line="264" w:lineRule="auto"/>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《中华人民共和国放射性污染防治法》第五十五条第（三）项</w:t>
            </w:r>
            <w:r>
              <w:rPr>
                <w:rFonts w:ascii="Times New Roman" w:hAnsi="Times New Roman" w:eastAsia="仿宋_GB2312" w:cs="Times New Roman"/>
                <w:b/>
                <w:bCs/>
                <w:kern w:val="0"/>
                <w:highlight w:val="none"/>
              </w:rPr>
              <w:t xml:space="preserve"> </w:t>
            </w:r>
            <w:r>
              <w:rPr>
                <w:rFonts w:hint="eastAsia" w:ascii="Times New Roman" w:hAnsi="Times New Roman" w:eastAsia="仿宋_GB2312" w:cs="仿宋_GB2312"/>
                <w:kern w:val="0"/>
                <w:highlight w:val="none"/>
              </w:rPr>
              <w:t>违反本法规定，有下列行为之一的，由县级以上人民政府环境保护行政主管部门或者其他有关部门依据职权责令限期改正；逾期不改正的，责令停产停业，并处二万元以上十万元以下罚款；构成犯罪的，依法追究刑事责任：</w:t>
            </w:r>
          </w:p>
          <w:p>
            <w:pPr>
              <w:widowControl/>
              <w:snapToGrid w:val="0"/>
              <w:spacing w:line="264" w:lineRule="auto"/>
              <w:ind w:firstLine="420"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（三）不按照规定报告放射源丢失、被盗情况或者放射性污染事故的。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15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49"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kern w:val="0"/>
                <w:highlight w:val="none"/>
              </w:rPr>
              <w:t>报告不及时</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kern w:val="0"/>
                <w:highlight w:val="none"/>
              </w:rPr>
              <w:t>未报告</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kern w:val="0"/>
                <w:highlight w:val="none"/>
              </w:rPr>
            </w:pPr>
            <w:r>
              <w:rPr>
                <w:rFonts w:hint="eastAsia" w:ascii="Times New Roman" w:hAnsi="Times New Roman" w:eastAsia="仿宋_GB2312" w:cs="仿宋_GB2312"/>
                <w:color w:val="000000"/>
                <w:kern w:val="0"/>
                <w:highlight w:val="none"/>
              </w:rPr>
              <w:t>谎报瞒报</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涉及放射源类型</w:t>
            </w: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color w:val="000000"/>
                <w:highlight w:val="none"/>
              </w:rPr>
              <w:t>Ⅳ</w:t>
            </w:r>
            <w:r>
              <w:rPr>
                <w:rFonts w:hint="eastAsia" w:ascii="Times New Roman" w:hAnsi="Times New Roman" w:eastAsia="仿宋_GB2312" w:cs="仿宋_GB2312"/>
                <w:color w:val="000000"/>
                <w:highlight w:val="none"/>
              </w:rPr>
              <w:t>类、</w:t>
            </w:r>
            <w:r>
              <w:rPr>
                <w:rFonts w:hint="eastAsia" w:ascii="宋体" w:hAnsi="宋体" w:cs="宋体"/>
                <w:color w:val="000000"/>
                <w:highlight w:val="none"/>
              </w:rPr>
              <w:t>Ⅴ</w:t>
            </w:r>
            <w:r>
              <w:rPr>
                <w:rFonts w:hint="eastAsia" w:ascii="Times New Roman" w:hAnsi="Times New Roman" w:eastAsia="仿宋_GB2312" w:cs="仿宋_GB2312"/>
                <w:color w:val="000000"/>
                <w:highlight w:val="none"/>
              </w:rPr>
              <w:t>类放射源</w:t>
            </w:r>
          </w:p>
        </w:tc>
        <w:tc>
          <w:tcPr>
            <w:tcW w:w="2649"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color w:val="000000"/>
                <w:sz w:val="21"/>
                <w:szCs w:val="21"/>
                <w:highlight w:val="none"/>
              </w:rPr>
              <w:t>Ⅲ</w:t>
            </w:r>
            <w:r>
              <w:rPr>
                <w:rFonts w:hint="eastAsia" w:ascii="Times New Roman" w:hAnsi="Times New Roman" w:eastAsia="仿宋_GB2312" w:cs="仿宋_GB2312"/>
                <w:color w:val="000000"/>
                <w:sz w:val="21"/>
                <w:szCs w:val="21"/>
                <w:highlight w:val="none"/>
              </w:rPr>
              <w:t>类放射源</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color w:val="000000"/>
                <w:sz w:val="21"/>
                <w:szCs w:val="21"/>
                <w:highlight w:val="none"/>
              </w:rPr>
              <w:t>Ⅰ</w:t>
            </w:r>
            <w:r>
              <w:rPr>
                <w:rFonts w:hint="eastAsia" w:ascii="Times New Roman" w:hAnsi="Times New Roman" w:eastAsia="仿宋_GB2312" w:cs="仿宋_GB2312"/>
                <w:color w:val="000000"/>
                <w:sz w:val="21"/>
                <w:szCs w:val="21"/>
                <w:highlight w:val="none"/>
              </w:rPr>
              <w:t>类、</w:t>
            </w:r>
            <w:r>
              <w:rPr>
                <w:rFonts w:hint="eastAsia"/>
                <w:color w:val="000000"/>
                <w:sz w:val="21"/>
                <w:szCs w:val="21"/>
                <w:highlight w:val="none"/>
              </w:rPr>
              <w:t>Ⅱ</w:t>
            </w:r>
            <w:r>
              <w:rPr>
                <w:rFonts w:hint="eastAsia" w:ascii="Times New Roman" w:hAnsi="Times New Roman" w:eastAsia="仿宋_GB2312" w:cs="仿宋_GB2312"/>
                <w:color w:val="000000"/>
                <w:sz w:val="21"/>
                <w:szCs w:val="21"/>
                <w:highlight w:val="none"/>
              </w:rPr>
              <w:t>类放射源</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restart"/>
            <w:tcMar>
              <w:left w:w="57" w:type="dxa"/>
              <w:right w:w="57" w:type="dxa"/>
            </w:tcMar>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辐射事故</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等级</w:t>
            </w: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造成一般辐射事故</w:t>
            </w:r>
          </w:p>
        </w:tc>
        <w:tc>
          <w:tcPr>
            <w:tcW w:w="264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tcMar>
              <w:left w:w="57" w:type="dxa"/>
              <w:right w:w="57" w:type="dxa"/>
            </w:tcMar>
            <w:vAlign w:val="center"/>
          </w:tcPr>
          <w:p>
            <w:pPr>
              <w:snapToGrid w:val="0"/>
              <w:jc w:val="center"/>
              <w:rPr>
                <w:rFonts w:ascii="Times New Roman" w:hAnsi="Times New Roman" w:cs="Times New Roman"/>
                <w:b/>
                <w:bCs/>
                <w:color w:val="000000"/>
                <w:highlight w:val="none"/>
              </w:rPr>
            </w:pPr>
          </w:p>
        </w:tc>
        <w:tc>
          <w:tcPr>
            <w:tcW w:w="5156"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造成较大辐射事故</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67" w:type="dxa"/>
            <w:vMerge w:val="continue"/>
            <w:tcMar>
              <w:left w:w="57" w:type="dxa"/>
              <w:right w:w="57" w:type="dxa"/>
            </w:tcMar>
            <w:vAlign w:val="center"/>
          </w:tcPr>
          <w:p>
            <w:pPr>
              <w:snapToGrid w:val="0"/>
              <w:jc w:val="center"/>
              <w:rPr>
                <w:rFonts w:ascii="Times New Roman" w:hAnsi="Times New Roman" w:cs="Times New Roman"/>
                <w:b/>
                <w:bCs/>
                <w:color w:val="000000"/>
                <w:highlight w:val="none"/>
              </w:rPr>
            </w:pPr>
          </w:p>
        </w:tc>
        <w:tc>
          <w:tcPr>
            <w:tcW w:w="5156"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造成重大辐射事故</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tcMar>
              <w:left w:w="57" w:type="dxa"/>
              <w:right w:w="57" w:type="dxa"/>
            </w:tcMar>
            <w:vAlign w:val="center"/>
          </w:tcPr>
          <w:p>
            <w:pPr>
              <w:snapToGrid w:val="0"/>
              <w:jc w:val="center"/>
              <w:rPr>
                <w:rFonts w:ascii="Times New Roman" w:hAnsi="Times New Roman" w:cs="Times New Roman"/>
                <w:b/>
                <w:bCs/>
                <w:color w:val="000000"/>
                <w:highlight w:val="none"/>
              </w:rPr>
            </w:pPr>
          </w:p>
        </w:tc>
        <w:tc>
          <w:tcPr>
            <w:tcW w:w="5156"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造成特别重大辐射事故</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67" w:type="dxa"/>
            <w:vMerge w:val="restart"/>
            <w:tcMar>
              <w:left w:w="57" w:type="dxa"/>
              <w:right w:w="57" w:type="dxa"/>
            </w:tcMar>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超过限期</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改正时间</w:t>
            </w: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天</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天</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个月以上</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区域影响</w:t>
            </w: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县级行政区域内</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跨县级行政区域</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跨市级行政区域</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跨省级行政区域</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805" w:type="dxa"/>
            <w:gridSpan w:val="2"/>
            <w:vAlign w:val="center"/>
          </w:tcPr>
          <w:p>
            <w:pPr>
              <w:snapToGrid w:val="0"/>
              <w:ind w:firstLine="420"/>
              <w:jc w:val="center"/>
              <w:rPr>
                <w:rFonts w:ascii="Times New Roman" w:hAnsi="Times New Roman" w:cs="Times New Roman"/>
                <w:color w:val="000000"/>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267"/>
        <w:gridCol w:w="5156"/>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9072"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805"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kern w:val="0"/>
                <w:highlight w:val="none"/>
              </w:rPr>
            </w:pPr>
            <w:r>
              <w:rPr>
                <w:rFonts w:hint="eastAsia" w:ascii="Times New Roman" w:hAnsi="Times New Roman" w:cs="宋体"/>
                <w:b/>
                <w:bCs/>
                <w:kern w:val="0"/>
                <w:highlight w:val="none"/>
              </w:rPr>
              <w:t>违法行为</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2" w:beforeLines="20" w:line="288" w:lineRule="auto"/>
              <w:jc w:val="center"/>
              <w:rPr>
                <w:rFonts w:ascii="Times New Roman" w:hAnsi="Times New Roman" w:eastAsia="仿宋_GB2312" w:cs="Times New Roman"/>
                <w:kern w:val="0"/>
                <w:highlight w:val="none"/>
              </w:rPr>
            </w:pPr>
            <w:r>
              <w:rPr>
                <w:rFonts w:hint="eastAsia" w:ascii="Times New Roman" w:hAnsi="Times New Roman" w:eastAsia="仿宋_GB2312" w:cs="仿宋_GB2312"/>
                <w:color w:val="000000"/>
                <w:kern w:val="0"/>
                <w:highlight w:val="none"/>
              </w:rPr>
              <w:t>不按照规定对其产生的放射性固体废物进行处置的，责令限期改正逾期不改正的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2" w:beforeLines="20" w:line="288" w:lineRule="auto"/>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《中华人民共和国放射性污染防治法》第四十五条</w:t>
            </w:r>
            <w:r>
              <w:rPr>
                <w:rFonts w:ascii="Times New Roman" w:hAnsi="Times New Roman" w:eastAsia="仿宋_GB2312" w:cs="Times New Roman"/>
                <w:b/>
                <w:bCs/>
                <w:kern w:val="0"/>
                <w:highlight w:val="none"/>
              </w:rPr>
              <w:t xml:space="preserve"> </w:t>
            </w:r>
            <w:r>
              <w:rPr>
                <w:rFonts w:hint="eastAsia" w:ascii="Times New Roman" w:hAnsi="Times New Roman" w:eastAsia="仿宋_GB2312" w:cs="仿宋_GB2312"/>
                <w:kern w:val="0"/>
                <w:highlight w:val="none"/>
              </w:rPr>
              <w:t>产生放射性固体废物的单位，应当按照国务院环境保护行政主管部门的规定，对其产生的放射性固体废物进行处理后，送交放射性固体废物处置单位处置，并承担处置费用。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805" w:type="dxa"/>
            <w:gridSpan w:val="2"/>
            <w:vAlign w:val="center"/>
          </w:tcPr>
          <w:p>
            <w:pPr>
              <w:widowControl/>
              <w:snapToGrid w:val="0"/>
              <w:spacing w:before="62" w:beforeLines="20" w:line="288" w:lineRule="auto"/>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《中华人民共和国放射性污染防治法》第五十六条</w:t>
            </w:r>
            <w:r>
              <w:rPr>
                <w:rFonts w:ascii="Times New Roman" w:hAnsi="Times New Roman" w:eastAsia="仿宋_GB2312" w:cs="Times New Roman"/>
                <w:b/>
                <w:bCs/>
                <w:kern w:val="0"/>
                <w:highlight w:val="none"/>
              </w:rPr>
              <w:t xml:space="preserve"> </w:t>
            </w:r>
            <w:r>
              <w:rPr>
                <w:rFonts w:hint="eastAsia" w:ascii="Times New Roman" w:hAnsi="Times New Roman" w:eastAsia="仿宋_GB2312" w:cs="仿宋_GB2312"/>
                <w:kern w:val="0"/>
                <w:highlight w:val="none"/>
              </w:rPr>
              <w:t>产生放射性固体废物的单位，不按照本法第四十五条的规定对其产生的放射性固体废物进行处置的，由审批该单位立项环境影响评价文件的环境保护行政主管部门责令停止违法行为，限期改正；逾期不改正的，指定有处置能力的单位代为处置，所需费用由产生放射性固体废物的单位承担，可以并处二十万元以下罚款；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156"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49"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1267" w:type="dxa"/>
            <w:vMerge w:val="restart"/>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违法事实</w:t>
            </w:r>
            <w:r>
              <w:rPr>
                <w:rFonts w:hint="eastAsia" w:ascii="Times New Roman" w:hAnsi="Times New Roman" w:cs="宋体"/>
                <w:b/>
                <w:bCs/>
                <w:color w:val="000000"/>
                <w:highlight w:val="none"/>
              </w:rPr>
              <w:t>★</w:t>
            </w:r>
          </w:p>
        </w:tc>
        <w:tc>
          <w:tcPr>
            <w:tcW w:w="5156" w:type="dxa"/>
            <w:vAlign w:val="center"/>
          </w:tcPr>
          <w:p>
            <w:pPr>
              <w:snapToGrid w:val="0"/>
              <w:jc w:val="center"/>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未对产生的放射性固体废物规范处置的</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67" w:type="dxa"/>
            <w:vMerge w:val="continue"/>
            <w:vAlign w:val="center"/>
          </w:tcPr>
          <w:p>
            <w:pPr>
              <w:snapToGrid w:val="0"/>
              <w:spacing w:line="288" w:lineRule="auto"/>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未对产生的放射性固体废物处置的</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1267" w:type="dxa"/>
            <w:vMerge w:val="restart"/>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放射性</w:t>
            </w:r>
          </w:p>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废物数量</w:t>
            </w:r>
          </w:p>
        </w:tc>
        <w:tc>
          <w:tcPr>
            <w:tcW w:w="5156"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不足</w:t>
            </w: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千克</w:t>
            </w:r>
          </w:p>
        </w:tc>
        <w:tc>
          <w:tcPr>
            <w:tcW w:w="2649"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1267" w:type="dxa"/>
            <w:vMerge w:val="continue"/>
            <w:vAlign w:val="center"/>
          </w:tcPr>
          <w:p>
            <w:pPr>
              <w:snapToGrid w:val="0"/>
              <w:spacing w:line="288" w:lineRule="auto"/>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千克以上不足</w:t>
            </w:r>
            <w:r>
              <w:rPr>
                <w:rFonts w:ascii="Times New Roman" w:hAnsi="Times New Roman" w:eastAsia="仿宋_GB2312" w:cs="Times New Roman"/>
                <w:color w:val="000000"/>
                <w:highlight w:val="none"/>
              </w:rPr>
              <w:t>100</w:t>
            </w:r>
            <w:r>
              <w:rPr>
                <w:rFonts w:hint="eastAsia" w:ascii="Times New Roman" w:hAnsi="Times New Roman" w:eastAsia="仿宋_GB2312" w:cs="仿宋_GB2312"/>
                <w:color w:val="000000"/>
                <w:highlight w:val="none"/>
              </w:rPr>
              <w:t>千克</w:t>
            </w:r>
          </w:p>
        </w:tc>
        <w:tc>
          <w:tcPr>
            <w:tcW w:w="2649"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1267" w:type="dxa"/>
            <w:vMerge w:val="continue"/>
            <w:vAlign w:val="center"/>
          </w:tcPr>
          <w:p>
            <w:pPr>
              <w:snapToGrid w:val="0"/>
              <w:spacing w:line="288" w:lineRule="auto"/>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100</w:t>
            </w:r>
            <w:r>
              <w:rPr>
                <w:rFonts w:hint="eastAsia" w:ascii="Times New Roman" w:hAnsi="Times New Roman" w:eastAsia="仿宋_GB2312" w:cs="仿宋_GB2312"/>
                <w:color w:val="000000"/>
                <w:highlight w:val="none"/>
              </w:rPr>
              <w:t>千克以上</w:t>
            </w:r>
          </w:p>
        </w:tc>
        <w:tc>
          <w:tcPr>
            <w:tcW w:w="2649"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1267" w:type="dxa"/>
            <w:vMerge w:val="restart"/>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放射性废物类型</w:t>
            </w:r>
          </w:p>
        </w:tc>
        <w:tc>
          <w:tcPr>
            <w:tcW w:w="5156" w:type="dxa"/>
            <w:vAlign w:val="center"/>
          </w:tcPr>
          <w:p>
            <w:pPr>
              <w:snapToGrid w:val="0"/>
              <w:jc w:val="center"/>
              <w:rPr>
                <w:rFonts w:ascii="Times New Roman" w:hAnsi="Times New Roman" w:eastAsia="仿宋_GB2312" w:cs="Times New Roman"/>
                <w:color w:val="000000"/>
                <w:kern w:val="0"/>
                <w:highlight w:val="none"/>
              </w:rPr>
            </w:pPr>
            <w:r>
              <w:rPr>
                <w:rFonts w:hint="eastAsia" w:ascii="Times New Roman" w:hAnsi="Times New Roman" w:eastAsia="仿宋_GB2312" w:cs="仿宋_GB2312"/>
                <w:color w:val="000000"/>
                <w:kern w:val="0"/>
                <w:highlight w:val="none"/>
              </w:rPr>
              <w:t>极短寿命放射性废物</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67" w:type="dxa"/>
            <w:vMerge w:val="continue"/>
            <w:vAlign w:val="center"/>
          </w:tcPr>
          <w:p>
            <w:pPr>
              <w:snapToGrid w:val="0"/>
              <w:spacing w:line="288" w:lineRule="auto"/>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极低水平放射性废物</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67" w:type="dxa"/>
            <w:vMerge w:val="continue"/>
            <w:vAlign w:val="center"/>
          </w:tcPr>
          <w:p>
            <w:pPr>
              <w:snapToGrid w:val="0"/>
              <w:spacing w:line="288" w:lineRule="auto"/>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低水平放射性废物</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1267" w:type="dxa"/>
            <w:vMerge w:val="continue"/>
            <w:vAlign w:val="center"/>
          </w:tcPr>
          <w:p>
            <w:pPr>
              <w:snapToGrid w:val="0"/>
              <w:spacing w:line="288" w:lineRule="auto"/>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b/>
                <w:bCs/>
                <w:highlight w:val="none"/>
              </w:rPr>
            </w:pPr>
            <w:r>
              <w:rPr>
                <w:rFonts w:hint="eastAsia" w:ascii="Times New Roman" w:hAnsi="Times New Roman" w:eastAsia="仿宋_GB2312" w:cs="仿宋_GB2312"/>
                <w:highlight w:val="none"/>
              </w:rPr>
              <w:t>中水平放射性废物</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1267" w:type="dxa"/>
            <w:vMerge w:val="continue"/>
            <w:vAlign w:val="center"/>
          </w:tcPr>
          <w:p>
            <w:pPr>
              <w:snapToGrid w:val="0"/>
              <w:spacing w:line="288" w:lineRule="auto"/>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b/>
                <w:bCs/>
                <w:highlight w:val="none"/>
              </w:rPr>
            </w:pPr>
            <w:r>
              <w:rPr>
                <w:rFonts w:hint="eastAsia" w:ascii="Times New Roman" w:hAnsi="Times New Roman" w:eastAsia="仿宋_GB2312" w:cs="仿宋_GB2312"/>
                <w:highlight w:val="none"/>
              </w:rPr>
              <w:t>高水平放射性废物</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67"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超过限期</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改正时间</w:t>
            </w: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不足</w:t>
            </w:r>
            <w:r>
              <w:rPr>
                <w:rFonts w:ascii="Times New Roman" w:hAnsi="Times New Roman" w:eastAsia="仿宋_GB2312" w:cs="Times New Roman"/>
                <w:highlight w:val="none"/>
              </w:rPr>
              <w:t>5</w:t>
            </w:r>
            <w:r>
              <w:rPr>
                <w:rFonts w:hint="eastAsia" w:ascii="Times New Roman" w:hAnsi="Times New Roman" w:eastAsia="仿宋_GB2312" w:cs="仿宋_GB2312"/>
                <w:highlight w:val="none"/>
              </w:rPr>
              <w:t>天</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1267" w:type="dxa"/>
            <w:vMerge w:val="continue"/>
            <w:vAlign w:val="center"/>
          </w:tcPr>
          <w:p>
            <w:pPr>
              <w:snapToGrid w:val="0"/>
              <w:spacing w:line="288" w:lineRule="auto"/>
              <w:jc w:val="center"/>
              <w:rPr>
                <w:rFonts w:ascii="Times New Roman" w:hAnsi="Times New Roman" w:cs="Times New Roman"/>
                <w:b/>
                <w:bCs/>
                <w:highlight w:val="none"/>
              </w:rPr>
            </w:pPr>
          </w:p>
        </w:tc>
        <w:tc>
          <w:tcPr>
            <w:tcW w:w="5156" w:type="dxa"/>
            <w:vAlign w:val="center"/>
          </w:tcPr>
          <w:p>
            <w:pPr>
              <w:pStyle w:val="11"/>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5</w:t>
            </w:r>
            <w:r>
              <w:rPr>
                <w:rFonts w:hint="eastAsia" w:ascii="Times New Roman" w:hAnsi="Times New Roman" w:eastAsia="仿宋_GB2312" w:cs="仿宋_GB2312"/>
                <w:sz w:val="21"/>
                <w:szCs w:val="21"/>
                <w:highlight w:val="none"/>
              </w:rPr>
              <w:t>天以上不足</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天</w:t>
            </w:r>
          </w:p>
        </w:tc>
        <w:tc>
          <w:tcPr>
            <w:tcW w:w="2649" w:type="dxa"/>
            <w:vAlign w:val="center"/>
          </w:tcPr>
          <w:p>
            <w:pPr>
              <w:snapToGrid w:val="0"/>
              <w:spacing w:line="312" w:lineRule="auto"/>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67" w:type="dxa"/>
            <w:vMerge w:val="continue"/>
            <w:vAlign w:val="center"/>
          </w:tcPr>
          <w:p>
            <w:pPr>
              <w:snapToGrid w:val="0"/>
              <w:spacing w:line="288" w:lineRule="auto"/>
              <w:jc w:val="center"/>
              <w:rPr>
                <w:rFonts w:ascii="Times New Roman" w:hAnsi="Times New Roman" w:cs="Times New Roman"/>
                <w:b/>
                <w:bCs/>
                <w:highlight w:val="none"/>
              </w:rPr>
            </w:pPr>
          </w:p>
        </w:tc>
        <w:tc>
          <w:tcPr>
            <w:tcW w:w="5156" w:type="dxa"/>
            <w:vAlign w:val="center"/>
          </w:tcPr>
          <w:p>
            <w:pPr>
              <w:pStyle w:val="11"/>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天以上不足</w:t>
            </w:r>
            <w:r>
              <w:rPr>
                <w:rFonts w:ascii="Times New Roman" w:hAnsi="Times New Roman" w:eastAsia="仿宋_GB2312" w:cs="Times New Roman"/>
                <w:sz w:val="21"/>
                <w:szCs w:val="21"/>
                <w:highlight w:val="none"/>
              </w:rPr>
              <w:t>20</w:t>
            </w:r>
            <w:r>
              <w:rPr>
                <w:rFonts w:hint="eastAsia" w:ascii="Times New Roman" w:hAnsi="Times New Roman" w:eastAsia="仿宋_GB2312" w:cs="仿宋_GB2312"/>
                <w:sz w:val="21"/>
                <w:szCs w:val="21"/>
                <w:highlight w:val="none"/>
              </w:rPr>
              <w:t>天</w:t>
            </w:r>
          </w:p>
        </w:tc>
        <w:tc>
          <w:tcPr>
            <w:tcW w:w="2649" w:type="dxa"/>
            <w:vAlign w:val="center"/>
          </w:tcPr>
          <w:p>
            <w:pPr>
              <w:snapToGrid w:val="0"/>
              <w:spacing w:line="312" w:lineRule="auto"/>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1267" w:type="dxa"/>
            <w:vMerge w:val="continue"/>
            <w:vAlign w:val="center"/>
          </w:tcPr>
          <w:p>
            <w:pPr>
              <w:snapToGrid w:val="0"/>
              <w:spacing w:line="288" w:lineRule="auto"/>
              <w:jc w:val="center"/>
              <w:rPr>
                <w:rFonts w:ascii="Times New Roman" w:hAnsi="Times New Roman" w:cs="Times New Roman"/>
                <w:b/>
                <w:bCs/>
                <w:highlight w:val="none"/>
              </w:rPr>
            </w:pPr>
          </w:p>
        </w:tc>
        <w:tc>
          <w:tcPr>
            <w:tcW w:w="5156" w:type="dxa"/>
            <w:vAlign w:val="center"/>
          </w:tcPr>
          <w:p>
            <w:pPr>
              <w:pStyle w:val="11"/>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20</w:t>
            </w:r>
            <w:r>
              <w:rPr>
                <w:rFonts w:hint="eastAsia" w:ascii="Times New Roman" w:hAnsi="Times New Roman" w:eastAsia="仿宋_GB2312" w:cs="仿宋_GB2312"/>
                <w:sz w:val="21"/>
                <w:szCs w:val="21"/>
                <w:highlight w:val="none"/>
              </w:rPr>
              <w:t>天以上不足</w:t>
            </w:r>
            <w:r>
              <w:rPr>
                <w:rFonts w:ascii="Times New Roman" w:hAnsi="Times New Roman" w:eastAsia="仿宋_GB2312" w:cs="Times New Roman"/>
                <w:sz w:val="21"/>
                <w:szCs w:val="21"/>
                <w:highlight w:val="none"/>
              </w:rPr>
              <w:t>1</w:t>
            </w:r>
            <w:r>
              <w:rPr>
                <w:rFonts w:hint="eastAsia" w:ascii="Times New Roman" w:hAnsi="Times New Roman" w:eastAsia="仿宋_GB2312" w:cs="仿宋_GB2312"/>
                <w:sz w:val="21"/>
                <w:szCs w:val="21"/>
                <w:highlight w:val="none"/>
              </w:rPr>
              <w:t>个月</w:t>
            </w:r>
          </w:p>
        </w:tc>
        <w:tc>
          <w:tcPr>
            <w:tcW w:w="2649" w:type="dxa"/>
            <w:vAlign w:val="center"/>
          </w:tcPr>
          <w:p>
            <w:pPr>
              <w:snapToGrid w:val="0"/>
              <w:spacing w:line="312" w:lineRule="auto"/>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67" w:type="dxa"/>
            <w:vMerge w:val="continue"/>
            <w:vAlign w:val="center"/>
          </w:tcPr>
          <w:p>
            <w:pPr>
              <w:snapToGrid w:val="0"/>
              <w:spacing w:line="288" w:lineRule="auto"/>
              <w:jc w:val="center"/>
              <w:rPr>
                <w:rFonts w:ascii="Times New Roman" w:hAnsi="Times New Roman" w:cs="Times New Roman"/>
                <w:b/>
                <w:bCs/>
                <w:highlight w:val="none"/>
              </w:rPr>
            </w:pPr>
          </w:p>
        </w:tc>
        <w:tc>
          <w:tcPr>
            <w:tcW w:w="5156" w:type="dxa"/>
            <w:vAlign w:val="center"/>
          </w:tcPr>
          <w:p>
            <w:pPr>
              <w:pStyle w:val="11"/>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1</w:t>
            </w:r>
            <w:r>
              <w:rPr>
                <w:rFonts w:hint="eastAsia" w:ascii="Times New Roman" w:hAnsi="Times New Roman" w:eastAsia="仿宋_GB2312" w:cs="仿宋_GB2312"/>
                <w:sz w:val="21"/>
                <w:szCs w:val="21"/>
                <w:highlight w:val="none"/>
              </w:rPr>
              <w:t>个月以上</w:t>
            </w:r>
          </w:p>
        </w:tc>
        <w:tc>
          <w:tcPr>
            <w:tcW w:w="2649" w:type="dxa"/>
            <w:vAlign w:val="center"/>
          </w:tcPr>
          <w:p>
            <w:pPr>
              <w:snapToGrid w:val="0"/>
              <w:spacing w:line="312" w:lineRule="auto"/>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805" w:type="dxa"/>
            <w:gridSpan w:val="2"/>
            <w:vAlign w:val="center"/>
          </w:tcPr>
          <w:p>
            <w:pPr>
              <w:snapToGrid w:val="0"/>
              <w:spacing w:line="288" w:lineRule="auto"/>
              <w:ind w:firstLine="420"/>
              <w:jc w:val="center"/>
              <w:rPr>
                <w:rFonts w:ascii="Times New Roman" w:hAnsi="Times New Roman" w:cs="Times New Roman"/>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5156"/>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2"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805"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kern w:val="0"/>
                <w:highlight w:val="none"/>
              </w:rPr>
            </w:pPr>
            <w:r>
              <w:rPr>
                <w:rFonts w:hint="eastAsia" w:ascii="Times New Roman" w:hAnsi="Times New Roman" w:cs="宋体"/>
                <w:b/>
                <w:bCs/>
                <w:kern w:val="0"/>
                <w:highlight w:val="none"/>
              </w:rPr>
              <w:t>违法行为</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未经许可，擅自从事废旧放射源或者其他放射性固体废物的贮存、处置活动的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2" w:beforeLines="20" w:line="288" w:lineRule="auto"/>
              <w:ind w:firstLine="422" w:firstLineChars="200"/>
              <w:jc w:val="left"/>
              <w:rPr>
                <w:rFonts w:ascii="Times New Roman" w:hAnsi="Times New Roman" w:eastAsia="仿宋_GB2312" w:cs="Times New Roman"/>
                <w:kern w:val="0"/>
                <w:highlight w:val="none"/>
              </w:rPr>
            </w:pPr>
            <w:r>
              <w:rPr>
                <w:rFonts w:ascii="Times New Roman" w:hAnsi="Times New Roman" w:eastAsia="仿宋_GB2312" w:cs="Times New Roman"/>
                <w:b/>
                <w:bCs/>
                <w:kern w:val="0"/>
                <w:highlight w:val="none"/>
              </w:rPr>
              <w:t>1.</w:t>
            </w:r>
            <w:r>
              <w:rPr>
                <w:rFonts w:hint="eastAsia" w:ascii="Times New Roman" w:hAnsi="Times New Roman" w:eastAsia="仿宋_GB2312" w:cs="仿宋_GB2312"/>
                <w:b/>
                <w:bCs/>
                <w:kern w:val="0"/>
                <w:highlight w:val="none"/>
              </w:rPr>
              <w:t>《中华人民共和国放射性污染防治法》第四十六条第二款</w:t>
            </w:r>
            <w:r>
              <w:rPr>
                <w:rFonts w:ascii="Times New Roman" w:hAnsi="Times New Roman" w:eastAsia="仿宋_GB2312" w:cs="Times New Roman"/>
                <w:b/>
                <w:bCs/>
                <w:kern w:val="0"/>
                <w:highlight w:val="none"/>
              </w:rPr>
              <w:t xml:space="preserve"> </w:t>
            </w:r>
            <w:r>
              <w:rPr>
                <w:rFonts w:hint="eastAsia" w:ascii="Times New Roman" w:hAnsi="Times New Roman" w:eastAsia="仿宋_GB2312" w:cs="仿宋_GB2312"/>
                <w:kern w:val="0"/>
                <w:highlight w:val="none"/>
              </w:rPr>
              <w:t>禁止未经许可或者不按照许可的有关规定从事贮存和处置放射性固体废物的活动。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88" w:lineRule="auto"/>
              <w:ind w:firstLine="422" w:firstLineChars="200"/>
              <w:jc w:val="left"/>
              <w:rPr>
                <w:rFonts w:ascii="Times New Roman" w:hAnsi="Times New Roman" w:eastAsia="仿宋_GB2312" w:cs="Times New Roman"/>
                <w:kern w:val="0"/>
                <w:highlight w:val="none"/>
              </w:rPr>
            </w:pPr>
            <w:r>
              <w:rPr>
                <w:rFonts w:ascii="Times New Roman" w:hAnsi="Times New Roman" w:eastAsia="仿宋_GB2312" w:cs="Times New Roman"/>
                <w:b/>
                <w:bCs/>
                <w:kern w:val="0"/>
                <w:highlight w:val="none"/>
              </w:rPr>
              <w:t>2.</w:t>
            </w:r>
            <w:r>
              <w:rPr>
                <w:rFonts w:hint="eastAsia" w:ascii="Times New Roman" w:hAnsi="Times New Roman" w:eastAsia="仿宋_GB2312" w:cs="仿宋_GB2312"/>
                <w:b/>
                <w:bCs/>
                <w:kern w:val="0"/>
                <w:highlight w:val="none"/>
              </w:rPr>
              <w:t>《放射性废物安全管理条例》第十二条</w:t>
            </w:r>
            <w:r>
              <w:rPr>
                <w:rFonts w:ascii="Times New Roman" w:hAnsi="Times New Roman" w:eastAsia="仿宋_GB2312" w:cs="Times New Roman"/>
                <w:kern w:val="0"/>
                <w:highlight w:val="none"/>
              </w:rPr>
              <w:t xml:space="preserve"> </w:t>
            </w:r>
            <w:r>
              <w:rPr>
                <w:rFonts w:hint="eastAsia" w:ascii="Times New Roman" w:hAnsi="Times New Roman" w:eastAsia="仿宋_GB2312" w:cs="仿宋_GB2312"/>
                <w:kern w:val="0"/>
                <w:highlight w:val="none"/>
              </w:rPr>
              <w:t>专门从事放射性固体废物贮存活动的单位，应当符合下列条件，并依照本条例的规定申请领取放射性固体废物贮存许可证：</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88" w:lineRule="auto"/>
              <w:ind w:firstLine="420"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（一）有法人资格；</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88" w:lineRule="auto"/>
              <w:ind w:firstLine="420"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（二）有能保证贮存设施安全运行的组织机构和</w:t>
            </w:r>
            <w:r>
              <w:rPr>
                <w:rFonts w:ascii="Times New Roman" w:hAnsi="Times New Roman" w:eastAsia="仿宋_GB2312" w:cs="Times New Roman"/>
                <w:kern w:val="0"/>
                <w:highlight w:val="none"/>
              </w:rPr>
              <w:t>3</w:t>
            </w:r>
            <w:r>
              <w:rPr>
                <w:rFonts w:hint="eastAsia" w:ascii="Times New Roman" w:hAnsi="Times New Roman" w:eastAsia="仿宋_GB2312" w:cs="仿宋_GB2312"/>
                <w:kern w:val="0"/>
                <w:highlight w:val="none"/>
              </w:rPr>
              <w:t>名以上放射性废物管理、辐射防护、环境监测方面的专业技术人员，其中至少有</w:t>
            </w:r>
            <w:r>
              <w:rPr>
                <w:rFonts w:ascii="Times New Roman" w:hAnsi="Times New Roman" w:eastAsia="仿宋_GB2312" w:cs="Times New Roman"/>
                <w:kern w:val="0"/>
                <w:highlight w:val="none"/>
              </w:rPr>
              <w:t>1</w:t>
            </w:r>
            <w:r>
              <w:rPr>
                <w:rFonts w:hint="eastAsia" w:ascii="Times New Roman" w:hAnsi="Times New Roman" w:eastAsia="仿宋_GB2312" w:cs="仿宋_GB2312"/>
                <w:kern w:val="0"/>
                <w:highlight w:val="none"/>
              </w:rPr>
              <w:t>名注册核安全工程师；</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88" w:lineRule="auto"/>
              <w:ind w:firstLine="420"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（三）有符合国家有关放射性污染防治标准和国务院环境保护主管部门规定的放射性固体废物接收、贮存设施和场所，以及放射性检测、辐射防护与环境监测设备；</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88" w:lineRule="auto"/>
              <w:ind w:firstLine="420"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（四）有健全的管理制度以及符合核安全监督管理要求的质量保证体系，包括质量保证大纲、贮存设施运行监测计划、辐射环境监测计划和应急方案等。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805" w:type="dxa"/>
            <w:gridSpan w:val="2"/>
            <w:vAlign w:val="center"/>
          </w:tcPr>
          <w:p>
            <w:pPr>
              <w:widowControl/>
              <w:snapToGrid w:val="0"/>
              <w:spacing w:before="62" w:beforeLines="20" w:line="288" w:lineRule="auto"/>
              <w:ind w:firstLine="422" w:firstLineChars="200"/>
              <w:jc w:val="left"/>
              <w:rPr>
                <w:rFonts w:ascii="Times New Roman" w:hAnsi="Times New Roman" w:eastAsia="仿宋_GB2312" w:cs="Times New Roman"/>
                <w:kern w:val="0"/>
                <w:highlight w:val="none"/>
              </w:rPr>
            </w:pPr>
            <w:r>
              <w:rPr>
                <w:rFonts w:ascii="Times New Roman" w:hAnsi="Times New Roman" w:eastAsia="仿宋_GB2312" w:cs="Times New Roman"/>
                <w:b/>
                <w:bCs/>
                <w:kern w:val="0"/>
                <w:highlight w:val="none"/>
              </w:rPr>
              <w:t>1.</w:t>
            </w:r>
            <w:r>
              <w:rPr>
                <w:rFonts w:hint="eastAsia" w:ascii="Times New Roman" w:hAnsi="Times New Roman" w:eastAsia="仿宋_GB2312" w:cs="仿宋_GB2312"/>
                <w:b/>
                <w:bCs/>
                <w:kern w:val="0"/>
                <w:highlight w:val="none"/>
              </w:rPr>
              <w:t>《中华人民共和国放射性污染防治法》第五十七条第（一）项</w:t>
            </w:r>
            <w:r>
              <w:rPr>
                <w:rFonts w:ascii="Times New Roman" w:hAnsi="Times New Roman" w:eastAsia="仿宋_GB2312" w:cs="Times New Roman"/>
                <w:b/>
                <w:bCs/>
                <w:kern w:val="0"/>
                <w:highlight w:val="none"/>
              </w:rPr>
              <w:t xml:space="preserve"> </w:t>
            </w:r>
            <w:r>
              <w:rPr>
                <w:rFonts w:hint="eastAsia" w:ascii="Times New Roman" w:hAnsi="Times New Roman" w:eastAsia="仿宋_GB2312" w:cs="仿宋_GB2312"/>
                <w:kern w:val="0"/>
                <w:highlight w:val="none"/>
              </w:rPr>
              <w:t>违反本法规定，有下列行为之一的，由省级以上人民政府环境保护行政主管部门责令停产停业或者吊销许可证；有违法所得的，没收违法所得；违法所得十万元以上的，并处违法所得一倍以上五倍以下罚款；没有违法所得或者违法所得不足十万元的，并处五万元以上十万元以下罚款；构成犯罪的，依法追究刑事责任：</w:t>
            </w:r>
          </w:p>
          <w:p>
            <w:pPr>
              <w:widowControl/>
              <w:snapToGrid w:val="0"/>
              <w:spacing w:line="288" w:lineRule="auto"/>
              <w:ind w:firstLine="420"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（一）未经许可，擅自从事贮存和处置放射性固体废物活动的。</w:t>
            </w:r>
          </w:p>
          <w:p>
            <w:pPr>
              <w:pStyle w:val="11"/>
              <w:ind w:firstLine="420"/>
              <w:rPr>
                <w:rFonts w:ascii="Times New Roman" w:hAnsi="Times New Roman" w:eastAsia="仿宋_GB2312" w:cs="Times New Roman"/>
                <w:sz w:val="21"/>
                <w:szCs w:val="21"/>
                <w:highlight w:val="none"/>
              </w:rPr>
            </w:pPr>
            <w:r>
              <w:rPr>
                <w:rFonts w:ascii="Times New Roman" w:hAnsi="Times New Roman" w:eastAsia="仿宋_GB2312" w:cs="Times New Roman"/>
                <w:b/>
                <w:bCs/>
                <w:sz w:val="21"/>
                <w:szCs w:val="21"/>
                <w:highlight w:val="none"/>
              </w:rPr>
              <w:t>2.</w:t>
            </w:r>
            <w:r>
              <w:rPr>
                <w:rFonts w:hint="eastAsia" w:ascii="Times New Roman" w:hAnsi="Times New Roman" w:eastAsia="仿宋_GB2312" w:cs="仿宋_GB2312"/>
                <w:b/>
                <w:bCs/>
                <w:sz w:val="21"/>
                <w:szCs w:val="21"/>
                <w:highlight w:val="none"/>
              </w:rPr>
              <w:t>《放射性废物安全管理条例》第三十八条第（一）项</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违反本条例规定，有下列行为之一的，由省级以上人民政府环境保护主管部门责令停产停业或者吊销许可证；有违法所得的，没收违法所得；违法所得</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万元以上的，并处违法所得</w:t>
            </w:r>
            <w:r>
              <w:rPr>
                <w:rFonts w:ascii="Times New Roman" w:hAnsi="Times New Roman" w:eastAsia="仿宋_GB2312" w:cs="Times New Roman"/>
                <w:sz w:val="21"/>
                <w:szCs w:val="21"/>
                <w:highlight w:val="none"/>
              </w:rPr>
              <w:t>1</w:t>
            </w:r>
            <w:r>
              <w:rPr>
                <w:rFonts w:hint="eastAsia" w:ascii="Times New Roman" w:hAnsi="Times New Roman" w:eastAsia="仿宋_GB2312" w:cs="仿宋_GB2312"/>
                <w:sz w:val="21"/>
                <w:szCs w:val="21"/>
                <w:highlight w:val="none"/>
              </w:rPr>
              <w:t>倍以上</w:t>
            </w:r>
            <w:r>
              <w:rPr>
                <w:rFonts w:ascii="Times New Roman" w:hAnsi="Times New Roman" w:eastAsia="仿宋_GB2312" w:cs="Times New Roman"/>
                <w:sz w:val="21"/>
                <w:szCs w:val="21"/>
                <w:highlight w:val="none"/>
              </w:rPr>
              <w:t>5</w:t>
            </w:r>
            <w:r>
              <w:rPr>
                <w:rFonts w:hint="eastAsia" w:ascii="Times New Roman" w:hAnsi="Times New Roman" w:eastAsia="仿宋_GB2312" w:cs="仿宋_GB2312"/>
                <w:sz w:val="21"/>
                <w:szCs w:val="21"/>
                <w:highlight w:val="none"/>
              </w:rPr>
              <w:t>倍以下的罚款；没有违法所得或者违法所得不足</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万元的，并处</w:t>
            </w:r>
            <w:r>
              <w:rPr>
                <w:rFonts w:ascii="Times New Roman" w:hAnsi="Times New Roman" w:eastAsia="仿宋_GB2312" w:cs="Times New Roman"/>
                <w:sz w:val="21"/>
                <w:szCs w:val="21"/>
                <w:highlight w:val="none"/>
              </w:rPr>
              <w:t>5</w:t>
            </w:r>
            <w:r>
              <w:rPr>
                <w:rFonts w:hint="eastAsia" w:ascii="Times New Roman" w:hAnsi="Times New Roman" w:eastAsia="仿宋_GB2312" w:cs="仿宋_GB2312"/>
                <w:sz w:val="21"/>
                <w:szCs w:val="21"/>
                <w:highlight w:val="none"/>
              </w:rPr>
              <w:t>万元以上</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万元以下的罚款；造成环境污染的，责令限期采取治理措施消除污染，逾期不采取治理措施，经催告仍不治理的，可以指定有治理能力的单位代为治理，所需费用由违法者承担；构成犯罪的，依法追究刑事责任：</w:t>
            </w:r>
          </w:p>
          <w:p>
            <w:pPr>
              <w:widowControl/>
              <w:snapToGrid w:val="0"/>
              <w:spacing w:line="288" w:lineRule="auto"/>
              <w:ind w:firstLine="420"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highlight w:val="none"/>
              </w:rPr>
              <w:t>（一）未经许可，擅自从事废旧放射源或者其他放射性固体废物的贮存、处置活动的。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15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4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jc w:val="center"/>
              <w:rPr>
                <w:rFonts w:ascii="Times New Roman" w:hAnsi="Times New Roman" w:cs="宋体"/>
                <w:b/>
                <w:bCs/>
                <w:highlight w:val="none"/>
              </w:rPr>
            </w:pPr>
            <w:r>
              <w:rPr>
                <w:rFonts w:hint="eastAsia" w:ascii="Times New Roman" w:hAnsi="Times New Roman" w:cs="宋体"/>
                <w:b/>
                <w:bCs/>
                <w:color w:val="000000"/>
                <w:highlight w:val="none"/>
              </w:rPr>
              <w:t>违法所得不足</w:t>
            </w:r>
            <w:r>
              <w:rPr>
                <w:rFonts w:ascii="Times New Roman" w:hAnsi="Times New Roman" w:cs="Times New Roman"/>
                <w:b/>
                <w:bCs/>
                <w:color w:val="000000"/>
                <w:highlight w:val="none"/>
              </w:rPr>
              <w:t>10</w:t>
            </w:r>
            <w:r>
              <w:rPr>
                <w:rFonts w:hint="eastAsia" w:ascii="Times New Roman" w:hAnsi="Times New Roman" w:cs="宋体"/>
                <w:b/>
                <w:bCs/>
                <w:color w:val="000000"/>
                <w:highlight w:val="none"/>
              </w:rPr>
              <w:t>万元★</w:t>
            </w:r>
          </w:p>
        </w:tc>
        <w:tc>
          <w:tcPr>
            <w:tcW w:w="5156" w:type="dxa"/>
            <w:vAlign w:val="center"/>
          </w:tcPr>
          <w:p>
            <w:pPr>
              <w:widowControl/>
              <w:snapToGrid w:val="0"/>
              <w:jc w:val="center"/>
              <w:rPr>
                <w:rFonts w:ascii="Times New Roman" w:hAnsi="Times New Roman" w:cs="宋体"/>
                <w:b/>
                <w:bCs/>
                <w:highlight w:val="none"/>
              </w:rPr>
            </w:pPr>
            <w:r>
              <w:rPr>
                <w:rFonts w:hint="eastAsia" w:ascii="Times New Roman" w:hAnsi="Times New Roman" w:eastAsia="仿宋_GB2312" w:cs="仿宋_GB2312"/>
                <w:color w:val="000000"/>
                <w:highlight w:val="none"/>
              </w:rPr>
              <w:t>无违法所得</w:t>
            </w:r>
          </w:p>
        </w:tc>
        <w:tc>
          <w:tcPr>
            <w:tcW w:w="2649" w:type="dxa"/>
            <w:vAlign w:val="center"/>
          </w:tcPr>
          <w:p>
            <w:pPr>
              <w:snapToGrid w:val="0"/>
              <w:jc w:val="center"/>
              <w:rPr>
                <w:rFonts w:ascii="Times New Roman" w:hAnsi="Times New Roman" w:cs="宋体"/>
                <w:b/>
                <w:bCs/>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宋体"/>
                <w:b/>
                <w:bCs/>
                <w:highlight w:val="none"/>
              </w:rPr>
            </w:pPr>
          </w:p>
        </w:tc>
        <w:tc>
          <w:tcPr>
            <w:tcW w:w="5156" w:type="dxa"/>
            <w:vAlign w:val="center"/>
          </w:tcPr>
          <w:p>
            <w:pPr>
              <w:snapToGrid w:val="0"/>
              <w:jc w:val="center"/>
              <w:rPr>
                <w:rFonts w:ascii="Times New Roman" w:hAnsi="Times New Roman" w:cs="宋体"/>
                <w:b/>
                <w:bCs/>
                <w:highlight w:val="none"/>
              </w:rPr>
            </w:pPr>
            <w:r>
              <w:rPr>
                <w:rFonts w:hint="eastAsia" w:ascii="Times New Roman" w:hAnsi="Times New Roman" w:eastAsia="仿宋_GB2312" w:cs="仿宋_GB2312"/>
                <w:color w:val="000000"/>
                <w:highlight w:val="none"/>
              </w:rPr>
              <w:t>违法所得不足</w:t>
            </w:r>
            <w:r>
              <w:rPr>
                <w:rFonts w:ascii="Times New Roman" w:hAnsi="Times New Roman" w:eastAsia="仿宋_GB2312" w:cs="Times New Roman"/>
                <w:color w:val="000000"/>
                <w:kern w:val="0"/>
                <w:highlight w:val="none"/>
              </w:rPr>
              <w:t>5</w:t>
            </w:r>
            <w:r>
              <w:rPr>
                <w:rFonts w:hint="eastAsia" w:ascii="Times New Roman" w:hAnsi="Times New Roman" w:eastAsia="仿宋_GB2312" w:cs="仿宋_GB2312"/>
                <w:color w:val="000000"/>
                <w:kern w:val="0"/>
                <w:highlight w:val="none"/>
              </w:rPr>
              <w:t>万元</w:t>
            </w:r>
          </w:p>
        </w:tc>
        <w:tc>
          <w:tcPr>
            <w:tcW w:w="2649" w:type="dxa"/>
            <w:vAlign w:val="center"/>
          </w:tcPr>
          <w:p>
            <w:pPr>
              <w:snapToGrid w:val="0"/>
              <w:jc w:val="center"/>
              <w:rPr>
                <w:rFonts w:ascii="Times New Roman" w:hAnsi="Times New Roman" w:cs="宋体"/>
                <w:b/>
                <w:bCs/>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宋体"/>
                <w:b/>
                <w:bCs/>
                <w:highlight w:val="none"/>
              </w:rPr>
            </w:pPr>
          </w:p>
        </w:tc>
        <w:tc>
          <w:tcPr>
            <w:tcW w:w="5156" w:type="dxa"/>
            <w:vAlign w:val="center"/>
          </w:tcPr>
          <w:p>
            <w:pPr>
              <w:snapToGrid w:val="0"/>
              <w:jc w:val="center"/>
              <w:rPr>
                <w:rFonts w:ascii="Times New Roman" w:hAnsi="Times New Roman" w:cs="宋体"/>
                <w:b/>
                <w:bCs/>
                <w:highlight w:val="none"/>
              </w:rPr>
            </w:pPr>
            <w:r>
              <w:rPr>
                <w:rFonts w:hint="eastAsia" w:ascii="Times New Roman" w:hAnsi="Times New Roman" w:eastAsia="仿宋_GB2312" w:cs="仿宋_GB2312"/>
                <w:color w:val="000000"/>
                <w:highlight w:val="none"/>
              </w:rPr>
              <w:t>违法所得</w:t>
            </w:r>
            <w:r>
              <w:rPr>
                <w:rFonts w:ascii="Times New Roman" w:hAnsi="Times New Roman" w:eastAsia="仿宋_GB2312" w:cs="Times New Roman"/>
                <w:color w:val="000000"/>
                <w:kern w:val="0"/>
                <w:highlight w:val="none"/>
              </w:rPr>
              <w:t>5-10</w:t>
            </w:r>
            <w:r>
              <w:rPr>
                <w:rFonts w:hint="eastAsia" w:ascii="Times New Roman" w:hAnsi="Times New Roman" w:eastAsia="仿宋_GB2312" w:cs="仿宋_GB2312"/>
                <w:color w:val="000000"/>
                <w:kern w:val="0"/>
                <w:highlight w:val="none"/>
              </w:rPr>
              <w:t>万元</w:t>
            </w:r>
          </w:p>
        </w:tc>
        <w:tc>
          <w:tcPr>
            <w:tcW w:w="2649" w:type="dxa"/>
            <w:vAlign w:val="center"/>
          </w:tcPr>
          <w:p>
            <w:pPr>
              <w:snapToGrid w:val="0"/>
              <w:jc w:val="center"/>
              <w:rPr>
                <w:rFonts w:ascii="Times New Roman" w:hAnsi="Times New Roman" w:cs="宋体"/>
                <w:b/>
                <w:bCs/>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违法所得</w:t>
            </w:r>
            <w:r>
              <w:rPr>
                <w:rFonts w:ascii="Times New Roman" w:hAnsi="Times New Roman" w:cs="Times New Roman"/>
                <w:b/>
                <w:bCs/>
                <w:color w:val="000000"/>
                <w:highlight w:val="none"/>
              </w:rPr>
              <w:t>10</w:t>
            </w:r>
            <w:r>
              <w:rPr>
                <w:rFonts w:hint="eastAsia" w:ascii="Times New Roman" w:hAnsi="Times New Roman" w:cs="宋体"/>
                <w:b/>
                <w:bCs/>
                <w:color w:val="000000"/>
                <w:highlight w:val="none"/>
              </w:rPr>
              <w:t>万元</w:t>
            </w:r>
          </w:p>
          <w:p>
            <w:pPr>
              <w:snapToGrid w:val="0"/>
              <w:jc w:val="center"/>
              <w:rPr>
                <w:rFonts w:ascii="Times New Roman" w:hAnsi="Times New Roman" w:cs="宋体"/>
                <w:b/>
                <w:bCs/>
                <w:highlight w:val="none"/>
              </w:rPr>
            </w:pPr>
            <w:r>
              <w:rPr>
                <w:rFonts w:hint="eastAsia" w:ascii="Times New Roman" w:hAnsi="Times New Roman" w:cs="宋体"/>
                <w:b/>
                <w:bCs/>
                <w:color w:val="000000"/>
                <w:highlight w:val="none"/>
              </w:rPr>
              <w:t>以上★</w:t>
            </w:r>
          </w:p>
        </w:tc>
        <w:tc>
          <w:tcPr>
            <w:tcW w:w="5156" w:type="dxa"/>
            <w:vAlign w:val="center"/>
          </w:tcPr>
          <w:p>
            <w:pPr>
              <w:widowControl/>
              <w:snapToGrid w:val="0"/>
              <w:jc w:val="center"/>
              <w:rPr>
                <w:rFonts w:ascii="Times New Roman" w:hAnsi="Times New Roman" w:cs="宋体"/>
                <w:b/>
                <w:bCs/>
                <w:highlight w:val="none"/>
              </w:rPr>
            </w:pPr>
            <w:r>
              <w:rPr>
                <w:rFonts w:hint="eastAsia" w:ascii="Times New Roman" w:hAnsi="Times New Roman" w:eastAsia="仿宋_GB2312" w:cs="仿宋_GB2312"/>
                <w:color w:val="000000"/>
                <w:highlight w:val="none"/>
              </w:rPr>
              <w:t>违法所得</w:t>
            </w:r>
            <w:r>
              <w:rPr>
                <w:rFonts w:ascii="Times New Roman" w:hAnsi="Times New Roman" w:eastAsia="仿宋_GB2312" w:cs="Times New Roman"/>
                <w:color w:val="000000"/>
                <w:kern w:val="0"/>
                <w:highlight w:val="none"/>
              </w:rPr>
              <w:t>10-20</w:t>
            </w:r>
            <w:r>
              <w:rPr>
                <w:rFonts w:hint="eastAsia" w:ascii="Times New Roman" w:hAnsi="Times New Roman" w:eastAsia="仿宋_GB2312" w:cs="仿宋_GB2312"/>
                <w:color w:val="000000"/>
                <w:kern w:val="0"/>
                <w:highlight w:val="none"/>
              </w:rPr>
              <w:t>万元</w:t>
            </w:r>
          </w:p>
        </w:tc>
        <w:tc>
          <w:tcPr>
            <w:tcW w:w="2649" w:type="dxa"/>
            <w:vAlign w:val="center"/>
          </w:tcPr>
          <w:p>
            <w:pPr>
              <w:snapToGrid w:val="0"/>
              <w:jc w:val="center"/>
              <w:rPr>
                <w:rFonts w:ascii="Times New Roman" w:hAnsi="Times New Roman" w:cs="宋体"/>
                <w:b/>
                <w:bCs/>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宋体"/>
                <w:b/>
                <w:bCs/>
                <w:highlight w:val="none"/>
              </w:rPr>
            </w:pPr>
          </w:p>
        </w:tc>
        <w:tc>
          <w:tcPr>
            <w:tcW w:w="5156" w:type="dxa"/>
            <w:vAlign w:val="center"/>
          </w:tcPr>
          <w:p>
            <w:pPr>
              <w:snapToGrid w:val="0"/>
              <w:jc w:val="center"/>
              <w:rPr>
                <w:rFonts w:ascii="Times New Roman" w:hAnsi="Times New Roman" w:cs="宋体"/>
                <w:b/>
                <w:bCs/>
                <w:highlight w:val="none"/>
              </w:rPr>
            </w:pPr>
            <w:r>
              <w:rPr>
                <w:rFonts w:hint="eastAsia" w:ascii="Times New Roman" w:hAnsi="Times New Roman" w:eastAsia="仿宋_GB2312" w:cs="仿宋_GB2312"/>
                <w:color w:val="000000"/>
                <w:highlight w:val="none"/>
              </w:rPr>
              <w:t>违法所得</w:t>
            </w:r>
            <w:r>
              <w:rPr>
                <w:rFonts w:ascii="Times New Roman" w:hAnsi="Times New Roman" w:eastAsia="仿宋_GB2312" w:cs="Times New Roman"/>
                <w:color w:val="000000"/>
                <w:kern w:val="0"/>
                <w:highlight w:val="none"/>
              </w:rPr>
              <w:t>20-40</w:t>
            </w:r>
            <w:r>
              <w:rPr>
                <w:rFonts w:hint="eastAsia" w:ascii="Times New Roman" w:hAnsi="Times New Roman" w:eastAsia="仿宋_GB2312" w:cs="仿宋_GB2312"/>
                <w:color w:val="000000"/>
                <w:kern w:val="0"/>
                <w:highlight w:val="none"/>
              </w:rPr>
              <w:t>万元</w:t>
            </w:r>
          </w:p>
        </w:tc>
        <w:tc>
          <w:tcPr>
            <w:tcW w:w="2649" w:type="dxa"/>
            <w:vAlign w:val="center"/>
          </w:tcPr>
          <w:p>
            <w:pPr>
              <w:snapToGrid w:val="0"/>
              <w:jc w:val="center"/>
              <w:rPr>
                <w:rFonts w:ascii="Times New Roman" w:hAnsi="Times New Roman" w:cs="宋体"/>
                <w:b/>
                <w:bCs/>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宋体"/>
                <w:b/>
                <w:bCs/>
                <w:highlight w:val="none"/>
              </w:rPr>
            </w:pPr>
          </w:p>
        </w:tc>
        <w:tc>
          <w:tcPr>
            <w:tcW w:w="5156" w:type="dxa"/>
            <w:vAlign w:val="center"/>
          </w:tcPr>
          <w:p>
            <w:pPr>
              <w:snapToGrid w:val="0"/>
              <w:jc w:val="center"/>
              <w:rPr>
                <w:rFonts w:ascii="Times New Roman" w:hAnsi="Times New Roman" w:cs="宋体"/>
                <w:b/>
                <w:bCs/>
                <w:highlight w:val="none"/>
              </w:rPr>
            </w:pPr>
            <w:r>
              <w:rPr>
                <w:rFonts w:hint="eastAsia" w:ascii="Times New Roman" w:hAnsi="Times New Roman" w:eastAsia="仿宋_GB2312" w:cs="仿宋_GB2312"/>
                <w:color w:val="000000"/>
                <w:highlight w:val="none"/>
              </w:rPr>
              <w:t>违法所得</w:t>
            </w:r>
            <w:r>
              <w:rPr>
                <w:rFonts w:ascii="Times New Roman" w:hAnsi="Times New Roman" w:eastAsia="仿宋_GB2312" w:cs="Times New Roman"/>
                <w:color w:val="000000"/>
                <w:highlight w:val="none"/>
              </w:rPr>
              <w:t>40</w:t>
            </w:r>
            <w:r>
              <w:rPr>
                <w:rFonts w:hint="eastAsia" w:ascii="Times New Roman" w:hAnsi="Times New Roman" w:eastAsia="仿宋_GB2312" w:cs="仿宋_GB2312"/>
                <w:color w:val="000000"/>
                <w:highlight w:val="none"/>
              </w:rPr>
              <w:t>万元以上</w:t>
            </w:r>
          </w:p>
        </w:tc>
        <w:tc>
          <w:tcPr>
            <w:tcW w:w="2649" w:type="dxa"/>
            <w:vAlign w:val="center"/>
          </w:tcPr>
          <w:p>
            <w:pPr>
              <w:snapToGrid w:val="0"/>
              <w:jc w:val="center"/>
              <w:rPr>
                <w:rFonts w:ascii="Times New Roman" w:hAnsi="Times New Roman" w:cs="宋体"/>
                <w:b/>
                <w:bCs/>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放射性废物类型</w:t>
            </w:r>
          </w:p>
        </w:tc>
        <w:tc>
          <w:tcPr>
            <w:tcW w:w="5156" w:type="dxa"/>
            <w:vAlign w:val="center"/>
          </w:tcPr>
          <w:p>
            <w:pPr>
              <w:snapToGrid w:val="0"/>
              <w:jc w:val="center"/>
              <w:rPr>
                <w:rFonts w:ascii="Times New Roman" w:hAnsi="Times New Roman" w:eastAsia="仿宋_GB2312" w:cs="Times New Roman"/>
                <w:color w:val="000000"/>
                <w:kern w:val="0"/>
                <w:highlight w:val="none"/>
              </w:rPr>
            </w:pPr>
            <w:r>
              <w:rPr>
                <w:rFonts w:hint="eastAsia" w:ascii="Times New Roman" w:hAnsi="Times New Roman" w:eastAsia="仿宋_GB2312" w:cs="仿宋_GB2312"/>
                <w:color w:val="000000"/>
                <w:kern w:val="0"/>
                <w:highlight w:val="none"/>
              </w:rPr>
              <w:t>极短寿命放射性废物</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极低水平放射性废物</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低水平放射性废物</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中水平放射性废物</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高水平放射性废物</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放射性</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废物数量</w:t>
            </w:r>
          </w:p>
        </w:tc>
        <w:tc>
          <w:tcPr>
            <w:tcW w:w="5156"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不足</w:t>
            </w: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千克</w:t>
            </w:r>
          </w:p>
        </w:tc>
        <w:tc>
          <w:tcPr>
            <w:tcW w:w="2649"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千克以上不足</w:t>
            </w:r>
            <w:r>
              <w:rPr>
                <w:rFonts w:ascii="Times New Roman" w:hAnsi="Times New Roman" w:eastAsia="仿宋_GB2312" w:cs="Times New Roman"/>
                <w:color w:val="000000"/>
                <w:highlight w:val="none"/>
              </w:rPr>
              <w:t>100</w:t>
            </w:r>
            <w:r>
              <w:rPr>
                <w:rFonts w:hint="eastAsia" w:ascii="Times New Roman" w:hAnsi="Times New Roman" w:eastAsia="仿宋_GB2312" w:cs="仿宋_GB2312"/>
                <w:color w:val="000000"/>
                <w:highlight w:val="none"/>
              </w:rPr>
              <w:t>千克</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100</w:t>
            </w:r>
            <w:r>
              <w:rPr>
                <w:rFonts w:hint="eastAsia" w:ascii="Times New Roman" w:hAnsi="Times New Roman" w:eastAsia="仿宋_GB2312" w:cs="仿宋_GB2312"/>
                <w:color w:val="000000"/>
                <w:highlight w:val="none"/>
              </w:rPr>
              <w:t>千克以上</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涉及放射源类型</w:t>
            </w:r>
          </w:p>
        </w:tc>
        <w:tc>
          <w:tcPr>
            <w:tcW w:w="5156"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Ⅳ</w:t>
            </w:r>
            <w:r>
              <w:rPr>
                <w:rFonts w:hint="eastAsia" w:ascii="Times New Roman" w:hAnsi="Times New Roman" w:eastAsia="仿宋_GB2312" w:cs="仿宋_GB2312"/>
                <w:highlight w:val="none"/>
              </w:rPr>
              <w:t>类、</w:t>
            </w:r>
            <w:r>
              <w:rPr>
                <w:rFonts w:hint="eastAsia" w:ascii="宋体" w:hAnsi="宋体" w:cs="宋体"/>
                <w:highlight w:val="none"/>
              </w:rPr>
              <w:t>Ⅴ</w:t>
            </w:r>
            <w:r>
              <w:rPr>
                <w:rFonts w:hint="eastAsia" w:ascii="Times New Roman" w:hAnsi="Times New Roman" w:eastAsia="仿宋_GB2312" w:cs="仿宋_GB2312"/>
                <w:highlight w:val="none"/>
              </w:rPr>
              <w:t>类放射源</w:t>
            </w:r>
          </w:p>
        </w:tc>
        <w:tc>
          <w:tcPr>
            <w:tcW w:w="2649" w:type="dxa"/>
            <w:vAlign w:val="center"/>
          </w:tcPr>
          <w:p>
            <w:pPr>
              <w:pStyle w:val="11"/>
              <w:snapToGrid w:val="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Ⅲ</w:t>
            </w:r>
            <w:r>
              <w:rPr>
                <w:rFonts w:hint="eastAsia" w:ascii="Times New Roman" w:hAnsi="Times New Roman" w:eastAsia="仿宋_GB2312" w:cs="仿宋_GB2312"/>
                <w:highlight w:val="none"/>
              </w:rPr>
              <w:t>类放射源</w:t>
            </w:r>
          </w:p>
        </w:tc>
        <w:tc>
          <w:tcPr>
            <w:tcW w:w="2649"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Ⅰ</w:t>
            </w:r>
            <w:r>
              <w:rPr>
                <w:rFonts w:hint="eastAsia" w:ascii="Times New Roman" w:hAnsi="Times New Roman" w:eastAsia="仿宋_GB2312" w:cs="仿宋_GB2312"/>
                <w:highlight w:val="none"/>
              </w:rPr>
              <w:t>类、</w:t>
            </w:r>
            <w:r>
              <w:rPr>
                <w:rFonts w:hint="eastAsia" w:ascii="宋体" w:hAnsi="宋体" w:cs="宋体"/>
                <w:highlight w:val="none"/>
              </w:rPr>
              <w:t>Ⅱ</w:t>
            </w:r>
            <w:r>
              <w:rPr>
                <w:rFonts w:hint="eastAsia" w:ascii="Times New Roman" w:hAnsi="Times New Roman" w:eastAsia="仿宋_GB2312" w:cs="仿宋_GB2312"/>
                <w:highlight w:val="none"/>
              </w:rPr>
              <w:t>类放射源</w:t>
            </w:r>
          </w:p>
        </w:tc>
        <w:tc>
          <w:tcPr>
            <w:tcW w:w="2649"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污染防治设施建设使用情况</w:t>
            </w: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建设有完备的污染防治设施，且规范使用的</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b/>
                <w:bCs/>
                <w:highlight w:val="none"/>
              </w:rPr>
            </w:pPr>
            <w:r>
              <w:rPr>
                <w:rFonts w:hint="eastAsia" w:ascii="Times New Roman" w:hAnsi="Times New Roman" w:eastAsia="仿宋_GB2312" w:cs="仿宋_GB2312"/>
                <w:highlight w:val="none"/>
              </w:rPr>
              <w:t>污染防治设施建设不全，或者未规范使用的</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b/>
                <w:bCs/>
                <w:highlight w:val="none"/>
              </w:rPr>
            </w:pPr>
            <w:r>
              <w:rPr>
                <w:rFonts w:hint="eastAsia" w:ascii="Times New Roman" w:hAnsi="Times New Roman" w:eastAsia="仿宋_GB2312" w:cs="仿宋_GB2312"/>
                <w:highlight w:val="none"/>
              </w:rPr>
              <w:t>未建设污染防治设施，或者未使用的</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805"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0"/>
        <w:gridCol w:w="5812"/>
        <w:gridCol w:w="1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2"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0"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68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0" w:type="dxa"/>
            <w:vAlign w:val="center"/>
          </w:tcPr>
          <w:p>
            <w:pPr>
              <w:snapToGrid w:val="0"/>
              <w:jc w:val="center"/>
              <w:rPr>
                <w:rFonts w:ascii="Times New Roman" w:hAnsi="Times New Roman" w:cs="Times New Roman"/>
                <w:b/>
                <w:bCs/>
                <w:kern w:val="0"/>
                <w:highlight w:val="none"/>
              </w:rPr>
            </w:pPr>
            <w:r>
              <w:rPr>
                <w:rFonts w:hint="eastAsia" w:ascii="Times New Roman" w:hAnsi="Times New Roman" w:cs="宋体"/>
                <w:b/>
                <w:bCs/>
                <w:kern w:val="0"/>
                <w:highlight w:val="none"/>
              </w:rPr>
              <w:t>违法行为</w:t>
            </w:r>
          </w:p>
        </w:tc>
        <w:tc>
          <w:tcPr>
            <w:tcW w:w="7682"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不按照许可的有关规定从事贮存和处置废旧放射源或者放射性固体废物活动的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0"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682"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2" w:beforeLines="20" w:line="288" w:lineRule="auto"/>
              <w:ind w:firstLine="422" w:firstLineChars="200"/>
              <w:jc w:val="left"/>
              <w:rPr>
                <w:rFonts w:ascii="Times New Roman" w:hAnsi="Times New Roman" w:eastAsia="仿宋_GB2312" w:cs="Times New Roman"/>
                <w:kern w:val="0"/>
                <w:highlight w:val="none"/>
              </w:rPr>
            </w:pPr>
            <w:r>
              <w:rPr>
                <w:rFonts w:ascii="Times New Roman" w:hAnsi="Times New Roman" w:eastAsia="仿宋_GB2312" w:cs="Times New Roman"/>
                <w:b/>
                <w:bCs/>
                <w:kern w:val="0"/>
                <w:highlight w:val="none"/>
              </w:rPr>
              <w:t>1.</w:t>
            </w:r>
            <w:r>
              <w:rPr>
                <w:rFonts w:hint="eastAsia" w:ascii="Times New Roman" w:hAnsi="Times New Roman" w:eastAsia="仿宋_GB2312" w:cs="仿宋_GB2312"/>
                <w:b/>
                <w:bCs/>
                <w:kern w:val="0"/>
                <w:highlight w:val="none"/>
              </w:rPr>
              <w:t>《中华人民共和国放射性污染防治法》第四十六条第二款</w:t>
            </w:r>
            <w:r>
              <w:rPr>
                <w:rFonts w:ascii="Times New Roman" w:hAnsi="Times New Roman" w:eastAsia="仿宋_GB2312" w:cs="Times New Roman"/>
                <w:b/>
                <w:bCs/>
                <w:kern w:val="0"/>
                <w:highlight w:val="none"/>
              </w:rPr>
              <w:t xml:space="preserve"> </w:t>
            </w:r>
            <w:r>
              <w:rPr>
                <w:rFonts w:hint="eastAsia" w:ascii="Times New Roman" w:hAnsi="Times New Roman" w:eastAsia="仿宋_GB2312" w:cs="仿宋_GB2312"/>
                <w:kern w:val="0"/>
                <w:highlight w:val="none"/>
              </w:rPr>
              <w:t>禁止未经许可或者不按照许可的有关规定从事贮存和处置放射性固体废物的活动。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88" w:lineRule="auto"/>
              <w:ind w:firstLine="422" w:firstLineChars="200"/>
              <w:jc w:val="left"/>
              <w:rPr>
                <w:rFonts w:ascii="Times New Roman" w:hAnsi="Times New Roman" w:eastAsia="仿宋_GB2312" w:cs="Times New Roman"/>
                <w:kern w:val="0"/>
                <w:highlight w:val="none"/>
              </w:rPr>
            </w:pPr>
            <w:r>
              <w:rPr>
                <w:rFonts w:ascii="Times New Roman" w:hAnsi="Times New Roman" w:eastAsia="仿宋_GB2312" w:cs="Times New Roman"/>
                <w:b/>
                <w:bCs/>
                <w:kern w:val="0"/>
                <w:highlight w:val="none"/>
              </w:rPr>
              <w:t>2.</w:t>
            </w:r>
            <w:r>
              <w:rPr>
                <w:rFonts w:hint="eastAsia" w:ascii="Times New Roman" w:hAnsi="Times New Roman" w:eastAsia="仿宋_GB2312" w:cs="仿宋_GB2312"/>
                <w:b/>
                <w:bCs/>
                <w:highlight w:val="none"/>
              </w:rPr>
              <w:t>《放射性废物安全管理条例》第三十三条第二款</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禁止无许可证或者不按照许可证规定的活动种类、范围、规模和期限从事放射性固体废物贮存、处置活动。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0"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682" w:type="dxa"/>
            <w:gridSpan w:val="2"/>
            <w:vAlign w:val="center"/>
          </w:tcPr>
          <w:p>
            <w:pPr>
              <w:widowControl/>
              <w:snapToGrid w:val="0"/>
              <w:spacing w:before="62" w:beforeLines="20" w:line="288" w:lineRule="auto"/>
              <w:ind w:firstLine="422" w:firstLineChars="200"/>
              <w:jc w:val="left"/>
              <w:rPr>
                <w:rFonts w:ascii="Times New Roman" w:hAnsi="Times New Roman" w:eastAsia="仿宋_GB2312" w:cs="Times New Roman"/>
                <w:kern w:val="0"/>
                <w:highlight w:val="none"/>
              </w:rPr>
            </w:pPr>
            <w:r>
              <w:rPr>
                <w:rFonts w:ascii="Times New Roman" w:hAnsi="Times New Roman" w:eastAsia="仿宋_GB2312" w:cs="Times New Roman"/>
                <w:b/>
                <w:bCs/>
                <w:kern w:val="0"/>
                <w:highlight w:val="none"/>
              </w:rPr>
              <w:t>1.</w:t>
            </w:r>
            <w:r>
              <w:rPr>
                <w:rFonts w:hint="eastAsia" w:ascii="Times New Roman" w:hAnsi="Times New Roman" w:eastAsia="仿宋_GB2312" w:cs="仿宋_GB2312"/>
                <w:b/>
                <w:bCs/>
                <w:kern w:val="0"/>
                <w:highlight w:val="none"/>
              </w:rPr>
              <w:t>《中华人民共和国放射性污染防治法》第五十七条第（二）项</w:t>
            </w:r>
            <w:r>
              <w:rPr>
                <w:rFonts w:ascii="Times New Roman" w:hAnsi="Times New Roman" w:eastAsia="仿宋_GB2312" w:cs="Times New Roman"/>
                <w:b/>
                <w:bCs/>
                <w:kern w:val="0"/>
                <w:highlight w:val="none"/>
              </w:rPr>
              <w:t xml:space="preserve"> </w:t>
            </w:r>
            <w:r>
              <w:rPr>
                <w:rFonts w:hint="eastAsia" w:ascii="Times New Roman" w:hAnsi="Times New Roman" w:eastAsia="仿宋_GB2312" w:cs="仿宋_GB2312"/>
                <w:kern w:val="0"/>
                <w:highlight w:val="none"/>
              </w:rPr>
              <w:t>违反本法规定，有下列行为之一的，由省级以上人民政府环境保护行政主管部门责令停产停业或者吊销许可证；有违法所得的，没收违法所得；违法所得十万元以上的，并处违法所得一倍以上五倍以下罚款；没有违法所得或者违法所得不足十万元的，并处五万元以上十万元以下罚款；构成犯罪的，依法追究刑事责任：</w:t>
            </w:r>
          </w:p>
          <w:p>
            <w:pPr>
              <w:widowControl/>
              <w:snapToGrid w:val="0"/>
              <w:spacing w:line="288" w:lineRule="auto"/>
              <w:ind w:firstLine="420"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（二）不按照许可的有关规定从事贮存和处置放射性固体废物活动的。</w:t>
            </w:r>
          </w:p>
          <w:p>
            <w:pPr>
              <w:pStyle w:val="11"/>
              <w:ind w:firstLine="420"/>
              <w:rPr>
                <w:rFonts w:ascii="Times New Roman" w:hAnsi="Times New Roman" w:eastAsia="仿宋_GB2312" w:cs="Times New Roman"/>
                <w:sz w:val="21"/>
                <w:szCs w:val="21"/>
                <w:highlight w:val="none"/>
              </w:rPr>
            </w:pPr>
            <w:r>
              <w:rPr>
                <w:rFonts w:ascii="Times New Roman" w:hAnsi="Times New Roman" w:eastAsia="仿宋_GB2312" w:cs="Times New Roman"/>
                <w:b/>
                <w:bCs/>
                <w:sz w:val="21"/>
                <w:szCs w:val="21"/>
                <w:highlight w:val="none"/>
              </w:rPr>
              <w:t>2.</w:t>
            </w:r>
            <w:r>
              <w:rPr>
                <w:rFonts w:hint="eastAsia" w:ascii="Times New Roman" w:hAnsi="Times New Roman" w:eastAsia="仿宋_GB2312" w:cs="仿宋_GB2312"/>
                <w:b/>
                <w:bCs/>
                <w:sz w:val="21"/>
                <w:szCs w:val="21"/>
                <w:highlight w:val="none"/>
              </w:rPr>
              <w:t>《放射性废物安全管理条例》第三十八条第（二）项</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违反本条例规定，有下列行为之一的，由省级以上人民政府环境保护主管部门责令停产停业或者吊销许可证；有违法所得的，没收违法所得；违法所得</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万元以上的，并处违法所得</w:t>
            </w:r>
            <w:r>
              <w:rPr>
                <w:rFonts w:ascii="Times New Roman" w:hAnsi="Times New Roman" w:eastAsia="仿宋_GB2312" w:cs="Times New Roman"/>
                <w:sz w:val="21"/>
                <w:szCs w:val="21"/>
                <w:highlight w:val="none"/>
              </w:rPr>
              <w:t>1</w:t>
            </w:r>
            <w:r>
              <w:rPr>
                <w:rFonts w:hint="eastAsia" w:ascii="Times New Roman" w:hAnsi="Times New Roman" w:eastAsia="仿宋_GB2312" w:cs="仿宋_GB2312"/>
                <w:sz w:val="21"/>
                <w:szCs w:val="21"/>
                <w:highlight w:val="none"/>
              </w:rPr>
              <w:t>倍以上</w:t>
            </w:r>
            <w:r>
              <w:rPr>
                <w:rFonts w:ascii="Times New Roman" w:hAnsi="Times New Roman" w:eastAsia="仿宋_GB2312" w:cs="Times New Roman"/>
                <w:sz w:val="21"/>
                <w:szCs w:val="21"/>
                <w:highlight w:val="none"/>
              </w:rPr>
              <w:t>5</w:t>
            </w:r>
            <w:r>
              <w:rPr>
                <w:rFonts w:hint="eastAsia" w:ascii="Times New Roman" w:hAnsi="Times New Roman" w:eastAsia="仿宋_GB2312" w:cs="仿宋_GB2312"/>
                <w:sz w:val="21"/>
                <w:szCs w:val="21"/>
                <w:highlight w:val="none"/>
              </w:rPr>
              <w:t>倍以下的罚款；没有违法所得或者违法所得不足</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万元的，并处</w:t>
            </w:r>
            <w:r>
              <w:rPr>
                <w:rFonts w:ascii="Times New Roman" w:hAnsi="Times New Roman" w:eastAsia="仿宋_GB2312" w:cs="Times New Roman"/>
                <w:sz w:val="21"/>
                <w:szCs w:val="21"/>
                <w:highlight w:val="none"/>
              </w:rPr>
              <w:t>5</w:t>
            </w:r>
            <w:r>
              <w:rPr>
                <w:rFonts w:hint="eastAsia" w:ascii="Times New Roman" w:hAnsi="Times New Roman" w:eastAsia="仿宋_GB2312" w:cs="仿宋_GB2312"/>
                <w:sz w:val="21"/>
                <w:szCs w:val="21"/>
                <w:highlight w:val="none"/>
              </w:rPr>
              <w:t>万元以上</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万元以下的罚款；造成环境污染的，责令限期采取治理措施消除污染，逾期不采取治理措施，经催告仍不治理的，可以指定有治理能力的单位代为治理，所需费用由违法者承担；构成犯罪的，依法追究刑事责任：</w:t>
            </w:r>
          </w:p>
          <w:p>
            <w:pPr>
              <w:widowControl/>
              <w:snapToGrid w:val="0"/>
              <w:spacing w:line="288" w:lineRule="auto"/>
              <w:ind w:firstLine="420"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highlight w:val="none"/>
              </w:rPr>
              <w:t>（二）放射性固体废物贮存、处置单位未按照许可证规定的活动种类、范围、规模、期限从事废旧放射源或者其他放射性固体废物的贮存、处置活动的。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90"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812"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1870"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90" w:type="dxa"/>
            <w:vMerge w:val="restart"/>
            <w:vAlign w:val="center"/>
          </w:tcPr>
          <w:p>
            <w:pPr>
              <w:snapToGrid w:val="0"/>
              <w:jc w:val="center"/>
              <w:rPr>
                <w:rFonts w:ascii="Times New Roman" w:hAnsi="Times New Roman" w:cs="宋体"/>
                <w:b/>
                <w:bCs/>
                <w:highlight w:val="none"/>
              </w:rPr>
            </w:pPr>
            <w:r>
              <w:rPr>
                <w:rFonts w:hint="eastAsia" w:ascii="Times New Roman" w:hAnsi="Times New Roman" w:cs="宋体"/>
                <w:b/>
                <w:bCs/>
                <w:color w:val="000000"/>
                <w:highlight w:val="none"/>
              </w:rPr>
              <w:t>违法所得不足</w:t>
            </w:r>
            <w:r>
              <w:rPr>
                <w:rFonts w:ascii="Times New Roman" w:hAnsi="Times New Roman" w:cs="Times New Roman"/>
                <w:b/>
                <w:bCs/>
                <w:color w:val="000000"/>
                <w:highlight w:val="none"/>
              </w:rPr>
              <w:t>10</w:t>
            </w:r>
            <w:r>
              <w:rPr>
                <w:rFonts w:hint="eastAsia" w:ascii="Times New Roman" w:hAnsi="Times New Roman" w:cs="宋体"/>
                <w:b/>
                <w:bCs/>
                <w:color w:val="000000"/>
                <w:highlight w:val="none"/>
              </w:rPr>
              <w:t>万元★</w:t>
            </w:r>
          </w:p>
        </w:tc>
        <w:tc>
          <w:tcPr>
            <w:tcW w:w="5812" w:type="dxa"/>
            <w:vAlign w:val="center"/>
          </w:tcPr>
          <w:p>
            <w:pPr>
              <w:widowControl/>
              <w:snapToGrid w:val="0"/>
              <w:jc w:val="center"/>
              <w:rPr>
                <w:rFonts w:ascii="Times New Roman" w:hAnsi="Times New Roman" w:cs="宋体"/>
                <w:b/>
                <w:bCs/>
                <w:highlight w:val="none"/>
              </w:rPr>
            </w:pPr>
            <w:r>
              <w:rPr>
                <w:rFonts w:hint="eastAsia" w:ascii="Times New Roman" w:hAnsi="Times New Roman" w:eastAsia="仿宋_GB2312" w:cs="仿宋_GB2312"/>
                <w:color w:val="000000"/>
                <w:highlight w:val="none"/>
              </w:rPr>
              <w:t>无违法所得</w:t>
            </w:r>
          </w:p>
        </w:tc>
        <w:tc>
          <w:tcPr>
            <w:tcW w:w="1870" w:type="dxa"/>
            <w:vAlign w:val="center"/>
          </w:tcPr>
          <w:p>
            <w:pPr>
              <w:snapToGrid w:val="0"/>
              <w:jc w:val="center"/>
              <w:rPr>
                <w:rFonts w:ascii="Times New Roman" w:hAnsi="Times New Roman" w:cs="宋体"/>
                <w:b/>
                <w:bCs/>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90" w:type="dxa"/>
            <w:vMerge w:val="continue"/>
            <w:vAlign w:val="center"/>
          </w:tcPr>
          <w:p>
            <w:pPr>
              <w:snapToGrid w:val="0"/>
              <w:jc w:val="center"/>
              <w:rPr>
                <w:rFonts w:ascii="Times New Roman" w:hAnsi="Times New Roman" w:cs="宋体"/>
                <w:b/>
                <w:bCs/>
                <w:highlight w:val="none"/>
              </w:rPr>
            </w:pPr>
          </w:p>
        </w:tc>
        <w:tc>
          <w:tcPr>
            <w:tcW w:w="5812" w:type="dxa"/>
            <w:vAlign w:val="center"/>
          </w:tcPr>
          <w:p>
            <w:pPr>
              <w:snapToGrid w:val="0"/>
              <w:jc w:val="center"/>
              <w:rPr>
                <w:rFonts w:ascii="Times New Roman" w:hAnsi="Times New Roman" w:cs="宋体"/>
                <w:b/>
                <w:bCs/>
                <w:highlight w:val="none"/>
              </w:rPr>
            </w:pPr>
            <w:r>
              <w:rPr>
                <w:rFonts w:hint="eastAsia" w:ascii="Times New Roman" w:hAnsi="Times New Roman" w:eastAsia="仿宋_GB2312" w:cs="仿宋_GB2312"/>
                <w:color w:val="000000"/>
                <w:highlight w:val="none"/>
              </w:rPr>
              <w:t>违法所得不足</w:t>
            </w:r>
            <w:r>
              <w:rPr>
                <w:rFonts w:ascii="Times New Roman" w:hAnsi="Times New Roman" w:eastAsia="仿宋_GB2312" w:cs="Times New Roman"/>
                <w:color w:val="000000"/>
                <w:kern w:val="0"/>
                <w:highlight w:val="none"/>
              </w:rPr>
              <w:t>5</w:t>
            </w:r>
            <w:r>
              <w:rPr>
                <w:rFonts w:hint="eastAsia" w:ascii="Times New Roman" w:hAnsi="Times New Roman" w:eastAsia="仿宋_GB2312" w:cs="仿宋_GB2312"/>
                <w:color w:val="000000"/>
                <w:kern w:val="0"/>
                <w:highlight w:val="none"/>
              </w:rPr>
              <w:t>万元</w:t>
            </w:r>
          </w:p>
        </w:tc>
        <w:tc>
          <w:tcPr>
            <w:tcW w:w="1870" w:type="dxa"/>
            <w:vAlign w:val="center"/>
          </w:tcPr>
          <w:p>
            <w:pPr>
              <w:snapToGrid w:val="0"/>
              <w:jc w:val="center"/>
              <w:rPr>
                <w:rFonts w:ascii="Times New Roman" w:hAnsi="Times New Roman" w:cs="宋体"/>
                <w:b/>
                <w:bCs/>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90" w:type="dxa"/>
            <w:vMerge w:val="continue"/>
            <w:vAlign w:val="center"/>
          </w:tcPr>
          <w:p>
            <w:pPr>
              <w:snapToGrid w:val="0"/>
              <w:jc w:val="center"/>
              <w:rPr>
                <w:rFonts w:ascii="Times New Roman" w:hAnsi="Times New Roman" w:cs="宋体"/>
                <w:b/>
                <w:bCs/>
                <w:highlight w:val="none"/>
              </w:rPr>
            </w:pPr>
          </w:p>
        </w:tc>
        <w:tc>
          <w:tcPr>
            <w:tcW w:w="5812" w:type="dxa"/>
            <w:vAlign w:val="center"/>
          </w:tcPr>
          <w:p>
            <w:pPr>
              <w:snapToGrid w:val="0"/>
              <w:jc w:val="center"/>
              <w:rPr>
                <w:rFonts w:ascii="Times New Roman" w:hAnsi="Times New Roman" w:cs="宋体"/>
                <w:b/>
                <w:bCs/>
                <w:highlight w:val="none"/>
              </w:rPr>
            </w:pPr>
            <w:r>
              <w:rPr>
                <w:rFonts w:hint="eastAsia" w:ascii="Times New Roman" w:hAnsi="Times New Roman" w:eastAsia="仿宋_GB2312" w:cs="仿宋_GB2312"/>
                <w:color w:val="000000"/>
                <w:highlight w:val="none"/>
              </w:rPr>
              <w:t>违法所得</w:t>
            </w:r>
            <w:r>
              <w:rPr>
                <w:rFonts w:ascii="Times New Roman" w:hAnsi="Times New Roman" w:eastAsia="仿宋_GB2312" w:cs="Times New Roman"/>
                <w:color w:val="000000"/>
                <w:kern w:val="0"/>
                <w:highlight w:val="none"/>
              </w:rPr>
              <w:t>5-10</w:t>
            </w:r>
            <w:r>
              <w:rPr>
                <w:rFonts w:hint="eastAsia" w:ascii="Times New Roman" w:hAnsi="Times New Roman" w:eastAsia="仿宋_GB2312" w:cs="仿宋_GB2312"/>
                <w:color w:val="000000"/>
                <w:kern w:val="0"/>
                <w:highlight w:val="none"/>
              </w:rPr>
              <w:t>万元</w:t>
            </w:r>
          </w:p>
        </w:tc>
        <w:tc>
          <w:tcPr>
            <w:tcW w:w="1870" w:type="dxa"/>
            <w:vAlign w:val="center"/>
          </w:tcPr>
          <w:p>
            <w:pPr>
              <w:snapToGrid w:val="0"/>
              <w:jc w:val="center"/>
              <w:rPr>
                <w:rFonts w:ascii="Times New Roman" w:hAnsi="Times New Roman" w:cs="宋体"/>
                <w:b/>
                <w:bCs/>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90" w:type="dxa"/>
            <w:vMerge w:val="restart"/>
            <w:vAlign w:val="center"/>
          </w:tcPr>
          <w:p>
            <w:pPr>
              <w:snapToGrid w:val="0"/>
              <w:jc w:val="center"/>
              <w:rPr>
                <w:rFonts w:ascii="Times New Roman" w:hAnsi="Times New Roman" w:cs="宋体"/>
                <w:b/>
                <w:bCs/>
                <w:highlight w:val="none"/>
              </w:rPr>
            </w:pPr>
            <w:r>
              <w:rPr>
                <w:rFonts w:hint="eastAsia" w:ascii="Times New Roman" w:hAnsi="Times New Roman" w:cs="宋体"/>
                <w:b/>
                <w:bCs/>
                <w:color w:val="000000"/>
                <w:highlight w:val="none"/>
              </w:rPr>
              <w:t>违法所得</w:t>
            </w:r>
            <w:r>
              <w:rPr>
                <w:rFonts w:ascii="Times New Roman" w:hAnsi="Times New Roman" w:cs="Times New Roman"/>
                <w:b/>
                <w:bCs/>
                <w:color w:val="000000"/>
                <w:highlight w:val="none"/>
              </w:rPr>
              <w:t>10</w:t>
            </w:r>
            <w:r>
              <w:rPr>
                <w:rFonts w:hint="eastAsia" w:ascii="Times New Roman" w:hAnsi="Times New Roman" w:cs="宋体"/>
                <w:b/>
                <w:bCs/>
                <w:color w:val="000000"/>
                <w:highlight w:val="none"/>
              </w:rPr>
              <w:t>万元以上★</w:t>
            </w:r>
          </w:p>
        </w:tc>
        <w:tc>
          <w:tcPr>
            <w:tcW w:w="5812" w:type="dxa"/>
            <w:vAlign w:val="center"/>
          </w:tcPr>
          <w:p>
            <w:pPr>
              <w:widowControl/>
              <w:snapToGrid w:val="0"/>
              <w:jc w:val="center"/>
              <w:rPr>
                <w:rFonts w:ascii="Times New Roman" w:hAnsi="Times New Roman" w:cs="宋体"/>
                <w:b/>
                <w:bCs/>
                <w:highlight w:val="none"/>
              </w:rPr>
            </w:pPr>
            <w:r>
              <w:rPr>
                <w:rFonts w:hint="eastAsia" w:ascii="Times New Roman" w:hAnsi="Times New Roman" w:eastAsia="仿宋_GB2312" w:cs="仿宋_GB2312"/>
                <w:color w:val="000000"/>
                <w:highlight w:val="none"/>
              </w:rPr>
              <w:t>违法所得</w:t>
            </w:r>
            <w:r>
              <w:rPr>
                <w:rFonts w:ascii="Times New Roman" w:hAnsi="Times New Roman" w:eastAsia="仿宋_GB2312" w:cs="Times New Roman"/>
                <w:color w:val="000000"/>
                <w:kern w:val="0"/>
                <w:highlight w:val="none"/>
              </w:rPr>
              <w:t>10-20</w:t>
            </w:r>
            <w:r>
              <w:rPr>
                <w:rFonts w:hint="eastAsia" w:ascii="Times New Roman" w:hAnsi="Times New Roman" w:eastAsia="仿宋_GB2312" w:cs="仿宋_GB2312"/>
                <w:color w:val="000000"/>
                <w:kern w:val="0"/>
                <w:highlight w:val="none"/>
              </w:rPr>
              <w:t>万元</w:t>
            </w:r>
          </w:p>
        </w:tc>
        <w:tc>
          <w:tcPr>
            <w:tcW w:w="1870" w:type="dxa"/>
            <w:vAlign w:val="center"/>
          </w:tcPr>
          <w:p>
            <w:pPr>
              <w:snapToGrid w:val="0"/>
              <w:jc w:val="center"/>
              <w:rPr>
                <w:rFonts w:ascii="Times New Roman" w:hAnsi="Times New Roman" w:cs="宋体"/>
                <w:b/>
                <w:bCs/>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90" w:type="dxa"/>
            <w:vMerge w:val="continue"/>
            <w:vAlign w:val="center"/>
          </w:tcPr>
          <w:p>
            <w:pPr>
              <w:snapToGrid w:val="0"/>
              <w:jc w:val="center"/>
              <w:rPr>
                <w:rFonts w:ascii="Times New Roman" w:hAnsi="Times New Roman" w:cs="宋体"/>
                <w:b/>
                <w:bCs/>
                <w:highlight w:val="none"/>
              </w:rPr>
            </w:pPr>
          </w:p>
        </w:tc>
        <w:tc>
          <w:tcPr>
            <w:tcW w:w="5812" w:type="dxa"/>
            <w:vAlign w:val="center"/>
          </w:tcPr>
          <w:p>
            <w:pPr>
              <w:snapToGrid w:val="0"/>
              <w:jc w:val="center"/>
              <w:rPr>
                <w:rFonts w:ascii="Times New Roman" w:hAnsi="Times New Roman" w:cs="宋体"/>
                <w:b/>
                <w:bCs/>
                <w:highlight w:val="none"/>
              </w:rPr>
            </w:pPr>
            <w:r>
              <w:rPr>
                <w:rFonts w:hint="eastAsia" w:ascii="Times New Roman" w:hAnsi="Times New Roman" w:eastAsia="仿宋_GB2312" w:cs="仿宋_GB2312"/>
                <w:color w:val="000000"/>
                <w:highlight w:val="none"/>
              </w:rPr>
              <w:t>违法所得</w:t>
            </w:r>
            <w:r>
              <w:rPr>
                <w:rFonts w:ascii="Times New Roman" w:hAnsi="Times New Roman" w:eastAsia="仿宋_GB2312" w:cs="Times New Roman"/>
                <w:color w:val="000000"/>
                <w:kern w:val="0"/>
                <w:highlight w:val="none"/>
              </w:rPr>
              <w:t>20-40</w:t>
            </w:r>
            <w:r>
              <w:rPr>
                <w:rFonts w:hint="eastAsia" w:ascii="Times New Roman" w:hAnsi="Times New Roman" w:eastAsia="仿宋_GB2312" w:cs="仿宋_GB2312"/>
                <w:color w:val="000000"/>
                <w:kern w:val="0"/>
                <w:highlight w:val="none"/>
              </w:rPr>
              <w:t>万元</w:t>
            </w:r>
          </w:p>
        </w:tc>
        <w:tc>
          <w:tcPr>
            <w:tcW w:w="1870" w:type="dxa"/>
            <w:vAlign w:val="center"/>
          </w:tcPr>
          <w:p>
            <w:pPr>
              <w:snapToGrid w:val="0"/>
              <w:jc w:val="center"/>
              <w:rPr>
                <w:rFonts w:ascii="Times New Roman" w:hAnsi="Times New Roman" w:cs="宋体"/>
                <w:b/>
                <w:bCs/>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90" w:type="dxa"/>
            <w:vMerge w:val="continue"/>
            <w:vAlign w:val="center"/>
          </w:tcPr>
          <w:p>
            <w:pPr>
              <w:snapToGrid w:val="0"/>
              <w:jc w:val="center"/>
              <w:rPr>
                <w:rFonts w:ascii="Times New Roman" w:hAnsi="Times New Roman" w:cs="宋体"/>
                <w:b/>
                <w:bCs/>
                <w:highlight w:val="none"/>
              </w:rPr>
            </w:pPr>
          </w:p>
        </w:tc>
        <w:tc>
          <w:tcPr>
            <w:tcW w:w="5812" w:type="dxa"/>
            <w:vAlign w:val="center"/>
          </w:tcPr>
          <w:p>
            <w:pPr>
              <w:snapToGrid w:val="0"/>
              <w:jc w:val="center"/>
              <w:rPr>
                <w:rFonts w:ascii="Times New Roman" w:hAnsi="Times New Roman" w:cs="宋体"/>
                <w:b/>
                <w:bCs/>
                <w:highlight w:val="none"/>
              </w:rPr>
            </w:pPr>
            <w:r>
              <w:rPr>
                <w:rFonts w:hint="eastAsia" w:ascii="Times New Roman" w:hAnsi="Times New Roman" w:eastAsia="仿宋_GB2312" w:cs="仿宋_GB2312"/>
                <w:color w:val="000000"/>
                <w:highlight w:val="none"/>
              </w:rPr>
              <w:t>违法所得</w:t>
            </w:r>
            <w:r>
              <w:rPr>
                <w:rFonts w:ascii="Times New Roman" w:hAnsi="Times New Roman" w:eastAsia="仿宋_GB2312" w:cs="Times New Roman"/>
                <w:color w:val="000000"/>
                <w:highlight w:val="none"/>
              </w:rPr>
              <w:t>40</w:t>
            </w:r>
            <w:r>
              <w:rPr>
                <w:rFonts w:hint="eastAsia" w:ascii="Times New Roman" w:hAnsi="Times New Roman" w:eastAsia="仿宋_GB2312" w:cs="仿宋_GB2312"/>
                <w:color w:val="000000"/>
                <w:highlight w:val="none"/>
              </w:rPr>
              <w:t>万元以上</w:t>
            </w:r>
          </w:p>
        </w:tc>
        <w:tc>
          <w:tcPr>
            <w:tcW w:w="1870" w:type="dxa"/>
            <w:vAlign w:val="center"/>
          </w:tcPr>
          <w:p>
            <w:pPr>
              <w:snapToGrid w:val="0"/>
              <w:jc w:val="center"/>
              <w:rPr>
                <w:rFonts w:ascii="Times New Roman" w:hAnsi="Times New Roman" w:cs="宋体"/>
                <w:b/>
                <w:bCs/>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90"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放射性废物类型</w:t>
            </w:r>
          </w:p>
        </w:tc>
        <w:tc>
          <w:tcPr>
            <w:tcW w:w="5812" w:type="dxa"/>
            <w:vAlign w:val="center"/>
          </w:tcPr>
          <w:p>
            <w:pPr>
              <w:snapToGrid w:val="0"/>
              <w:jc w:val="center"/>
              <w:rPr>
                <w:rFonts w:ascii="Times New Roman" w:hAnsi="Times New Roman" w:eastAsia="仿宋_GB2312" w:cs="Times New Roman"/>
                <w:color w:val="000000"/>
                <w:kern w:val="0"/>
                <w:highlight w:val="none"/>
              </w:rPr>
            </w:pPr>
            <w:r>
              <w:rPr>
                <w:rFonts w:hint="eastAsia" w:ascii="Times New Roman" w:hAnsi="Times New Roman" w:eastAsia="仿宋_GB2312" w:cs="仿宋_GB2312"/>
                <w:color w:val="000000"/>
                <w:kern w:val="0"/>
                <w:highlight w:val="none"/>
              </w:rPr>
              <w:t>极短寿命放射性废物</w:t>
            </w:r>
          </w:p>
        </w:tc>
        <w:tc>
          <w:tcPr>
            <w:tcW w:w="1870"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90" w:type="dxa"/>
            <w:vMerge w:val="continue"/>
            <w:vAlign w:val="center"/>
          </w:tcPr>
          <w:p>
            <w:pPr>
              <w:snapToGrid w:val="0"/>
              <w:jc w:val="center"/>
              <w:rPr>
                <w:rFonts w:ascii="Times New Roman" w:hAnsi="Times New Roman" w:cs="Times New Roman"/>
                <w:b/>
                <w:bCs/>
                <w:highlight w:val="none"/>
              </w:rPr>
            </w:pPr>
          </w:p>
        </w:tc>
        <w:tc>
          <w:tcPr>
            <w:tcW w:w="5812"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极低水平放射性废物</w:t>
            </w:r>
          </w:p>
        </w:tc>
        <w:tc>
          <w:tcPr>
            <w:tcW w:w="1870"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90" w:type="dxa"/>
            <w:vMerge w:val="continue"/>
            <w:vAlign w:val="center"/>
          </w:tcPr>
          <w:p>
            <w:pPr>
              <w:snapToGrid w:val="0"/>
              <w:jc w:val="center"/>
              <w:rPr>
                <w:rFonts w:ascii="Times New Roman" w:hAnsi="Times New Roman" w:cs="Times New Roman"/>
                <w:b/>
                <w:bCs/>
                <w:highlight w:val="none"/>
              </w:rPr>
            </w:pPr>
          </w:p>
        </w:tc>
        <w:tc>
          <w:tcPr>
            <w:tcW w:w="5812"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低水平放射性废物</w:t>
            </w:r>
          </w:p>
        </w:tc>
        <w:tc>
          <w:tcPr>
            <w:tcW w:w="1870"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90" w:type="dxa"/>
            <w:vMerge w:val="continue"/>
            <w:vAlign w:val="center"/>
          </w:tcPr>
          <w:p>
            <w:pPr>
              <w:snapToGrid w:val="0"/>
              <w:jc w:val="center"/>
              <w:rPr>
                <w:rFonts w:ascii="Times New Roman" w:hAnsi="Times New Roman" w:cs="Times New Roman"/>
                <w:b/>
                <w:bCs/>
                <w:highlight w:val="none"/>
              </w:rPr>
            </w:pPr>
          </w:p>
        </w:tc>
        <w:tc>
          <w:tcPr>
            <w:tcW w:w="5812"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中水平放射性废物</w:t>
            </w:r>
          </w:p>
        </w:tc>
        <w:tc>
          <w:tcPr>
            <w:tcW w:w="1870"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390" w:type="dxa"/>
            <w:vMerge w:val="continue"/>
            <w:vAlign w:val="center"/>
          </w:tcPr>
          <w:p>
            <w:pPr>
              <w:snapToGrid w:val="0"/>
              <w:jc w:val="center"/>
              <w:rPr>
                <w:rFonts w:ascii="Times New Roman" w:hAnsi="Times New Roman" w:cs="Times New Roman"/>
                <w:b/>
                <w:bCs/>
                <w:highlight w:val="none"/>
              </w:rPr>
            </w:pPr>
          </w:p>
        </w:tc>
        <w:tc>
          <w:tcPr>
            <w:tcW w:w="5812"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高水平放射性废物</w:t>
            </w:r>
          </w:p>
        </w:tc>
        <w:tc>
          <w:tcPr>
            <w:tcW w:w="1870"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390"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废旧放射源种类</w:t>
            </w:r>
          </w:p>
        </w:tc>
        <w:tc>
          <w:tcPr>
            <w:tcW w:w="5812"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Ⅳ</w:t>
            </w:r>
            <w:r>
              <w:rPr>
                <w:rFonts w:hint="eastAsia" w:ascii="Times New Roman" w:hAnsi="Times New Roman" w:eastAsia="仿宋_GB2312" w:cs="仿宋_GB2312"/>
                <w:highlight w:val="none"/>
              </w:rPr>
              <w:t>类、</w:t>
            </w:r>
            <w:r>
              <w:rPr>
                <w:rFonts w:hint="eastAsia" w:ascii="宋体" w:hAnsi="宋体" w:cs="宋体"/>
                <w:highlight w:val="none"/>
              </w:rPr>
              <w:t>Ⅴ</w:t>
            </w:r>
            <w:r>
              <w:rPr>
                <w:rFonts w:hint="eastAsia" w:ascii="Times New Roman" w:hAnsi="Times New Roman" w:eastAsia="仿宋_GB2312" w:cs="仿宋_GB2312"/>
                <w:highlight w:val="none"/>
              </w:rPr>
              <w:t>类放射源</w:t>
            </w:r>
          </w:p>
        </w:tc>
        <w:tc>
          <w:tcPr>
            <w:tcW w:w="1870" w:type="dxa"/>
            <w:vAlign w:val="center"/>
          </w:tcPr>
          <w:p>
            <w:pPr>
              <w:pStyle w:val="11"/>
              <w:snapToGrid w:val="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90" w:type="dxa"/>
            <w:vMerge w:val="continue"/>
            <w:vAlign w:val="center"/>
          </w:tcPr>
          <w:p>
            <w:pPr>
              <w:snapToGrid w:val="0"/>
              <w:jc w:val="center"/>
              <w:rPr>
                <w:rFonts w:ascii="Times New Roman" w:hAnsi="Times New Roman" w:cs="Times New Roman"/>
                <w:b/>
                <w:bCs/>
                <w:highlight w:val="none"/>
              </w:rPr>
            </w:pPr>
          </w:p>
        </w:tc>
        <w:tc>
          <w:tcPr>
            <w:tcW w:w="5812"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Ⅲ</w:t>
            </w:r>
            <w:r>
              <w:rPr>
                <w:rFonts w:hint="eastAsia" w:ascii="Times New Roman" w:hAnsi="Times New Roman" w:eastAsia="仿宋_GB2312" w:cs="仿宋_GB2312"/>
                <w:highlight w:val="none"/>
              </w:rPr>
              <w:t>类放射源</w:t>
            </w:r>
          </w:p>
        </w:tc>
        <w:tc>
          <w:tcPr>
            <w:tcW w:w="1870"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90" w:type="dxa"/>
            <w:vMerge w:val="continue"/>
            <w:vAlign w:val="center"/>
          </w:tcPr>
          <w:p>
            <w:pPr>
              <w:snapToGrid w:val="0"/>
              <w:jc w:val="center"/>
              <w:rPr>
                <w:rFonts w:ascii="Times New Roman" w:hAnsi="Times New Roman" w:cs="Times New Roman"/>
                <w:b/>
                <w:bCs/>
                <w:highlight w:val="none"/>
              </w:rPr>
            </w:pPr>
          </w:p>
        </w:tc>
        <w:tc>
          <w:tcPr>
            <w:tcW w:w="5812"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Ⅰ</w:t>
            </w:r>
            <w:r>
              <w:rPr>
                <w:rFonts w:hint="eastAsia" w:ascii="Times New Roman" w:hAnsi="Times New Roman" w:eastAsia="仿宋_GB2312" w:cs="仿宋_GB2312"/>
                <w:highlight w:val="none"/>
              </w:rPr>
              <w:t>类、</w:t>
            </w:r>
            <w:r>
              <w:rPr>
                <w:rFonts w:hint="eastAsia" w:ascii="宋体" w:hAnsi="宋体" w:cs="宋体"/>
                <w:highlight w:val="none"/>
              </w:rPr>
              <w:t>Ⅱ</w:t>
            </w:r>
            <w:r>
              <w:rPr>
                <w:rFonts w:hint="eastAsia" w:ascii="Times New Roman" w:hAnsi="Times New Roman" w:eastAsia="仿宋_GB2312" w:cs="仿宋_GB2312"/>
                <w:highlight w:val="none"/>
              </w:rPr>
              <w:t>类放射源</w:t>
            </w:r>
          </w:p>
        </w:tc>
        <w:tc>
          <w:tcPr>
            <w:tcW w:w="1870"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90"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放射性废物数量</w:t>
            </w:r>
          </w:p>
        </w:tc>
        <w:tc>
          <w:tcPr>
            <w:tcW w:w="5812"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不足</w:t>
            </w: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千克</w:t>
            </w:r>
          </w:p>
        </w:tc>
        <w:tc>
          <w:tcPr>
            <w:tcW w:w="1870"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90" w:type="dxa"/>
            <w:vMerge w:val="continue"/>
            <w:vAlign w:val="center"/>
          </w:tcPr>
          <w:p>
            <w:pPr>
              <w:snapToGrid w:val="0"/>
              <w:jc w:val="center"/>
              <w:rPr>
                <w:rFonts w:ascii="Times New Roman" w:hAnsi="Times New Roman" w:cs="Times New Roman"/>
                <w:b/>
                <w:bCs/>
                <w:highlight w:val="none"/>
              </w:rPr>
            </w:pPr>
          </w:p>
        </w:tc>
        <w:tc>
          <w:tcPr>
            <w:tcW w:w="5812"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千克以上不足</w:t>
            </w:r>
            <w:r>
              <w:rPr>
                <w:rFonts w:ascii="Times New Roman" w:hAnsi="Times New Roman" w:eastAsia="仿宋_GB2312" w:cs="Times New Roman"/>
                <w:color w:val="000000"/>
                <w:highlight w:val="none"/>
              </w:rPr>
              <w:t>100</w:t>
            </w:r>
            <w:r>
              <w:rPr>
                <w:rFonts w:hint="eastAsia" w:ascii="Times New Roman" w:hAnsi="Times New Roman" w:eastAsia="仿宋_GB2312" w:cs="仿宋_GB2312"/>
                <w:color w:val="000000"/>
                <w:highlight w:val="none"/>
              </w:rPr>
              <w:t>千克</w:t>
            </w:r>
          </w:p>
        </w:tc>
        <w:tc>
          <w:tcPr>
            <w:tcW w:w="1870"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90" w:type="dxa"/>
            <w:vMerge w:val="continue"/>
            <w:vAlign w:val="center"/>
          </w:tcPr>
          <w:p>
            <w:pPr>
              <w:snapToGrid w:val="0"/>
              <w:jc w:val="center"/>
              <w:rPr>
                <w:rFonts w:ascii="Times New Roman" w:hAnsi="Times New Roman" w:cs="Times New Roman"/>
                <w:b/>
                <w:bCs/>
                <w:highlight w:val="none"/>
              </w:rPr>
            </w:pPr>
          </w:p>
        </w:tc>
        <w:tc>
          <w:tcPr>
            <w:tcW w:w="5812"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100</w:t>
            </w:r>
            <w:r>
              <w:rPr>
                <w:rFonts w:hint="eastAsia" w:ascii="Times New Roman" w:hAnsi="Times New Roman" w:eastAsia="仿宋_GB2312" w:cs="仿宋_GB2312"/>
                <w:color w:val="000000"/>
                <w:highlight w:val="none"/>
              </w:rPr>
              <w:t>千克以上</w:t>
            </w:r>
          </w:p>
        </w:tc>
        <w:tc>
          <w:tcPr>
            <w:tcW w:w="1870"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90"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color w:val="000000"/>
                <w:highlight w:val="none"/>
              </w:rPr>
              <w:t>违法行为持续时间或发生频次</w:t>
            </w:r>
          </w:p>
        </w:tc>
        <w:tc>
          <w:tcPr>
            <w:tcW w:w="5812"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r>
              <w:rPr>
                <w:rFonts w:hint="eastAsia" w:ascii="Times New Roman" w:hAnsi="Times New Roman" w:eastAsia="仿宋_GB2312" w:cs="仿宋_GB2312"/>
                <w:highlight w:val="none"/>
              </w:rPr>
              <w:t>个月以内或</w:t>
            </w:r>
            <w:r>
              <w:rPr>
                <w:rFonts w:ascii="Times New Roman" w:hAnsi="Times New Roman" w:eastAsia="仿宋_GB2312" w:cs="Times New Roman"/>
                <w:highlight w:val="none"/>
              </w:rPr>
              <w:t>2</w:t>
            </w:r>
            <w:r>
              <w:rPr>
                <w:rFonts w:hint="eastAsia" w:ascii="Times New Roman" w:hAnsi="Times New Roman" w:eastAsia="仿宋_GB2312" w:cs="仿宋_GB2312"/>
                <w:highlight w:val="none"/>
              </w:rPr>
              <w:t>次以下</w:t>
            </w:r>
          </w:p>
        </w:tc>
        <w:tc>
          <w:tcPr>
            <w:tcW w:w="1870"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90" w:type="dxa"/>
            <w:vMerge w:val="continue"/>
            <w:vAlign w:val="center"/>
          </w:tcPr>
          <w:p>
            <w:pPr>
              <w:snapToGrid w:val="0"/>
              <w:jc w:val="center"/>
              <w:rPr>
                <w:rFonts w:ascii="Times New Roman" w:hAnsi="Times New Roman" w:cs="Times New Roman"/>
                <w:b/>
                <w:bCs/>
                <w:highlight w:val="none"/>
              </w:rPr>
            </w:pPr>
          </w:p>
        </w:tc>
        <w:tc>
          <w:tcPr>
            <w:tcW w:w="5812"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r>
              <w:rPr>
                <w:rFonts w:hint="eastAsia" w:ascii="Times New Roman" w:hAnsi="Times New Roman" w:eastAsia="仿宋_GB2312" w:cs="仿宋_GB2312"/>
                <w:highlight w:val="none"/>
              </w:rPr>
              <w:t>个月以上</w:t>
            </w:r>
            <w:r>
              <w:rPr>
                <w:rFonts w:ascii="Times New Roman" w:hAnsi="Times New Roman" w:eastAsia="仿宋_GB2312" w:cs="Times New Roman"/>
                <w:highlight w:val="none"/>
              </w:rPr>
              <w:t>6</w:t>
            </w:r>
            <w:r>
              <w:rPr>
                <w:rFonts w:hint="eastAsia" w:ascii="Times New Roman" w:hAnsi="Times New Roman" w:eastAsia="仿宋_GB2312" w:cs="仿宋_GB2312"/>
                <w:highlight w:val="none"/>
              </w:rPr>
              <w:t>个月以内或</w:t>
            </w:r>
            <w:r>
              <w:rPr>
                <w:rFonts w:ascii="Times New Roman" w:hAnsi="Times New Roman" w:eastAsia="仿宋_GB2312" w:cs="Times New Roman"/>
                <w:highlight w:val="none"/>
              </w:rPr>
              <w:t>2</w:t>
            </w:r>
            <w:r>
              <w:rPr>
                <w:rFonts w:hint="eastAsia" w:ascii="Times New Roman" w:hAnsi="Times New Roman" w:eastAsia="仿宋_GB2312" w:cs="仿宋_GB2312"/>
                <w:highlight w:val="none"/>
              </w:rPr>
              <w:t>次</w:t>
            </w:r>
          </w:p>
        </w:tc>
        <w:tc>
          <w:tcPr>
            <w:tcW w:w="1870"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90" w:type="dxa"/>
            <w:vMerge w:val="continue"/>
            <w:vAlign w:val="center"/>
          </w:tcPr>
          <w:p>
            <w:pPr>
              <w:snapToGrid w:val="0"/>
              <w:jc w:val="center"/>
              <w:rPr>
                <w:rFonts w:ascii="Times New Roman" w:hAnsi="Times New Roman" w:cs="Times New Roman"/>
                <w:b/>
                <w:bCs/>
                <w:highlight w:val="none"/>
              </w:rPr>
            </w:pPr>
          </w:p>
        </w:tc>
        <w:tc>
          <w:tcPr>
            <w:tcW w:w="5812"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6</w:t>
            </w:r>
            <w:r>
              <w:rPr>
                <w:rFonts w:hint="eastAsia" w:ascii="Times New Roman" w:hAnsi="Times New Roman" w:eastAsia="仿宋_GB2312" w:cs="仿宋_GB2312"/>
                <w:highlight w:val="none"/>
              </w:rPr>
              <w:t>个月以上或</w:t>
            </w:r>
            <w:r>
              <w:rPr>
                <w:rFonts w:ascii="Times New Roman" w:hAnsi="Times New Roman" w:eastAsia="仿宋_GB2312" w:cs="Times New Roman"/>
                <w:highlight w:val="none"/>
              </w:rPr>
              <w:t>3</w:t>
            </w:r>
            <w:r>
              <w:rPr>
                <w:rFonts w:hint="eastAsia" w:ascii="Times New Roman" w:hAnsi="Times New Roman" w:eastAsia="仿宋_GB2312" w:cs="仿宋_GB2312"/>
                <w:highlight w:val="none"/>
              </w:rPr>
              <w:t>次以上</w:t>
            </w:r>
          </w:p>
        </w:tc>
        <w:tc>
          <w:tcPr>
            <w:tcW w:w="1870"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90"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682"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5510"/>
        <w:gridCol w:w="2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2"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805"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kern w:val="0"/>
                <w:highlight w:val="none"/>
              </w:rPr>
            </w:pPr>
            <w:r>
              <w:rPr>
                <w:rFonts w:hint="eastAsia" w:ascii="Times New Roman" w:hAnsi="Times New Roman" w:cs="宋体"/>
                <w:b/>
                <w:bCs/>
                <w:kern w:val="0"/>
                <w:highlight w:val="none"/>
              </w:rPr>
              <w:t>违法行为</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20" w:firstLineChars="200"/>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核设施营运单位未对核设施周围环境中所含的放射性核素的种类、浓度或者核设施流出物中的放射性核素总量实施监测，或者未按照规定报告监测结果的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2" w:beforeLines="20" w:line="288" w:lineRule="auto"/>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《中华人民共和国核安全法》第十九条</w:t>
            </w:r>
            <w:r>
              <w:rPr>
                <w:rFonts w:ascii="Times New Roman" w:hAnsi="Times New Roman" w:eastAsia="仿宋_GB2312" w:cs="Times New Roman"/>
                <w:b/>
                <w:bCs/>
                <w:kern w:val="0"/>
                <w:highlight w:val="none"/>
              </w:rPr>
              <w:t xml:space="preserve"> </w:t>
            </w:r>
            <w:r>
              <w:rPr>
                <w:rFonts w:hint="eastAsia" w:ascii="Times New Roman" w:hAnsi="Times New Roman" w:eastAsia="仿宋_GB2312" w:cs="仿宋_GB2312"/>
                <w:kern w:val="0"/>
                <w:highlight w:val="none"/>
              </w:rPr>
              <w:t>核设施营运单位应当对核设施周围环境中所含的放射性核素的种类、浓度以及核设施流出物中的放射性核素总量实施监测，并定期向国务院环境保护主管部门和所在地省、自治区、直辖市人民政府环境保护主管部门报告监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805" w:type="dxa"/>
            <w:gridSpan w:val="2"/>
            <w:vAlign w:val="center"/>
          </w:tcPr>
          <w:p>
            <w:pPr>
              <w:widowControl/>
              <w:snapToGrid w:val="0"/>
              <w:spacing w:before="62" w:beforeLines="20" w:line="288" w:lineRule="auto"/>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《中华人民共和国核安全法》第八十一条</w:t>
            </w:r>
            <w:r>
              <w:rPr>
                <w:rFonts w:ascii="Times New Roman" w:hAnsi="Times New Roman" w:eastAsia="仿宋_GB2312" w:cs="Times New Roman"/>
                <w:b/>
                <w:bCs/>
                <w:kern w:val="0"/>
                <w:highlight w:val="none"/>
              </w:rPr>
              <w:t xml:space="preserve"> </w:t>
            </w:r>
            <w:r>
              <w:rPr>
                <w:rFonts w:hint="eastAsia" w:ascii="Times New Roman" w:hAnsi="Times New Roman" w:eastAsia="仿宋_GB2312" w:cs="仿宋_GB2312"/>
                <w:kern w:val="0"/>
                <w:highlight w:val="none"/>
              </w:rPr>
              <w:t>违反本法规定，核设施营运单位未对核设施周围环境中所含的放射性核素的种类、浓度或者核设施流出物中的放射性核素总量实施监测，或者未按照规定报告监测结果的，由国务院环境保护主管部门或者所在地省、自治区、直辖市人民政府环境保护主管部门责令改正，处十万元以上五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510"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29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核设施</w:t>
            </w:r>
          </w:p>
          <w:p>
            <w:pPr>
              <w:snapToGrid w:val="0"/>
              <w:jc w:val="center"/>
              <w:rPr>
                <w:rFonts w:ascii="Times New Roman" w:hAnsi="Times New Roman" w:cs="宋体"/>
                <w:b/>
                <w:bCs/>
                <w:highlight w:val="none"/>
              </w:rPr>
            </w:pPr>
            <w:r>
              <w:rPr>
                <w:rFonts w:hint="eastAsia" w:ascii="Times New Roman" w:hAnsi="Times New Roman" w:cs="宋体"/>
                <w:b/>
                <w:bCs/>
                <w:highlight w:val="none"/>
              </w:rPr>
              <w:t>分类</w:t>
            </w:r>
            <w:r>
              <w:rPr>
                <w:rFonts w:hint="eastAsia" w:ascii="Times New Roman" w:hAnsi="Times New Roman" w:cs="宋体"/>
                <w:b/>
                <w:bCs/>
                <w:color w:val="000000"/>
                <w:highlight w:val="none"/>
              </w:rPr>
              <w:t>★</w:t>
            </w:r>
          </w:p>
        </w:tc>
        <w:tc>
          <w:tcPr>
            <w:tcW w:w="5510" w:type="dxa"/>
            <w:vAlign w:val="center"/>
          </w:tcPr>
          <w:p>
            <w:pPr>
              <w:pStyle w:val="11"/>
              <w:snapToGrid w:val="0"/>
              <w:jc w:val="center"/>
              <w:rPr>
                <w:rFonts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放射性废物处理和处置设施</w:t>
            </w:r>
          </w:p>
        </w:tc>
        <w:tc>
          <w:tcPr>
            <w:tcW w:w="2295"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宋体"/>
                <w:b/>
                <w:bCs/>
                <w:highlight w:val="none"/>
              </w:rPr>
            </w:pPr>
          </w:p>
        </w:tc>
        <w:tc>
          <w:tcPr>
            <w:tcW w:w="5510" w:type="dxa"/>
            <w:vAlign w:val="center"/>
          </w:tcPr>
          <w:p>
            <w:pPr>
              <w:pStyle w:val="11"/>
              <w:snapToGrid w:val="0"/>
              <w:jc w:val="center"/>
              <w:rPr>
                <w:rFonts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核燃料生产、加工、贮存和后处理设施</w:t>
            </w:r>
          </w:p>
        </w:tc>
        <w:tc>
          <w:tcPr>
            <w:tcW w:w="2295"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宋体"/>
                <w:b/>
                <w:bCs/>
                <w:highlight w:val="none"/>
              </w:rPr>
            </w:pPr>
          </w:p>
        </w:tc>
        <w:tc>
          <w:tcPr>
            <w:tcW w:w="5510" w:type="dxa"/>
            <w:vAlign w:val="center"/>
          </w:tcPr>
          <w:p>
            <w:pPr>
              <w:pStyle w:val="11"/>
              <w:snapToGrid w:val="0"/>
              <w:jc w:val="center"/>
              <w:rPr>
                <w:rFonts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研究堆、实验堆、临界装置等反应堆</w:t>
            </w:r>
          </w:p>
        </w:tc>
        <w:tc>
          <w:tcPr>
            <w:tcW w:w="2295"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宋体"/>
                <w:b/>
                <w:bCs/>
                <w:highlight w:val="none"/>
              </w:rPr>
            </w:pPr>
          </w:p>
        </w:tc>
        <w:tc>
          <w:tcPr>
            <w:tcW w:w="5510" w:type="dxa"/>
            <w:vAlign w:val="center"/>
          </w:tcPr>
          <w:p>
            <w:pPr>
              <w:pStyle w:val="11"/>
              <w:snapToGrid w:val="0"/>
              <w:jc w:val="center"/>
              <w:rPr>
                <w:rFonts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核电厂、核热电厂、核供汽供热厂等核动力厂</w:t>
            </w:r>
          </w:p>
        </w:tc>
        <w:tc>
          <w:tcPr>
            <w:tcW w:w="2295"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监测频次</w:t>
            </w:r>
          </w:p>
        </w:tc>
        <w:tc>
          <w:tcPr>
            <w:tcW w:w="5510"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已监测，但未规范报告检测结果的</w:t>
            </w:r>
          </w:p>
        </w:tc>
        <w:tc>
          <w:tcPr>
            <w:tcW w:w="2295"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510"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未规范监测的，或者未报告环境监测结果的</w:t>
            </w:r>
          </w:p>
        </w:tc>
        <w:tc>
          <w:tcPr>
            <w:tcW w:w="2295"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510"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未监测的</w:t>
            </w:r>
          </w:p>
        </w:tc>
        <w:tc>
          <w:tcPr>
            <w:tcW w:w="2295"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805"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5510"/>
        <w:gridCol w:w="2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072"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805"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kern w:val="0"/>
                <w:highlight w:val="none"/>
              </w:rPr>
            </w:pPr>
            <w:r>
              <w:rPr>
                <w:rFonts w:hint="eastAsia" w:ascii="Times New Roman" w:hAnsi="Times New Roman" w:cs="宋体"/>
                <w:b/>
                <w:bCs/>
                <w:kern w:val="0"/>
                <w:highlight w:val="none"/>
              </w:rPr>
              <w:t>违法行为</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20" w:firstLineChars="200"/>
              <w:jc w:val="center"/>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核电厂排放超过国家排放标准的放射性废水、废气的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88" w:lineRule="auto"/>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《山东省辐射污染防治条例》第十三条</w:t>
            </w:r>
            <w:r>
              <w:rPr>
                <w:rFonts w:ascii="Times New Roman" w:hAnsi="Times New Roman" w:eastAsia="仿宋_GB2312" w:cs="Times New Roman"/>
                <w:kern w:val="0"/>
                <w:highlight w:val="none"/>
              </w:rPr>
              <w:t xml:space="preserve"> </w:t>
            </w:r>
            <w:r>
              <w:rPr>
                <w:rFonts w:hint="eastAsia" w:ascii="Times New Roman" w:hAnsi="Times New Roman" w:eastAsia="仿宋_GB2312" w:cs="仿宋_GB2312"/>
                <w:kern w:val="0"/>
                <w:highlight w:val="none"/>
              </w:rPr>
              <w:t>核电厂排放的放射性废水、废气应当符合国家放射性污染物排放标准。禁止排放中、高水平的放射性废水。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805" w:type="dxa"/>
            <w:gridSpan w:val="2"/>
            <w:vAlign w:val="center"/>
          </w:tcPr>
          <w:p>
            <w:pPr>
              <w:widowControl/>
              <w:snapToGrid w:val="0"/>
              <w:spacing w:line="288" w:lineRule="auto"/>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《山东省辐射污染防治条例》第五十三条第一款</w:t>
            </w:r>
            <w:r>
              <w:rPr>
                <w:rFonts w:ascii="Times New Roman" w:hAnsi="Times New Roman" w:eastAsia="仿宋_GB2312" w:cs="Times New Roman"/>
                <w:kern w:val="0"/>
                <w:highlight w:val="none"/>
              </w:rPr>
              <w:t xml:space="preserve"> </w:t>
            </w:r>
            <w:r>
              <w:rPr>
                <w:rFonts w:hint="eastAsia" w:ascii="Times New Roman" w:hAnsi="Times New Roman" w:eastAsia="仿宋_GB2312" w:cs="仿宋_GB2312"/>
                <w:kern w:val="0"/>
                <w:highlight w:val="none"/>
              </w:rPr>
              <w:t>违反本条例规定，核电厂排放超过国家排放标准的放射性废水、废气的，由县级以上人民政府环境保护主管部门责令停止违法行为，限期改正，并处十万元以上二十万元以下罚款。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510"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295"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jc w:val="center"/>
              <w:rPr>
                <w:rFonts w:ascii="Times New Roman" w:hAnsi="Times New Roman" w:cs="宋体"/>
                <w:b/>
                <w:bCs/>
                <w:highlight w:val="none"/>
              </w:rPr>
            </w:pPr>
            <w:r>
              <w:rPr>
                <w:rFonts w:hint="eastAsia" w:ascii="Times New Roman" w:hAnsi="Times New Roman" w:cs="宋体"/>
                <w:b/>
                <w:bCs/>
                <w:highlight w:val="none"/>
              </w:rPr>
              <w:t>排污超标状况</w:t>
            </w:r>
            <w:r>
              <w:rPr>
                <w:rFonts w:hint="eastAsia" w:ascii="Times New Roman" w:hAnsi="Times New Roman" w:cs="宋体"/>
                <w:b/>
                <w:bCs/>
                <w:color w:val="000000"/>
                <w:highlight w:val="none"/>
              </w:rPr>
              <w:t>★</w:t>
            </w:r>
          </w:p>
        </w:tc>
        <w:tc>
          <w:tcPr>
            <w:tcW w:w="5510" w:type="dxa"/>
            <w:vAlign w:val="center"/>
          </w:tcPr>
          <w:p>
            <w:pPr>
              <w:snapToGrid w:val="0"/>
              <w:jc w:val="center"/>
              <w:rPr>
                <w:rFonts w:ascii="Times New Roman" w:hAnsi="Times New Roman" w:cs="宋体"/>
                <w:b/>
                <w:bCs/>
                <w:highlight w:val="none"/>
              </w:rPr>
            </w:pPr>
            <w:r>
              <w:rPr>
                <w:rFonts w:hint="eastAsia" w:ascii="Times New Roman" w:hAnsi="Times New Roman" w:eastAsia="仿宋_GB2312" w:cs="仿宋_GB2312"/>
                <w:highlight w:val="none"/>
              </w:rPr>
              <w:t>超标</w:t>
            </w:r>
            <w:r>
              <w:rPr>
                <w:rFonts w:ascii="Times New Roman" w:hAnsi="Times New Roman" w:eastAsia="仿宋_GB2312" w:cs="Times New Roman"/>
                <w:highlight w:val="none"/>
              </w:rPr>
              <w:t>0.5</w:t>
            </w:r>
            <w:r>
              <w:rPr>
                <w:rFonts w:hint="eastAsia" w:ascii="Times New Roman" w:hAnsi="Times New Roman" w:eastAsia="仿宋_GB2312" w:cs="仿宋_GB2312"/>
                <w:highlight w:val="none"/>
              </w:rPr>
              <w:t>倍以下</w:t>
            </w:r>
          </w:p>
        </w:tc>
        <w:tc>
          <w:tcPr>
            <w:tcW w:w="2295" w:type="dxa"/>
            <w:vAlign w:val="center"/>
          </w:tcPr>
          <w:p>
            <w:pPr>
              <w:snapToGrid w:val="0"/>
              <w:jc w:val="center"/>
              <w:rPr>
                <w:rFonts w:ascii="Times New Roman" w:hAnsi="Times New Roman" w:cs="宋体"/>
                <w:b/>
                <w:bCs/>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宋体"/>
                <w:b/>
                <w:bCs/>
                <w:highlight w:val="none"/>
              </w:rPr>
            </w:pPr>
          </w:p>
        </w:tc>
        <w:tc>
          <w:tcPr>
            <w:tcW w:w="5510" w:type="dxa"/>
            <w:vAlign w:val="center"/>
          </w:tcPr>
          <w:p>
            <w:pPr>
              <w:snapToGrid w:val="0"/>
              <w:jc w:val="center"/>
              <w:rPr>
                <w:rFonts w:ascii="Times New Roman" w:hAnsi="Times New Roman" w:cs="宋体"/>
                <w:b/>
                <w:bCs/>
                <w:highlight w:val="none"/>
              </w:rPr>
            </w:pPr>
            <w:r>
              <w:rPr>
                <w:rFonts w:hint="eastAsia" w:ascii="Times New Roman" w:hAnsi="Times New Roman" w:eastAsia="仿宋_GB2312" w:cs="仿宋_GB2312"/>
                <w:highlight w:val="none"/>
              </w:rPr>
              <w:t>超标</w:t>
            </w:r>
            <w:r>
              <w:rPr>
                <w:rFonts w:ascii="Times New Roman" w:hAnsi="Times New Roman" w:eastAsia="仿宋_GB2312" w:cs="Times New Roman"/>
                <w:highlight w:val="none"/>
              </w:rPr>
              <w:t>0.5</w:t>
            </w:r>
            <w:r>
              <w:rPr>
                <w:rFonts w:hint="eastAsia" w:ascii="Times New Roman" w:hAnsi="Times New Roman" w:eastAsia="仿宋_GB2312" w:cs="仿宋_GB2312"/>
                <w:highlight w:val="none"/>
              </w:rPr>
              <w:t>倍以上</w:t>
            </w:r>
            <w:r>
              <w:rPr>
                <w:rFonts w:ascii="Times New Roman" w:hAnsi="Times New Roman" w:eastAsia="仿宋_GB2312" w:cs="Times New Roman"/>
                <w:highlight w:val="none"/>
              </w:rPr>
              <w:t>1</w:t>
            </w:r>
            <w:r>
              <w:rPr>
                <w:rFonts w:hint="eastAsia" w:ascii="Times New Roman" w:hAnsi="Times New Roman" w:eastAsia="仿宋_GB2312" w:cs="仿宋_GB2312"/>
                <w:highlight w:val="none"/>
              </w:rPr>
              <w:t>倍以下</w:t>
            </w:r>
          </w:p>
        </w:tc>
        <w:tc>
          <w:tcPr>
            <w:tcW w:w="2295" w:type="dxa"/>
            <w:vAlign w:val="center"/>
          </w:tcPr>
          <w:p>
            <w:pPr>
              <w:snapToGrid w:val="0"/>
              <w:jc w:val="center"/>
              <w:rPr>
                <w:rFonts w:ascii="Times New Roman" w:hAnsi="Times New Roman" w:cs="宋体"/>
                <w:b/>
                <w:bCs/>
                <w:highlight w:val="none"/>
              </w:rPr>
            </w:pPr>
            <w:r>
              <w:rPr>
                <w:rFonts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宋体"/>
                <w:b/>
                <w:bCs/>
                <w:highlight w:val="none"/>
              </w:rPr>
            </w:pPr>
          </w:p>
        </w:tc>
        <w:tc>
          <w:tcPr>
            <w:tcW w:w="5510" w:type="dxa"/>
            <w:vAlign w:val="center"/>
          </w:tcPr>
          <w:p>
            <w:pPr>
              <w:snapToGrid w:val="0"/>
              <w:jc w:val="center"/>
              <w:rPr>
                <w:rFonts w:ascii="Times New Roman" w:hAnsi="Times New Roman" w:cs="宋体"/>
                <w:b/>
                <w:bCs/>
                <w:highlight w:val="none"/>
              </w:rPr>
            </w:pPr>
            <w:r>
              <w:rPr>
                <w:rFonts w:hint="eastAsia" w:ascii="Times New Roman" w:hAnsi="Times New Roman" w:eastAsia="仿宋_GB2312" w:cs="仿宋_GB2312"/>
                <w:highlight w:val="none"/>
              </w:rPr>
              <w:t>超标</w:t>
            </w:r>
            <w:r>
              <w:rPr>
                <w:rFonts w:ascii="Times New Roman" w:hAnsi="Times New Roman" w:eastAsia="仿宋_GB2312" w:cs="Times New Roman"/>
                <w:highlight w:val="none"/>
              </w:rPr>
              <w:t>1</w:t>
            </w:r>
            <w:r>
              <w:rPr>
                <w:rFonts w:hint="eastAsia" w:ascii="Times New Roman" w:hAnsi="Times New Roman" w:eastAsia="仿宋_GB2312" w:cs="仿宋_GB2312"/>
                <w:highlight w:val="none"/>
              </w:rPr>
              <w:t>倍以上</w:t>
            </w:r>
            <w:r>
              <w:rPr>
                <w:rFonts w:ascii="Times New Roman" w:hAnsi="Times New Roman" w:eastAsia="仿宋_GB2312" w:cs="Times New Roman"/>
                <w:highlight w:val="none"/>
              </w:rPr>
              <w:t>2</w:t>
            </w:r>
            <w:r>
              <w:rPr>
                <w:rFonts w:hint="eastAsia" w:ascii="Times New Roman" w:hAnsi="Times New Roman" w:eastAsia="仿宋_GB2312" w:cs="仿宋_GB2312"/>
                <w:highlight w:val="none"/>
              </w:rPr>
              <w:t>倍以下</w:t>
            </w:r>
          </w:p>
        </w:tc>
        <w:tc>
          <w:tcPr>
            <w:tcW w:w="2295" w:type="dxa"/>
            <w:vAlign w:val="center"/>
          </w:tcPr>
          <w:p>
            <w:pPr>
              <w:snapToGrid w:val="0"/>
              <w:jc w:val="center"/>
              <w:rPr>
                <w:rFonts w:ascii="Times New Roman" w:hAnsi="Times New Roman" w:cs="宋体"/>
                <w:b/>
                <w:bCs/>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宋体"/>
                <w:b/>
                <w:bCs/>
                <w:highlight w:val="none"/>
              </w:rPr>
            </w:pPr>
          </w:p>
        </w:tc>
        <w:tc>
          <w:tcPr>
            <w:tcW w:w="5510" w:type="dxa"/>
            <w:vAlign w:val="center"/>
          </w:tcPr>
          <w:p>
            <w:pPr>
              <w:snapToGrid w:val="0"/>
              <w:jc w:val="center"/>
              <w:rPr>
                <w:rFonts w:ascii="Times New Roman" w:hAnsi="Times New Roman" w:cs="宋体"/>
                <w:b/>
                <w:bCs/>
                <w:highlight w:val="none"/>
              </w:rPr>
            </w:pPr>
            <w:r>
              <w:rPr>
                <w:rFonts w:hint="eastAsia" w:ascii="Times New Roman" w:hAnsi="Times New Roman" w:eastAsia="仿宋_GB2312" w:cs="仿宋_GB2312"/>
                <w:highlight w:val="none"/>
              </w:rPr>
              <w:t>超标</w:t>
            </w:r>
            <w:r>
              <w:rPr>
                <w:rFonts w:ascii="Times New Roman" w:hAnsi="Times New Roman" w:eastAsia="仿宋_GB2312" w:cs="Times New Roman"/>
                <w:highlight w:val="none"/>
              </w:rPr>
              <w:t>2</w:t>
            </w:r>
            <w:r>
              <w:rPr>
                <w:rFonts w:hint="eastAsia" w:ascii="Times New Roman" w:hAnsi="Times New Roman" w:eastAsia="仿宋_GB2312" w:cs="仿宋_GB2312"/>
                <w:highlight w:val="none"/>
              </w:rPr>
              <w:t>倍以上</w:t>
            </w:r>
            <w:r>
              <w:rPr>
                <w:rFonts w:ascii="Times New Roman" w:hAnsi="Times New Roman" w:eastAsia="仿宋_GB2312" w:cs="Times New Roman"/>
                <w:highlight w:val="none"/>
              </w:rPr>
              <w:t>3</w:t>
            </w:r>
            <w:r>
              <w:rPr>
                <w:rFonts w:hint="eastAsia" w:ascii="Times New Roman" w:hAnsi="Times New Roman" w:eastAsia="仿宋_GB2312" w:cs="仿宋_GB2312"/>
                <w:highlight w:val="none"/>
              </w:rPr>
              <w:t>倍以下</w:t>
            </w:r>
          </w:p>
        </w:tc>
        <w:tc>
          <w:tcPr>
            <w:tcW w:w="2295" w:type="dxa"/>
            <w:vAlign w:val="center"/>
          </w:tcPr>
          <w:p>
            <w:pPr>
              <w:snapToGrid w:val="0"/>
              <w:jc w:val="center"/>
              <w:rPr>
                <w:rFonts w:ascii="Times New Roman" w:hAnsi="Times New Roman" w:cs="宋体"/>
                <w:b/>
                <w:bCs/>
                <w:highlight w:val="none"/>
              </w:rPr>
            </w:pPr>
            <w:r>
              <w:rPr>
                <w:rFonts w:ascii="Times New Roman" w:hAnsi="Times New Roman" w:eastAsia="仿宋_GB2312"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宋体"/>
                <w:b/>
                <w:bCs/>
                <w:highlight w:val="none"/>
              </w:rPr>
            </w:pPr>
          </w:p>
        </w:tc>
        <w:tc>
          <w:tcPr>
            <w:tcW w:w="5510" w:type="dxa"/>
            <w:vAlign w:val="center"/>
          </w:tcPr>
          <w:p>
            <w:pPr>
              <w:snapToGrid w:val="0"/>
              <w:jc w:val="center"/>
              <w:rPr>
                <w:rFonts w:ascii="Times New Roman" w:hAnsi="Times New Roman" w:cs="宋体"/>
                <w:b/>
                <w:bCs/>
                <w:highlight w:val="none"/>
              </w:rPr>
            </w:pPr>
            <w:r>
              <w:rPr>
                <w:rFonts w:hint="eastAsia" w:ascii="Times New Roman" w:hAnsi="Times New Roman" w:eastAsia="仿宋_GB2312" w:cs="仿宋_GB2312"/>
                <w:highlight w:val="none"/>
              </w:rPr>
              <w:t>超标</w:t>
            </w:r>
            <w:r>
              <w:rPr>
                <w:rFonts w:ascii="Times New Roman" w:hAnsi="Times New Roman" w:eastAsia="仿宋_GB2312" w:cs="Times New Roman"/>
                <w:highlight w:val="none"/>
              </w:rPr>
              <w:t>3</w:t>
            </w:r>
            <w:r>
              <w:rPr>
                <w:rFonts w:hint="eastAsia" w:ascii="Times New Roman" w:hAnsi="Times New Roman" w:eastAsia="仿宋_GB2312" w:cs="仿宋_GB2312"/>
                <w:highlight w:val="none"/>
              </w:rPr>
              <w:t>倍以上</w:t>
            </w:r>
          </w:p>
        </w:tc>
        <w:tc>
          <w:tcPr>
            <w:tcW w:w="2295" w:type="dxa"/>
            <w:vAlign w:val="center"/>
          </w:tcPr>
          <w:p>
            <w:pPr>
              <w:snapToGrid w:val="0"/>
              <w:jc w:val="center"/>
              <w:rPr>
                <w:rFonts w:ascii="Times New Roman" w:hAnsi="Times New Roman" w:cs="宋体"/>
                <w:b/>
                <w:bCs/>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项目建设地点</w:t>
            </w:r>
          </w:p>
        </w:tc>
        <w:tc>
          <w:tcPr>
            <w:tcW w:w="5510"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符合环境功能规划（或无环境功能规划）</w:t>
            </w:r>
          </w:p>
        </w:tc>
        <w:tc>
          <w:tcPr>
            <w:tcW w:w="2295"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510"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不符合环境功能规划，但不在保护区内</w:t>
            </w:r>
          </w:p>
        </w:tc>
        <w:tc>
          <w:tcPr>
            <w:tcW w:w="2295"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510"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位于自然保护区实验区</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饮用水水源准保护区</w:t>
            </w:r>
          </w:p>
        </w:tc>
        <w:tc>
          <w:tcPr>
            <w:tcW w:w="2295"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510"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位于自然保护区缓冲区</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饮用水水源二级保护区</w:t>
            </w:r>
          </w:p>
        </w:tc>
        <w:tc>
          <w:tcPr>
            <w:tcW w:w="2295"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510"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位于自然保护区核心区</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饮用水水源一级保护区</w:t>
            </w:r>
          </w:p>
        </w:tc>
        <w:tc>
          <w:tcPr>
            <w:tcW w:w="2295"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67"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放射性废物类型</w:t>
            </w:r>
          </w:p>
        </w:tc>
        <w:tc>
          <w:tcPr>
            <w:tcW w:w="5510" w:type="dxa"/>
            <w:vAlign w:val="center"/>
          </w:tcPr>
          <w:p>
            <w:pPr>
              <w:snapToGrid w:val="0"/>
              <w:jc w:val="center"/>
              <w:rPr>
                <w:rFonts w:ascii="Times New Roman" w:hAnsi="Times New Roman" w:eastAsia="仿宋_GB2312" w:cs="Times New Roman"/>
                <w:color w:val="000000"/>
                <w:kern w:val="0"/>
                <w:highlight w:val="none"/>
              </w:rPr>
            </w:pPr>
            <w:r>
              <w:rPr>
                <w:rFonts w:hint="eastAsia" w:ascii="Times New Roman" w:hAnsi="Times New Roman" w:eastAsia="仿宋_GB2312" w:cs="仿宋_GB2312"/>
                <w:color w:val="000000"/>
                <w:kern w:val="0"/>
                <w:highlight w:val="none"/>
              </w:rPr>
              <w:t>极短寿命放射性废物</w:t>
            </w:r>
          </w:p>
        </w:tc>
        <w:tc>
          <w:tcPr>
            <w:tcW w:w="2295"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510"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极低水平放射性废物</w:t>
            </w:r>
          </w:p>
        </w:tc>
        <w:tc>
          <w:tcPr>
            <w:tcW w:w="2295"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510"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低水平放射性废物</w:t>
            </w:r>
          </w:p>
        </w:tc>
        <w:tc>
          <w:tcPr>
            <w:tcW w:w="2295"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510"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中水平放射性废物</w:t>
            </w:r>
          </w:p>
        </w:tc>
        <w:tc>
          <w:tcPr>
            <w:tcW w:w="2295"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510"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高水平放射性废物</w:t>
            </w:r>
          </w:p>
        </w:tc>
        <w:tc>
          <w:tcPr>
            <w:tcW w:w="2295"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805" w:type="dxa"/>
            <w:gridSpan w:val="2"/>
            <w:vAlign w:val="center"/>
          </w:tcPr>
          <w:p>
            <w:pPr>
              <w:snapToGrid w:val="0"/>
              <w:spacing w:line="288" w:lineRule="auto"/>
              <w:ind w:firstLine="420"/>
              <w:jc w:val="center"/>
              <w:rPr>
                <w:rFonts w:ascii="Times New Roman" w:hAnsi="Times New Roman" w:cs="Times New Roman"/>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5156"/>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2"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805"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kern w:val="0"/>
                <w:highlight w:val="none"/>
              </w:rPr>
            </w:pPr>
            <w:r>
              <w:rPr>
                <w:rFonts w:hint="eastAsia" w:ascii="Times New Roman" w:hAnsi="Times New Roman" w:cs="宋体"/>
                <w:b/>
                <w:bCs/>
                <w:kern w:val="0"/>
                <w:highlight w:val="none"/>
              </w:rPr>
              <w:t>违法行为</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20" w:firstLineChars="200"/>
              <w:jc w:val="center"/>
              <w:rPr>
                <w:rFonts w:ascii="Times New Roman" w:hAnsi="Times New Roman" w:eastAsia="仿宋_GB2312" w:cs="Times New Roman"/>
                <w:color w:val="000000"/>
                <w:kern w:val="0"/>
                <w:highlight w:val="none"/>
              </w:rPr>
            </w:pPr>
            <w:r>
              <w:rPr>
                <w:rFonts w:hint="eastAsia" w:ascii="Times New Roman" w:hAnsi="Times New Roman" w:eastAsia="仿宋_GB2312" w:cs="仿宋_GB2312"/>
                <w:color w:val="000000"/>
                <w:kern w:val="0"/>
                <w:highlight w:val="none"/>
              </w:rPr>
              <w:t>核电厂排放中、高水平放射性废水的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56" w:beforeLines="50" w:line="288" w:lineRule="auto"/>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《山东省辐射污染防治条例》第十三条</w:t>
            </w:r>
            <w:r>
              <w:rPr>
                <w:rFonts w:ascii="Times New Roman" w:hAnsi="Times New Roman" w:eastAsia="仿宋_GB2312" w:cs="Times New Roman"/>
                <w:kern w:val="0"/>
                <w:highlight w:val="none"/>
              </w:rPr>
              <w:t xml:space="preserve"> </w:t>
            </w:r>
            <w:r>
              <w:rPr>
                <w:rFonts w:hint="eastAsia" w:ascii="Times New Roman" w:hAnsi="Times New Roman" w:eastAsia="仿宋_GB2312" w:cs="仿宋_GB2312"/>
                <w:kern w:val="0"/>
                <w:highlight w:val="none"/>
              </w:rPr>
              <w:t>核电厂排放的放射性废水、废气应当符合国家放射性污染物排放标准。禁止排放中、高水平的放射性废水。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805" w:type="dxa"/>
            <w:gridSpan w:val="2"/>
            <w:vAlign w:val="center"/>
          </w:tcPr>
          <w:p>
            <w:pPr>
              <w:widowControl/>
              <w:snapToGrid w:val="0"/>
              <w:spacing w:before="156" w:beforeLines="50" w:line="288" w:lineRule="auto"/>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《山东省辐射污染防治条例》第五十三条第二款</w:t>
            </w:r>
            <w:r>
              <w:rPr>
                <w:rFonts w:ascii="Times New Roman" w:hAnsi="Times New Roman" w:eastAsia="仿宋_GB2312" w:cs="Times New Roman"/>
                <w:kern w:val="0"/>
                <w:highlight w:val="none"/>
              </w:rPr>
              <w:t xml:space="preserve"> </w:t>
            </w:r>
            <w:r>
              <w:rPr>
                <w:rFonts w:hint="eastAsia" w:ascii="Times New Roman" w:hAnsi="Times New Roman" w:eastAsia="仿宋_GB2312" w:cs="仿宋_GB2312"/>
                <w:kern w:val="0"/>
                <w:highlight w:val="none"/>
              </w:rPr>
              <w:t>核电厂排放中、高水平放射性废水的，由县级以上人民政府环境保护主管部门责令停止违法行为，限期改正，并处二十万元以上五十万元以下罚款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156"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49"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spacing w:line="288" w:lineRule="auto"/>
              <w:jc w:val="center"/>
              <w:rPr>
                <w:rFonts w:ascii="Times New Roman" w:hAnsi="Times New Roman" w:cs="宋体"/>
                <w:b/>
                <w:bCs/>
                <w:color w:val="000000"/>
                <w:highlight w:val="none"/>
              </w:rPr>
            </w:pPr>
            <w:r>
              <w:rPr>
                <w:rFonts w:hint="eastAsia" w:ascii="Times New Roman" w:hAnsi="Times New Roman" w:cs="宋体"/>
                <w:b/>
                <w:bCs/>
                <w:highlight w:val="none"/>
              </w:rPr>
              <w:t>放射性废水类型</w:t>
            </w:r>
            <w:r>
              <w:rPr>
                <w:rFonts w:hint="eastAsia" w:ascii="Times New Roman" w:hAnsi="Times New Roman" w:cs="宋体"/>
                <w:b/>
                <w:bCs/>
                <w:color w:val="000000"/>
                <w:highlight w:val="none"/>
              </w:rPr>
              <w:t>★</w:t>
            </w:r>
          </w:p>
        </w:tc>
        <w:tc>
          <w:tcPr>
            <w:tcW w:w="5156"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中水平放射性废物</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spacing w:line="288" w:lineRule="auto"/>
              <w:jc w:val="center"/>
              <w:rPr>
                <w:rFonts w:ascii="Times New Roman" w:hAnsi="Times New Roman" w:cs="宋体"/>
                <w:b/>
                <w:bCs/>
                <w:color w:val="000000"/>
                <w:highlight w:val="none"/>
              </w:rPr>
            </w:pPr>
          </w:p>
        </w:tc>
        <w:tc>
          <w:tcPr>
            <w:tcW w:w="5156"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高水平放射性废物</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项目建设地点</w:t>
            </w: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符合环境功能规划（或无环境功能规划）</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tcPr>
          <w:p>
            <w:pPr>
              <w:snapToGrid w:val="0"/>
              <w:spacing w:line="288" w:lineRule="auto"/>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不符合环境功能规划，但不在保护区内</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tcPr>
          <w:p>
            <w:pPr>
              <w:snapToGrid w:val="0"/>
              <w:spacing w:line="288" w:lineRule="auto"/>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位于自然保护区实验区</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饮用水水源准保护区</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tcPr>
          <w:p>
            <w:pPr>
              <w:snapToGrid w:val="0"/>
              <w:spacing w:line="288" w:lineRule="auto"/>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位于自然保护区缓冲区</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饮用水水源二级保护区</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tcPr>
          <w:p>
            <w:pPr>
              <w:snapToGrid w:val="0"/>
              <w:spacing w:line="288" w:lineRule="auto"/>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位于自然保护区核心区</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饮用水水源一级保护区</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805" w:type="dxa"/>
            <w:gridSpan w:val="2"/>
            <w:vAlign w:val="center"/>
          </w:tcPr>
          <w:p>
            <w:pPr>
              <w:snapToGrid w:val="0"/>
              <w:spacing w:line="288" w:lineRule="auto"/>
              <w:ind w:firstLine="420"/>
              <w:jc w:val="center"/>
              <w:rPr>
                <w:rFonts w:ascii="Times New Roman" w:hAnsi="Times New Roman" w:cs="Times New Roman"/>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267"/>
        <w:gridCol w:w="5156"/>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9072"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805"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kern w:val="0"/>
                <w:highlight w:val="none"/>
              </w:rPr>
            </w:pPr>
            <w:r>
              <w:rPr>
                <w:rFonts w:hint="eastAsia" w:ascii="Times New Roman" w:hAnsi="Times New Roman" w:cs="宋体"/>
                <w:b/>
                <w:bCs/>
                <w:kern w:val="0"/>
                <w:highlight w:val="none"/>
              </w:rPr>
              <w:t>违法行为</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2" w:beforeLines="20" w:line="288" w:lineRule="auto"/>
              <w:ind w:firstLine="420" w:firstLineChars="200"/>
              <w:rPr>
                <w:rFonts w:ascii="Times New Roman" w:hAnsi="Times New Roman" w:eastAsia="仿宋_GB2312" w:cs="Times New Roman"/>
                <w:color w:val="000000"/>
                <w:kern w:val="0"/>
                <w:highlight w:val="none"/>
              </w:rPr>
            </w:pPr>
            <w:r>
              <w:rPr>
                <w:rFonts w:hint="eastAsia" w:ascii="Times New Roman" w:hAnsi="Times New Roman" w:eastAsia="仿宋_GB2312" w:cs="仿宋_GB2312"/>
                <w:color w:val="000000"/>
                <w:kern w:val="0"/>
                <w:highlight w:val="none"/>
              </w:rPr>
              <w:t>核技术利用单位向无辐射安全许可证或者超出许可证规定的种类和范围的单位，销售或者转让放射性同位素、射线装置的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2" w:beforeLines="20" w:line="288" w:lineRule="auto"/>
              <w:ind w:firstLine="422" w:firstLineChars="200"/>
              <w:rPr>
                <w:rFonts w:ascii="Times New Roman" w:hAnsi="Times New Roman" w:eastAsia="仿宋_GB2312" w:cs="仿宋_GB2312"/>
                <w:kern w:val="0"/>
                <w:highlight w:val="none"/>
              </w:rPr>
            </w:pPr>
            <w:r>
              <w:rPr>
                <w:rFonts w:hint="eastAsia" w:ascii="Times New Roman" w:hAnsi="Times New Roman" w:eastAsia="仿宋_GB2312" w:cs="仿宋_GB2312"/>
                <w:b/>
                <w:bCs/>
                <w:kern w:val="0"/>
                <w:highlight w:val="none"/>
              </w:rPr>
              <w:t>《山东省辐射污染防治条例》第二十条第一款</w:t>
            </w:r>
            <w:r>
              <w:rPr>
                <w:rFonts w:ascii="Times New Roman" w:hAnsi="Times New Roman" w:eastAsia="仿宋_GB2312" w:cs="Times New Roman"/>
                <w:kern w:val="0"/>
                <w:highlight w:val="none"/>
              </w:rPr>
              <w:t xml:space="preserve"> </w:t>
            </w:r>
            <w:r>
              <w:rPr>
                <w:rFonts w:hint="eastAsia" w:ascii="Times New Roman" w:hAnsi="Times New Roman" w:eastAsia="仿宋_GB2312" w:cs="仿宋_GB2312"/>
                <w:kern w:val="0"/>
                <w:highlight w:val="none"/>
              </w:rPr>
              <w:t>核技术利用单位生产、销售、使用放射性同位素和射线装置，应当依法取得辐射安全许可证，并在辐射安全许可证规定的种类和范围内从事活动。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88" w:lineRule="auto"/>
              <w:ind w:firstLine="422" w:firstLineChars="200"/>
              <w:rPr>
                <w:rFonts w:ascii="Times New Roman" w:hAnsi="Times New Roman" w:eastAsia="仿宋_GB2312" w:cs="Times New Roman"/>
                <w:kern w:val="0"/>
                <w:highlight w:val="none"/>
              </w:rPr>
            </w:pPr>
            <w:r>
              <w:rPr>
                <w:rFonts w:hint="eastAsia" w:ascii="Times New Roman" w:hAnsi="Times New Roman" w:eastAsia="仿宋_GB2312" w:cs="仿宋_GB2312"/>
                <w:b/>
                <w:kern w:val="0"/>
                <w:highlight w:val="none"/>
              </w:rPr>
              <w:t>第二十一条第二款</w:t>
            </w:r>
            <w:r>
              <w:rPr>
                <w:rFonts w:hint="eastAsia" w:ascii="Times New Roman" w:hAnsi="Times New Roman" w:eastAsia="仿宋_GB2312" w:cs="仿宋_GB2312"/>
                <w:kern w:val="0"/>
                <w:highlight w:val="none"/>
              </w:rPr>
              <w:t xml:space="preserve">  禁止向无辐射安全许可证或者超出许可证规定的种类和范围的单位销售或者转让放射性同位素、射线装置。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805" w:type="dxa"/>
            <w:gridSpan w:val="2"/>
            <w:vAlign w:val="center"/>
          </w:tcPr>
          <w:p>
            <w:pPr>
              <w:widowControl/>
              <w:snapToGrid w:val="0"/>
              <w:spacing w:before="62" w:beforeLines="20" w:line="288" w:lineRule="auto"/>
              <w:ind w:firstLine="422" w:firstLineChars="200"/>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《山东省辐射污染防治条例》第五十四条</w:t>
            </w:r>
            <w:r>
              <w:rPr>
                <w:rFonts w:ascii="Times New Roman" w:hAnsi="Times New Roman" w:eastAsia="仿宋_GB2312" w:cs="Times New Roman"/>
                <w:kern w:val="0"/>
                <w:highlight w:val="none"/>
              </w:rPr>
              <w:t xml:space="preserve"> </w:t>
            </w:r>
            <w:r>
              <w:rPr>
                <w:rFonts w:hint="eastAsia" w:ascii="Times New Roman" w:hAnsi="Times New Roman" w:eastAsia="仿宋_GB2312" w:cs="仿宋_GB2312"/>
                <w:kern w:val="0"/>
                <w:highlight w:val="none"/>
              </w:rPr>
              <w:t>违反本条例规定，核技术利用单位向无辐射安全许可证或者超出许可证规定的种类和范围的单位，销售或者转让放射性同位素、射线装置的，由县级以上人民政府环境保护主管部门责令停止违法行为，限期改正；逾期不改正的，责令停产停业或者由发证机关吊销辐射安全许可证；有违法所得的，没收违法所得；违法所得十万元以上的，并处违法所得一倍以上五倍以下罚款；没有违法所得或者违法所得不足十万元的，并处一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15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4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15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eastAsia="仿宋_GB2312" w:cs="仿宋_GB2312"/>
                <w:color w:val="000000"/>
                <w:kern w:val="0"/>
                <w:highlight w:val="none"/>
              </w:rPr>
              <w:t>向超出许可证规定的种类和范围的单位销售或者转让放射性同位素、射线装置的</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eastAsia="仿宋_GB2312" w:cs="仿宋_GB2312"/>
                <w:color w:val="000000"/>
                <w:kern w:val="0"/>
                <w:highlight w:val="none"/>
              </w:rPr>
              <w:t>向无辐射安全许可证的单位销售或者转让放射性同位素、射线装置的</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涉及放射</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类型</w:t>
            </w:r>
          </w:p>
        </w:tc>
        <w:tc>
          <w:tcPr>
            <w:tcW w:w="5156"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Ⅳ</w:t>
            </w:r>
            <w:r>
              <w:rPr>
                <w:rFonts w:hint="eastAsia" w:ascii="Times New Roman" w:hAnsi="Times New Roman" w:eastAsia="仿宋_GB2312" w:cs="仿宋_GB2312"/>
                <w:highlight w:val="none"/>
              </w:rPr>
              <w:t>类、</w:t>
            </w:r>
            <w:r>
              <w:rPr>
                <w:rFonts w:hint="eastAsia" w:ascii="宋体" w:hAnsi="宋体" w:cs="宋体"/>
                <w:highlight w:val="none"/>
              </w:rPr>
              <w:t>Ⅴ</w:t>
            </w:r>
            <w:r>
              <w:rPr>
                <w:rFonts w:hint="eastAsia" w:ascii="Times New Roman" w:hAnsi="Times New Roman" w:eastAsia="仿宋_GB2312" w:cs="仿宋_GB2312"/>
                <w:highlight w:val="none"/>
              </w:rPr>
              <w:t>类放射源或</w:t>
            </w:r>
            <w:r>
              <w:rPr>
                <w:rFonts w:hint="eastAsia" w:ascii="宋体" w:hAnsi="宋体" w:cs="宋体"/>
                <w:highlight w:val="none"/>
              </w:rPr>
              <w:t>Ⅲ</w:t>
            </w:r>
            <w:r>
              <w:rPr>
                <w:rFonts w:hint="eastAsia" w:ascii="Times New Roman" w:hAnsi="Times New Roman" w:eastAsia="仿宋_GB2312" w:cs="仿宋_GB2312"/>
                <w:highlight w:val="none"/>
              </w:rPr>
              <w:t>类射线装置的</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Ⅲ</w:t>
            </w:r>
            <w:r>
              <w:rPr>
                <w:rFonts w:hint="eastAsia" w:ascii="Times New Roman" w:hAnsi="Times New Roman" w:eastAsia="仿宋_GB2312" w:cs="仿宋_GB2312"/>
                <w:highlight w:val="none"/>
              </w:rPr>
              <w:t>类放射源或</w:t>
            </w:r>
            <w:r>
              <w:rPr>
                <w:rFonts w:hint="eastAsia" w:ascii="宋体" w:hAnsi="宋体" w:cs="宋体"/>
                <w:highlight w:val="none"/>
              </w:rPr>
              <w:t>Ⅱ</w:t>
            </w:r>
            <w:r>
              <w:rPr>
                <w:rFonts w:hint="eastAsia" w:ascii="Times New Roman" w:hAnsi="Times New Roman" w:eastAsia="仿宋_GB2312" w:cs="仿宋_GB2312"/>
                <w:highlight w:val="none"/>
              </w:rPr>
              <w:t>类射线装置的</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Ⅰ</w:t>
            </w:r>
            <w:r>
              <w:rPr>
                <w:rFonts w:hint="eastAsia" w:ascii="Times New Roman" w:hAnsi="Times New Roman" w:eastAsia="仿宋_GB2312" w:cs="仿宋_GB2312"/>
                <w:highlight w:val="none"/>
              </w:rPr>
              <w:t>类、</w:t>
            </w:r>
            <w:r>
              <w:rPr>
                <w:rFonts w:hint="eastAsia" w:ascii="宋体" w:hAnsi="宋体" w:cs="宋体"/>
                <w:highlight w:val="none"/>
              </w:rPr>
              <w:t>Ⅱ</w:t>
            </w:r>
            <w:r>
              <w:rPr>
                <w:rFonts w:hint="eastAsia" w:ascii="Times New Roman" w:hAnsi="Times New Roman" w:eastAsia="仿宋_GB2312" w:cs="仿宋_GB2312"/>
                <w:highlight w:val="none"/>
              </w:rPr>
              <w:t>类放射源或</w:t>
            </w:r>
            <w:r>
              <w:rPr>
                <w:rFonts w:hint="eastAsia" w:ascii="宋体" w:hAnsi="宋体" w:cs="宋体"/>
                <w:highlight w:val="none"/>
              </w:rPr>
              <w:t>Ⅰ</w:t>
            </w:r>
            <w:r>
              <w:rPr>
                <w:rFonts w:hint="eastAsia" w:ascii="Times New Roman" w:hAnsi="Times New Roman" w:eastAsia="仿宋_GB2312" w:cs="仿宋_GB2312"/>
                <w:highlight w:val="none"/>
              </w:rPr>
              <w:t>类射线装置的</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非密封放射性物质工作场所分类</w:t>
            </w: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丙级工作场所</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乙级工作场所</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甲级工作场所</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工作场所防护情况</w:t>
            </w: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有防护措施</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有防护措施但不完备</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无防护措施</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违法所得不足</w:t>
            </w:r>
            <w:r>
              <w:rPr>
                <w:rFonts w:ascii="Times New Roman" w:hAnsi="Times New Roman" w:cs="Times New Roman"/>
                <w:b/>
                <w:bCs/>
                <w:color w:val="000000"/>
                <w:highlight w:val="none"/>
              </w:rPr>
              <w:t>10</w:t>
            </w:r>
            <w:r>
              <w:rPr>
                <w:rFonts w:hint="eastAsia" w:ascii="Times New Roman" w:hAnsi="Times New Roman" w:cs="宋体"/>
                <w:b/>
                <w:bCs/>
                <w:color w:val="000000"/>
                <w:highlight w:val="none"/>
              </w:rPr>
              <w:t>万元</w:t>
            </w:r>
          </w:p>
        </w:tc>
        <w:tc>
          <w:tcPr>
            <w:tcW w:w="5156" w:type="dxa"/>
            <w:vAlign w:val="center"/>
          </w:tcPr>
          <w:p>
            <w:pPr>
              <w:widowControl/>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无违法所得</w:t>
            </w:r>
          </w:p>
        </w:tc>
        <w:tc>
          <w:tcPr>
            <w:tcW w:w="264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违法所得不足</w:t>
            </w:r>
            <w:r>
              <w:rPr>
                <w:rFonts w:ascii="Times New Roman" w:hAnsi="Times New Roman" w:eastAsia="仿宋_GB2312" w:cs="Times New Roman"/>
                <w:color w:val="000000"/>
                <w:kern w:val="0"/>
                <w:highlight w:val="none"/>
              </w:rPr>
              <w:t>5</w:t>
            </w:r>
            <w:r>
              <w:rPr>
                <w:rFonts w:hint="eastAsia" w:ascii="Times New Roman" w:hAnsi="Times New Roman" w:eastAsia="仿宋_GB2312" w:cs="仿宋_GB2312"/>
                <w:color w:val="000000"/>
                <w:kern w:val="0"/>
                <w:highlight w:val="none"/>
              </w:rPr>
              <w:t>万元</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违法所得</w:t>
            </w:r>
            <w:r>
              <w:rPr>
                <w:rFonts w:ascii="Times New Roman" w:hAnsi="Times New Roman" w:eastAsia="仿宋_GB2312" w:cs="Times New Roman"/>
                <w:color w:val="000000"/>
                <w:kern w:val="0"/>
                <w:highlight w:val="none"/>
              </w:rPr>
              <w:t>5-10</w:t>
            </w:r>
            <w:r>
              <w:rPr>
                <w:rFonts w:hint="eastAsia" w:ascii="Times New Roman" w:hAnsi="Times New Roman" w:eastAsia="仿宋_GB2312" w:cs="仿宋_GB2312"/>
                <w:color w:val="000000"/>
                <w:kern w:val="0"/>
                <w:highlight w:val="none"/>
              </w:rPr>
              <w:t>万元</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违法所得</w:t>
            </w:r>
            <w:r>
              <w:rPr>
                <w:rFonts w:ascii="Times New Roman" w:hAnsi="Times New Roman" w:cs="Times New Roman"/>
                <w:b/>
                <w:bCs/>
                <w:color w:val="000000"/>
                <w:highlight w:val="none"/>
              </w:rPr>
              <w:t>10</w:t>
            </w:r>
            <w:r>
              <w:rPr>
                <w:rFonts w:hint="eastAsia" w:ascii="Times New Roman" w:hAnsi="Times New Roman" w:cs="宋体"/>
                <w:b/>
                <w:bCs/>
                <w:color w:val="000000"/>
                <w:highlight w:val="none"/>
              </w:rPr>
              <w:t>万元</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以上</w:t>
            </w:r>
          </w:p>
        </w:tc>
        <w:tc>
          <w:tcPr>
            <w:tcW w:w="5156" w:type="dxa"/>
            <w:vAlign w:val="center"/>
          </w:tcPr>
          <w:p>
            <w:pPr>
              <w:widowControl/>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违法所得</w:t>
            </w:r>
            <w:r>
              <w:rPr>
                <w:rFonts w:ascii="Times New Roman" w:hAnsi="Times New Roman" w:eastAsia="仿宋_GB2312" w:cs="Times New Roman"/>
                <w:color w:val="000000"/>
                <w:kern w:val="0"/>
                <w:highlight w:val="none"/>
              </w:rPr>
              <w:t>10-20</w:t>
            </w:r>
            <w:r>
              <w:rPr>
                <w:rFonts w:hint="eastAsia" w:ascii="Times New Roman" w:hAnsi="Times New Roman" w:eastAsia="仿宋_GB2312" w:cs="仿宋_GB2312"/>
                <w:color w:val="000000"/>
                <w:kern w:val="0"/>
                <w:highlight w:val="none"/>
              </w:rPr>
              <w:t>万元</w:t>
            </w:r>
          </w:p>
        </w:tc>
        <w:tc>
          <w:tcPr>
            <w:tcW w:w="264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违法所得</w:t>
            </w:r>
            <w:r>
              <w:rPr>
                <w:rFonts w:ascii="Times New Roman" w:hAnsi="Times New Roman" w:eastAsia="仿宋_GB2312" w:cs="Times New Roman"/>
                <w:color w:val="000000"/>
                <w:kern w:val="0"/>
                <w:highlight w:val="none"/>
              </w:rPr>
              <w:t>20-40</w:t>
            </w:r>
            <w:r>
              <w:rPr>
                <w:rFonts w:hint="eastAsia" w:ascii="Times New Roman" w:hAnsi="Times New Roman" w:eastAsia="仿宋_GB2312" w:cs="仿宋_GB2312"/>
                <w:color w:val="000000"/>
                <w:kern w:val="0"/>
                <w:highlight w:val="none"/>
              </w:rPr>
              <w:t>万元</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违法所得</w:t>
            </w:r>
            <w:r>
              <w:rPr>
                <w:rFonts w:ascii="Times New Roman" w:hAnsi="Times New Roman" w:eastAsia="仿宋_GB2312" w:cs="Times New Roman"/>
                <w:color w:val="000000"/>
                <w:highlight w:val="none"/>
              </w:rPr>
              <w:t>40</w:t>
            </w:r>
            <w:r>
              <w:rPr>
                <w:rFonts w:hint="eastAsia" w:ascii="Times New Roman" w:hAnsi="Times New Roman" w:eastAsia="仿宋_GB2312" w:cs="仿宋_GB2312"/>
                <w:color w:val="000000"/>
                <w:highlight w:val="none"/>
              </w:rPr>
              <w:t>万元以上</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805" w:type="dxa"/>
            <w:gridSpan w:val="2"/>
            <w:vAlign w:val="center"/>
          </w:tcPr>
          <w:p>
            <w:pPr>
              <w:snapToGrid w:val="0"/>
              <w:ind w:firstLine="420"/>
              <w:jc w:val="left"/>
              <w:rPr>
                <w:rFonts w:ascii="Times New Roman" w:hAnsi="Times New Roman" w:cs="Times New Roman"/>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5156"/>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2"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805"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kern w:val="0"/>
                <w:highlight w:val="none"/>
              </w:rPr>
            </w:pPr>
            <w:r>
              <w:rPr>
                <w:rFonts w:hint="eastAsia" w:ascii="Times New Roman" w:hAnsi="Times New Roman" w:cs="宋体"/>
                <w:b/>
                <w:bCs/>
                <w:kern w:val="0"/>
                <w:highlight w:val="none"/>
              </w:rPr>
              <w:t>违法行为</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2" w:beforeLines="20"/>
              <w:ind w:firstLine="420" w:firstLineChars="200"/>
              <w:rPr>
                <w:rFonts w:ascii="Times New Roman" w:hAnsi="Times New Roman" w:eastAsia="仿宋_GB2312" w:cs="Times New Roman"/>
                <w:color w:val="000000"/>
                <w:kern w:val="0"/>
                <w:highlight w:val="none"/>
              </w:rPr>
            </w:pPr>
            <w:r>
              <w:rPr>
                <w:rFonts w:hint="eastAsia" w:ascii="Times New Roman" w:hAnsi="Times New Roman" w:eastAsia="仿宋_GB2312" w:cs="仿宋_GB2312"/>
                <w:color w:val="000000"/>
                <w:kern w:val="0"/>
                <w:highlight w:val="none"/>
              </w:rPr>
              <w:t>核技术利用单位未组织从业人员参加辐射安全与防护培训，责令限期改正逾期不改正的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2" w:beforeLines="20" w:line="288" w:lineRule="auto"/>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《山东省辐射污染防治条例》第十九条</w:t>
            </w:r>
            <w:r>
              <w:rPr>
                <w:rFonts w:ascii="Times New Roman" w:hAnsi="Times New Roman" w:eastAsia="仿宋_GB2312" w:cs="Times New Roman"/>
                <w:kern w:val="0"/>
                <w:highlight w:val="none"/>
              </w:rPr>
              <w:t xml:space="preserve"> </w:t>
            </w:r>
            <w:r>
              <w:rPr>
                <w:rFonts w:hint="eastAsia" w:ascii="Times New Roman" w:hAnsi="Times New Roman" w:eastAsia="仿宋_GB2312" w:cs="仿宋_GB2312"/>
                <w:kern w:val="0"/>
                <w:highlight w:val="none"/>
              </w:rPr>
              <w:t>核技术利用单位应当设立辐射安全与防护管理机构或者配备辐射安全与防护管理人员，组织从业人员参加辐射安全与防护培训，采取辐射安全防护措施，预防辐射事故发生。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805" w:type="dxa"/>
            <w:gridSpan w:val="2"/>
            <w:vAlign w:val="center"/>
          </w:tcPr>
          <w:p>
            <w:pPr>
              <w:widowControl/>
              <w:snapToGrid w:val="0"/>
              <w:spacing w:before="62" w:beforeLines="20" w:line="288" w:lineRule="auto"/>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《山东省辐射污染防治条例》第五十五条第（一）项</w:t>
            </w:r>
            <w:r>
              <w:rPr>
                <w:rFonts w:ascii="Times New Roman" w:hAnsi="Times New Roman" w:eastAsia="仿宋_GB2312" w:cs="Times New Roman"/>
                <w:kern w:val="0"/>
                <w:highlight w:val="none"/>
              </w:rPr>
              <w:t xml:space="preserve"> </w:t>
            </w:r>
            <w:r>
              <w:rPr>
                <w:rFonts w:hint="eastAsia" w:ascii="Times New Roman" w:hAnsi="Times New Roman" w:eastAsia="仿宋_GB2312" w:cs="仿宋_GB2312"/>
                <w:kern w:val="0"/>
                <w:highlight w:val="none"/>
              </w:rPr>
              <w:t>违反本条例规定，核技术利用单位有下列行为之一的，由县级以上人民政府环境保护主管部门给予警告，责令限期改正；逾期不改正的，处一万元以上三万元以下罚款：</w:t>
            </w:r>
          </w:p>
          <w:p>
            <w:pPr>
              <w:widowControl/>
              <w:snapToGrid w:val="0"/>
              <w:spacing w:line="288" w:lineRule="auto"/>
              <w:ind w:firstLine="420"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（一）未组织从业人员参加辐射安全与防护培训的。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156"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判定标准</w:t>
            </w:r>
          </w:p>
        </w:tc>
        <w:tc>
          <w:tcPr>
            <w:tcW w:w="2649"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156"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未发生辐射事故</w:t>
            </w:r>
          </w:p>
        </w:tc>
        <w:tc>
          <w:tcPr>
            <w:tcW w:w="2649"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发生辐射事故</w:t>
            </w:r>
          </w:p>
        </w:tc>
        <w:tc>
          <w:tcPr>
            <w:tcW w:w="2649"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涉及放射类型</w:t>
            </w:r>
          </w:p>
        </w:tc>
        <w:tc>
          <w:tcPr>
            <w:tcW w:w="5156"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Ⅳ类、Ⅴ类放射源或Ⅲ类射线装置的</w:t>
            </w:r>
          </w:p>
        </w:tc>
        <w:tc>
          <w:tcPr>
            <w:tcW w:w="2649"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Ⅲ类放射源或Ⅱ类射线装置的</w:t>
            </w:r>
          </w:p>
        </w:tc>
        <w:tc>
          <w:tcPr>
            <w:tcW w:w="2649"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Ⅰ类、Ⅱ类放射源或Ⅰ类射线装置的</w:t>
            </w:r>
          </w:p>
        </w:tc>
        <w:tc>
          <w:tcPr>
            <w:tcW w:w="2649"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非密封放射性物质工作场所分类</w:t>
            </w:r>
          </w:p>
        </w:tc>
        <w:tc>
          <w:tcPr>
            <w:tcW w:w="5156"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丙级工作场所</w:t>
            </w:r>
          </w:p>
        </w:tc>
        <w:tc>
          <w:tcPr>
            <w:tcW w:w="2649"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乙级工作场所</w:t>
            </w:r>
          </w:p>
        </w:tc>
        <w:tc>
          <w:tcPr>
            <w:tcW w:w="2649"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甲级工作场所</w:t>
            </w:r>
          </w:p>
        </w:tc>
        <w:tc>
          <w:tcPr>
            <w:tcW w:w="2649"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涉及从业人员数量</w:t>
            </w:r>
          </w:p>
        </w:tc>
        <w:tc>
          <w:tcPr>
            <w:tcW w:w="5156"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5人（次）以内的</w:t>
            </w:r>
          </w:p>
        </w:tc>
        <w:tc>
          <w:tcPr>
            <w:tcW w:w="2649"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5人（次）以上10人（次）以内的</w:t>
            </w:r>
          </w:p>
        </w:tc>
        <w:tc>
          <w:tcPr>
            <w:tcW w:w="2649"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10人（次）及以上的</w:t>
            </w:r>
          </w:p>
        </w:tc>
        <w:tc>
          <w:tcPr>
            <w:tcW w:w="2649"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违法次数</w:t>
            </w:r>
            <w:r>
              <w:rPr>
                <w:rFonts w:hint="eastAsia" w:ascii="Times New Roman" w:hAnsi="Times New Roman" w:cs="宋体"/>
                <w:b/>
                <w:bCs/>
                <w:highlight w:val="none"/>
              </w:rPr>
              <w:t>（两年内</w:t>
            </w:r>
            <w:r>
              <w:rPr>
                <w:rFonts w:ascii="Times New Roman" w:hAnsi="Times New Roman" w:cs="宋体"/>
                <w:b/>
                <w:bCs/>
                <w:highlight w:val="none"/>
              </w:rPr>
              <w:t>，含</w:t>
            </w:r>
            <w:r>
              <w:rPr>
                <w:rFonts w:hint="eastAsia" w:ascii="Times New Roman" w:hAnsi="Times New Roman" w:cs="宋体"/>
                <w:b/>
                <w:bCs/>
                <w:highlight w:val="none"/>
              </w:rPr>
              <w:t>本次）</w:t>
            </w:r>
          </w:p>
        </w:tc>
        <w:tc>
          <w:tcPr>
            <w:tcW w:w="5156"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3个月以内或2次以下</w:t>
            </w:r>
          </w:p>
        </w:tc>
        <w:tc>
          <w:tcPr>
            <w:tcW w:w="2649"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3个月以上6个月以内或2次</w:t>
            </w:r>
          </w:p>
        </w:tc>
        <w:tc>
          <w:tcPr>
            <w:tcW w:w="2649"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6个月以上或3次以上</w:t>
            </w:r>
          </w:p>
        </w:tc>
        <w:tc>
          <w:tcPr>
            <w:tcW w:w="2649"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超过限期</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改正时间</w:t>
            </w:r>
          </w:p>
        </w:tc>
        <w:tc>
          <w:tcPr>
            <w:tcW w:w="5156"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不足5天</w:t>
            </w:r>
          </w:p>
        </w:tc>
        <w:tc>
          <w:tcPr>
            <w:tcW w:w="2649"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5天以上不足10天</w:t>
            </w:r>
          </w:p>
        </w:tc>
        <w:tc>
          <w:tcPr>
            <w:tcW w:w="2649"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10天以上不足20天</w:t>
            </w:r>
          </w:p>
        </w:tc>
        <w:tc>
          <w:tcPr>
            <w:tcW w:w="2649"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20天以上不足1个月</w:t>
            </w:r>
          </w:p>
        </w:tc>
        <w:tc>
          <w:tcPr>
            <w:tcW w:w="2649"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1个月以上</w:t>
            </w:r>
          </w:p>
        </w:tc>
        <w:tc>
          <w:tcPr>
            <w:tcW w:w="2649"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67"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805" w:type="dxa"/>
            <w:gridSpan w:val="2"/>
            <w:vAlign w:val="center"/>
          </w:tcPr>
          <w:p>
            <w:pPr>
              <w:snapToGrid w:val="0"/>
              <w:jc w:val="center"/>
              <w:rPr>
                <w:rFonts w:ascii="Times New Roman" w:hAnsi="Times New Roman" w:eastAsia="仿宋_GB2312" w:cs="仿宋_GB2312"/>
                <w:color w:val="000000"/>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5156"/>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072"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805"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kern w:val="0"/>
                <w:highlight w:val="none"/>
              </w:rPr>
            </w:pPr>
            <w:r>
              <w:rPr>
                <w:rFonts w:hint="eastAsia" w:ascii="Times New Roman" w:hAnsi="Times New Roman" w:cs="宋体"/>
                <w:b/>
                <w:bCs/>
                <w:kern w:val="0"/>
                <w:highlight w:val="none"/>
              </w:rPr>
              <w:t>违法行为</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2" w:beforeLines="20"/>
              <w:ind w:firstLine="420" w:firstLineChars="200"/>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核技术利用单位未按照规定报送辐射安全与防护状况年度评估报告，责令限期改正逾期不改正的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2" w:beforeLines="20"/>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《山东省辐射污染防治条例》第二十条第二款</w:t>
            </w:r>
            <w:r>
              <w:rPr>
                <w:rFonts w:ascii="Times New Roman" w:hAnsi="Times New Roman" w:eastAsia="仿宋_GB2312" w:cs="Times New Roman"/>
                <w:kern w:val="0"/>
                <w:highlight w:val="none"/>
              </w:rPr>
              <w:t xml:space="preserve">  </w:t>
            </w:r>
            <w:r>
              <w:rPr>
                <w:rFonts w:hint="eastAsia" w:ascii="Times New Roman" w:hAnsi="Times New Roman" w:eastAsia="仿宋_GB2312" w:cs="仿宋_GB2312"/>
                <w:kern w:val="0"/>
                <w:highlight w:val="none"/>
              </w:rPr>
              <w:t>核技术利用单位应当按照国家规定对放射性同位素与射线装置的安全和防护状况进行年度评估，发现安全隐患，立即整改。年度评估报告应当报送发证机关。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805" w:type="dxa"/>
            <w:gridSpan w:val="2"/>
            <w:vAlign w:val="center"/>
          </w:tcPr>
          <w:p>
            <w:pPr>
              <w:widowControl/>
              <w:snapToGrid w:val="0"/>
              <w:spacing w:before="62" w:beforeLines="20"/>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《山东省辐射污染防治条例》第五十五条第（二）项</w:t>
            </w:r>
            <w:r>
              <w:rPr>
                <w:rFonts w:ascii="Times New Roman" w:hAnsi="Times New Roman" w:eastAsia="仿宋_GB2312" w:cs="Times New Roman"/>
                <w:kern w:val="0"/>
                <w:highlight w:val="none"/>
              </w:rPr>
              <w:t xml:space="preserve">  </w:t>
            </w:r>
            <w:r>
              <w:rPr>
                <w:rFonts w:hint="eastAsia" w:ascii="Times New Roman" w:hAnsi="Times New Roman" w:eastAsia="仿宋_GB2312" w:cs="仿宋_GB2312"/>
                <w:kern w:val="0"/>
                <w:highlight w:val="none"/>
              </w:rPr>
              <w:t>违反本条例规定，核技术利用单位有下列行为之一的，由县级以上人民政府环境保护主管部门给予警告，责令限期改正；逾期不改正的，处一万元以上三万元以下罚款：</w:t>
            </w:r>
          </w:p>
          <w:p>
            <w:pPr>
              <w:widowControl/>
              <w:snapToGrid w:val="0"/>
              <w:ind w:firstLine="420"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（二）未按照规定报送辐射安全与防护状况年度评估报告的。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15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4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涉及放射类型</w:t>
            </w:r>
            <w:r>
              <w:rPr>
                <w:rFonts w:hint="eastAsia" w:ascii="Times New Roman" w:hAnsi="Times New Roman" w:cs="宋体"/>
                <w:b/>
                <w:bCs/>
                <w:color w:val="000000"/>
                <w:highlight w:val="none"/>
              </w:rPr>
              <w:t>★</w:t>
            </w:r>
          </w:p>
        </w:tc>
        <w:tc>
          <w:tcPr>
            <w:tcW w:w="5156"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Ⅳ</w:t>
            </w:r>
            <w:r>
              <w:rPr>
                <w:rFonts w:hint="eastAsia" w:ascii="Times New Roman" w:hAnsi="Times New Roman" w:eastAsia="仿宋_GB2312" w:cs="仿宋_GB2312"/>
                <w:highlight w:val="none"/>
              </w:rPr>
              <w:t>类、</w:t>
            </w:r>
            <w:r>
              <w:rPr>
                <w:rFonts w:hint="eastAsia" w:ascii="宋体" w:hAnsi="宋体" w:cs="宋体"/>
                <w:highlight w:val="none"/>
              </w:rPr>
              <w:t>Ⅴ</w:t>
            </w:r>
            <w:r>
              <w:rPr>
                <w:rFonts w:hint="eastAsia" w:ascii="Times New Roman" w:hAnsi="Times New Roman" w:eastAsia="仿宋_GB2312" w:cs="仿宋_GB2312"/>
                <w:highlight w:val="none"/>
              </w:rPr>
              <w:t>类放射源或</w:t>
            </w:r>
            <w:r>
              <w:rPr>
                <w:rFonts w:hint="eastAsia" w:ascii="宋体" w:hAnsi="宋体" w:cs="宋体"/>
                <w:highlight w:val="none"/>
              </w:rPr>
              <w:t>Ⅲ</w:t>
            </w:r>
            <w:r>
              <w:rPr>
                <w:rFonts w:hint="eastAsia" w:ascii="Times New Roman" w:hAnsi="Times New Roman" w:eastAsia="仿宋_GB2312" w:cs="仿宋_GB2312"/>
                <w:highlight w:val="none"/>
              </w:rPr>
              <w:t>类射线装置的</w:t>
            </w:r>
          </w:p>
        </w:tc>
        <w:tc>
          <w:tcPr>
            <w:tcW w:w="2649"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b/>
                <w:bCs/>
                <w:highlight w:val="none"/>
              </w:rPr>
            </w:pPr>
            <w:r>
              <w:rPr>
                <w:rFonts w:hint="eastAsia" w:ascii="宋体" w:hAnsi="宋体" w:cs="宋体"/>
                <w:highlight w:val="none"/>
              </w:rPr>
              <w:t>Ⅲ</w:t>
            </w:r>
            <w:r>
              <w:rPr>
                <w:rFonts w:hint="eastAsia" w:ascii="Times New Roman" w:hAnsi="Times New Roman" w:eastAsia="仿宋_GB2312" w:cs="仿宋_GB2312"/>
                <w:highlight w:val="none"/>
              </w:rPr>
              <w:t>类放射源或</w:t>
            </w:r>
            <w:r>
              <w:rPr>
                <w:rFonts w:hint="eastAsia" w:ascii="宋体" w:hAnsi="宋体" w:cs="宋体"/>
                <w:highlight w:val="none"/>
              </w:rPr>
              <w:t>Ⅱ</w:t>
            </w:r>
            <w:r>
              <w:rPr>
                <w:rFonts w:hint="eastAsia" w:ascii="Times New Roman" w:hAnsi="Times New Roman" w:eastAsia="仿宋_GB2312" w:cs="仿宋_GB2312"/>
                <w:highlight w:val="none"/>
              </w:rPr>
              <w:t>类射线装置的</w:t>
            </w:r>
          </w:p>
        </w:tc>
        <w:tc>
          <w:tcPr>
            <w:tcW w:w="264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b/>
                <w:bCs/>
                <w:highlight w:val="none"/>
              </w:rPr>
            </w:pPr>
            <w:r>
              <w:rPr>
                <w:rFonts w:hint="eastAsia" w:ascii="宋体" w:hAnsi="宋体" w:cs="宋体"/>
                <w:highlight w:val="none"/>
              </w:rPr>
              <w:t>Ⅰ</w:t>
            </w:r>
            <w:r>
              <w:rPr>
                <w:rFonts w:hint="eastAsia" w:ascii="Times New Roman" w:hAnsi="Times New Roman" w:eastAsia="仿宋_GB2312" w:cs="仿宋_GB2312"/>
                <w:highlight w:val="none"/>
              </w:rPr>
              <w:t>类、</w:t>
            </w:r>
            <w:r>
              <w:rPr>
                <w:rFonts w:hint="eastAsia" w:ascii="宋体" w:hAnsi="宋体" w:cs="宋体"/>
                <w:highlight w:val="none"/>
              </w:rPr>
              <w:t>Ⅱ</w:t>
            </w:r>
            <w:r>
              <w:rPr>
                <w:rFonts w:hint="eastAsia" w:ascii="Times New Roman" w:hAnsi="Times New Roman" w:eastAsia="仿宋_GB2312" w:cs="仿宋_GB2312"/>
                <w:highlight w:val="none"/>
              </w:rPr>
              <w:t>类放射源或</w:t>
            </w:r>
            <w:r>
              <w:rPr>
                <w:rFonts w:hint="eastAsia" w:ascii="宋体" w:hAnsi="宋体" w:cs="宋体"/>
                <w:highlight w:val="none"/>
              </w:rPr>
              <w:t>Ⅰ</w:t>
            </w:r>
            <w:r>
              <w:rPr>
                <w:rFonts w:hint="eastAsia" w:ascii="Times New Roman" w:hAnsi="Times New Roman" w:eastAsia="仿宋_GB2312" w:cs="仿宋_GB2312"/>
                <w:highlight w:val="none"/>
              </w:rPr>
              <w:t>类射线装置的</w:t>
            </w:r>
          </w:p>
        </w:tc>
        <w:tc>
          <w:tcPr>
            <w:tcW w:w="264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restart"/>
            <w:tcMar>
              <w:left w:w="57" w:type="dxa"/>
              <w:right w:w="57" w:type="dxa"/>
            </w:tcMar>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非密封放射性物质工作场所分类</w:t>
            </w: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丙级工作场所</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color w:val="000000"/>
                <w:highlight w:val="none"/>
              </w:rPr>
              <w:t>乙级工作场所</w:t>
            </w:r>
          </w:p>
        </w:tc>
        <w:tc>
          <w:tcPr>
            <w:tcW w:w="264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color w:val="000000"/>
                <w:highlight w:val="none"/>
              </w:rPr>
              <w:t>甲级工作场所</w:t>
            </w:r>
          </w:p>
        </w:tc>
        <w:tc>
          <w:tcPr>
            <w:tcW w:w="264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项目建设地点</w:t>
            </w: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符合环境功能规划（或无环境功能规划）</w:t>
            </w:r>
          </w:p>
        </w:tc>
        <w:tc>
          <w:tcPr>
            <w:tcW w:w="264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不符合环境功能规划，但不在保护区内</w:t>
            </w:r>
          </w:p>
        </w:tc>
        <w:tc>
          <w:tcPr>
            <w:tcW w:w="264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位于自然保护区实验区</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饮用水水源准保护区</w:t>
            </w:r>
          </w:p>
        </w:tc>
        <w:tc>
          <w:tcPr>
            <w:tcW w:w="264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位于自然保护区缓冲区</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饮用水水源二级保护区</w:t>
            </w:r>
          </w:p>
        </w:tc>
        <w:tc>
          <w:tcPr>
            <w:tcW w:w="264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位于自然保护区核心区</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饮用水水源一级保护区</w:t>
            </w:r>
          </w:p>
        </w:tc>
        <w:tc>
          <w:tcPr>
            <w:tcW w:w="264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超过限期</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改正时间</w:t>
            </w: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天</w:t>
            </w:r>
          </w:p>
        </w:tc>
        <w:tc>
          <w:tcPr>
            <w:tcW w:w="264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天</w:t>
            </w:r>
          </w:p>
        </w:tc>
        <w:tc>
          <w:tcPr>
            <w:tcW w:w="264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w:t>
            </w:r>
          </w:p>
        </w:tc>
        <w:tc>
          <w:tcPr>
            <w:tcW w:w="264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个月以上</w:t>
            </w:r>
          </w:p>
        </w:tc>
        <w:tc>
          <w:tcPr>
            <w:tcW w:w="264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805"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5156"/>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2"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805"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kern w:val="0"/>
                <w:highlight w:val="none"/>
              </w:rPr>
            </w:pPr>
            <w:r>
              <w:rPr>
                <w:rFonts w:hint="eastAsia" w:ascii="Times New Roman" w:hAnsi="Times New Roman" w:cs="宋体"/>
                <w:b/>
                <w:bCs/>
                <w:kern w:val="0"/>
                <w:highlight w:val="none"/>
              </w:rPr>
              <w:t>违法行为</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2" w:beforeLines="20"/>
              <w:ind w:firstLine="420" w:firstLineChars="200"/>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核技术利用单位未定期组织对从业人员个人辐射剂量、工作场所以及周围环境辐射水平进行监测，责令限期改正逾期不改正的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2" w:beforeLines="20"/>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《山东省辐射污染防治条例》第二十五条</w:t>
            </w:r>
            <w:r>
              <w:rPr>
                <w:rFonts w:ascii="Times New Roman" w:hAnsi="Times New Roman" w:eastAsia="仿宋_GB2312" w:cs="Times New Roman"/>
                <w:kern w:val="0"/>
                <w:highlight w:val="none"/>
              </w:rPr>
              <w:t xml:space="preserve"> </w:t>
            </w:r>
            <w:r>
              <w:rPr>
                <w:rFonts w:hint="eastAsia" w:ascii="Times New Roman" w:hAnsi="Times New Roman" w:eastAsia="仿宋_GB2312" w:cs="仿宋_GB2312"/>
                <w:kern w:val="0"/>
                <w:highlight w:val="none"/>
              </w:rPr>
              <w:t>核技术利用单位应当建立辐射监测制度，定期组织对从业人员个人辐射剂量、工作场所以及周围环境辐射水平进行监测；发现监测结果异常的，应当迅速查清原因，采取防范措施，并立即向所在地县（市、区）人民政府环境保护主管部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805" w:type="dxa"/>
            <w:gridSpan w:val="2"/>
            <w:vAlign w:val="center"/>
          </w:tcPr>
          <w:p>
            <w:pPr>
              <w:widowControl/>
              <w:snapToGrid w:val="0"/>
              <w:spacing w:before="62" w:beforeLines="20"/>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《山东省辐射污染防治条例》第五十五条第（三）项</w:t>
            </w:r>
            <w:r>
              <w:rPr>
                <w:rFonts w:ascii="Times New Roman" w:hAnsi="Times New Roman" w:eastAsia="仿宋_GB2312" w:cs="Times New Roman"/>
                <w:kern w:val="0"/>
                <w:highlight w:val="none"/>
              </w:rPr>
              <w:t xml:space="preserve"> </w:t>
            </w:r>
            <w:r>
              <w:rPr>
                <w:rFonts w:hint="eastAsia" w:ascii="Times New Roman" w:hAnsi="Times New Roman" w:eastAsia="仿宋_GB2312" w:cs="仿宋_GB2312"/>
                <w:kern w:val="0"/>
                <w:highlight w:val="none"/>
              </w:rPr>
              <w:t>违反本条例规定，核技术利用单位有下列行为之一的，由县级以上人民政府环境保护主管部门给予警告，责令限期改正；逾期不改正的，处一万元以上三万元以下罚款：</w:t>
            </w:r>
          </w:p>
          <w:p>
            <w:pPr>
              <w:widowControl/>
              <w:snapToGrid w:val="0"/>
              <w:ind w:firstLine="420"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（三）未定期组织对从业人员个人辐射剂量、工作场所以及周围环境辐射水平进行监测的。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15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49"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156" w:type="dxa"/>
            <w:vAlign w:val="center"/>
          </w:tcPr>
          <w:p>
            <w:pPr>
              <w:pStyle w:val="11"/>
              <w:snapToGrid w:val="0"/>
              <w:jc w:val="center"/>
              <w:rPr>
                <w:rFonts w:ascii="Times New Roman" w:hAnsi="Times New Roman" w:cs="Times New Roman"/>
                <w:b/>
                <w:bCs/>
                <w:color w:val="000000"/>
                <w:sz w:val="21"/>
                <w:szCs w:val="21"/>
                <w:highlight w:val="none"/>
              </w:rPr>
            </w:pPr>
            <w:r>
              <w:rPr>
                <w:rFonts w:hint="eastAsia" w:ascii="Times New Roman" w:hAnsi="Times New Roman" w:eastAsia="仿宋_GB2312" w:cs="仿宋_GB2312"/>
                <w:color w:val="000000"/>
                <w:sz w:val="21"/>
                <w:szCs w:val="21"/>
                <w:highlight w:val="none"/>
              </w:rPr>
              <w:t>未定期组织监测的</w:t>
            </w:r>
          </w:p>
        </w:tc>
        <w:tc>
          <w:tcPr>
            <w:tcW w:w="2649" w:type="dxa"/>
            <w:vAlign w:val="center"/>
          </w:tcPr>
          <w:p>
            <w:pPr>
              <w:snapToGrid w:val="0"/>
              <w:jc w:val="center"/>
              <w:rPr>
                <w:rFonts w:ascii="Times New Roman" w:hAnsi="Times New Roman" w:cs="Times New Roman"/>
                <w:b/>
                <w:bCs/>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未监测的</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涉及放射类型</w:t>
            </w: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color w:val="000000"/>
                <w:highlight w:val="none"/>
              </w:rPr>
              <w:t>Ⅳ</w:t>
            </w:r>
            <w:r>
              <w:rPr>
                <w:rFonts w:hint="eastAsia" w:ascii="Times New Roman" w:hAnsi="Times New Roman" w:eastAsia="仿宋_GB2312" w:cs="仿宋_GB2312"/>
                <w:color w:val="000000"/>
                <w:highlight w:val="none"/>
              </w:rPr>
              <w:t>类、</w:t>
            </w:r>
            <w:r>
              <w:rPr>
                <w:rFonts w:hint="eastAsia" w:ascii="宋体" w:hAnsi="宋体" w:cs="宋体"/>
                <w:color w:val="000000"/>
                <w:highlight w:val="none"/>
              </w:rPr>
              <w:t>Ⅴ</w:t>
            </w:r>
            <w:r>
              <w:rPr>
                <w:rFonts w:hint="eastAsia" w:ascii="Times New Roman" w:hAnsi="Times New Roman" w:eastAsia="仿宋_GB2312" w:cs="仿宋_GB2312"/>
                <w:color w:val="000000"/>
                <w:highlight w:val="none"/>
              </w:rPr>
              <w:t>类放射源或</w:t>
            </w:r>
            <w:r>
              <w:rPr>
                <w:rFonts w:hint="eastAsia" w:ascii="宋体" w:hAnsi="宋体" w:cs="宋体"/>
                <w:color w:val="000000"/>
                <w:highlight w:val="none"/>
              </w:rPr>
              <w:t>Ⅲ</w:t>
            </w:r>
            <w:r>
              <w:rPr>
                <w:rFonts w:hint="eastAsia" w:ascii="Times New Roman" w:hAnsi="Times New Roman" w:eastAsia="仿宋_GB2312" w:cs="仿宋_GB2312"/>
                <w:color w:val="000000"/>
                <w:highlight w:val="none"/>
              </w:rPr>
              <w:t>类射线装置的</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color w:val="000000"/>
                <w:highlight w:val="none"/>
              </w:rPr>
              <w:t>Ⅲ</w:t>
            </w:r>
            <w:r>
              <w:rPr>
                <w:rFonts w:hint="eastAsia" w:ascii="Times New Roman" w:hAnsi="Times New Roman" w:eastAsia="仿宋_GB2312" w:cs="仿宋_GB2312"/>
                <w:color w:val="000000"/>
                <w:highlight w:val="none"/>
              </w:rPr>
              <w:t>类放射源或</w:t>
            </w:r>
            <w:r>
              <w:rPr>
                <w:rFonts w:hint="eastAsia" w:ascii="宋体" w:hAnsi="宋体" w:cs="宋体"/>
                <w:color w:val="000000"/>
                <w:highlight w:val="none"/>
              </w:rPr>
              <w:t>Ⅱ</w:t>
            </w:r>
            <w:r>
              <w:rPr>
                <w:rFonts w:hint="eastAsia" w:ascii="Times New Roman" w:hAnsi="Times New Roman" w:eastAsia="仿宋_GB2312" w:cs="仿宋_GB2312"/>
                <w:color w:val="000000"/>
                <w:highlight w:val="none"/>
              </w:rPr>
              <w:t>类射线装置的</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color w:val="000000"/>
                <w:highlight w:val="none"/>
              </w:rPr>
              <w:t>Ⅰ</w:t>
            </w:r>
            <w:r>
              <w:rPr>
                <w:rFonts w:hint="eastAsia" w:ascii="Times New Roman" w:hAnsi="Times New Roman" w:eastAsia="仿宋_GB2312" w:cs="仿宋_GB2312"/>
                <w:color w:val="000000"/>
                <w:highlight w:val="none"/>
              </w:rPr>
              <w:t>类、</w:t>
            </w:r>
            <w:r>
              <w:rPr>
                <w:rFonts w:hint="eastAsia" w:ascii="宋体" w:hAnsi="宋体" w:cs="宋体"/>
                <w:color w:val="000000"/>
                <w:highlight w:val="none"/>
              </w:rPr>
              <w:t>Ⅱ</w:t>
            </w:r>
            <w:r>
              <w:rPr>
                <w:rFonts w:hint="eastAsia" w:ascii="Times New Roman" w:hAnsi="Times New Roman" w:eastAsia="仿宋_GB2312" w:cs="仿宋_GB2312"/>
                <w:color w:val="000000"/>
                <w:highlight w:val="none"/>
              </w:rPr>
              <w:t>类放射源或</w:t>
            </w:r>
            <w:r>
              <w:rPr>
                <w:rFonts w:hint="eastAsia" w:ascii="宋体" w:hAnsi="宋体" w:cs="宋体"/>
                <w:color w:val="000000"/>
                <w:highlight w:val="none"/>
              </w:rPr>
              <w:t>Ⅰ</w:t>
            </w:r>
            <w:r>
              <w:rPr>
                <w:rFonts w:hint="eastAsia" w:ascii="Times New Roman" w:hAnsi="Times New Roman" w:eastAsia="仿宋_GB2312" w:cs="仿宋_GB2312"/>
                <w:color w:val="000000"/>
                <w:highlight w:val="none"/>
              </w:rPr>
              <w:t>类射线装置的</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非密封放射性物质工作场所分类</w:t>
            </w: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丙级工作场所</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乙级工作场所</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甲级工作场所</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涉及从业人员数量</w:t>
            </w:r>
          </w:p>
        </w:tc>
        <w:tc>
          <w:tcPr>
            <w:tcW w:w="5156"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人（次）以内的</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b/>
                <w:bCs/>
                <w:color w:val="000000"/>
                <w:highlight w:val="none"/>
              </w:rPr>
            </w:pP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人（次）以上</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人（次）以内的</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b/>
                <w:bCs/>
                <w:color w:val="000000"/>
                <w:highlight w:val="none"/>
              </w:rPr>
            </w:pP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人（次）及以上的</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超过限期</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改正时间</w:t>
            </w: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天</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天</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个月以上</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7"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805" w:type="dxa"/>
            <w:gridSpan w:val="2"/>
            <w:vAlign w:val="center"/>
          </w:tcPr>
          <w:p>
            <w:pPr>
              <w:snapToGrid w:val="0"/>
              <w:ind w:firstLine="420"/>
              <w:jc w:val="center"/>
              <w:rPr>
                <w:rFonts w:ascii="Times New Roman" w:hAnsi="Times New Roman" w:cs="Times New Roman"/>
                <w:color w:val="000000"/>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5156"/>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2"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805"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kern w:val="0"/>
                <w:highlight w:val="none"/>
              </w:rPr>
            </w:pPr>
            <w:r>
              <w:rPr>
                <w:rFonts w:hint="eastAsia" w:ascii="Times New Roman" w:hAnsi="Times New Roman" w:cs="宋体"/>
                <w:b/>
                <w:bCs/>
                <w:kern w:val="0"/>
                <w:highlight w:val="none"/>
              </w:rPr>
              <w:t>违法行为</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2" w:beforeLines="20" w:line="288" w:lineRule="auto"/>
              <w:ind w:firstLine="420" w:firstLineChars="200"/>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废旧金属熔炼单位未对废旧金属进行放射性检测，或者发现检测结果异常未如实报告的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2" w:beforeLines="20" w:line="288" w:lineRule="auto"/>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《山东省辐射污染防治条例》第三十八条</w:t>
            </w:r>
            <w:r>
              <w:rPr>
                <w:rFonts w:ascii="Times New Roman" w:hAnsi="Times New Roman" w:eastAsia="仿宋_GB2312" w:cs="Times New Roman"/>
                <w:kern w:val="0"/>
                <w:highlight w:val="none"/>
              </w:rPr>
              <w:t xml:space="preserve"> </w:t>
            </w:r>
            <w:r>
              <w:rPr>
                <w:rFonts w:hint="eastAsia" w:ascii="Times New Roman" w:hAnsi="Times New Roman" w:eastAsia="仿宋_GB2312" w:cs="仿宋_GB2312"/>
                <w:kern w:val="0"/>
                <w:highlight w:val="none"/>
              </w:rPr>
              <w:t>废旧金属熔炼单位应当对废旧金属进行放射性检测，建立检测档案；发现检测结果异常的，应当立即采取相应控制措施，并向所在地县（市、区）人民政府环境保护主管部门报告。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805" w:type="dxa"/>
            <w:gridSpan w:val="2"/>
            <w:vAlign w:val="center"/>
          </w:tcPr>
          <w:p>
            <w:pPr>
              <w:widowControl/>
              <w:snapToGrid w:val="0"/>
              <w:spacing w:before="62" w:beforeLines="20" w:line="288" w:lineRule="auto"/>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《山东省辐射污染防治条例》第五十九条</w:t>
            </w:r>
            <w:r>
              <w:rPr>
                <w:rFonts w:ascii="Times New Roman" w:hAnsi="Times New Roman" w:eastAsia="仿宋_GB2312" w:cs="Times New Roman"/>
                <w:kern w:val="0"/>
                <w:highlight w:val="none"/>
              </w:rPr>
              <w:t xml:space="preserve"> </w:t>
            </w:r>
            <w:r>
              <w:rPr>
                <w:rFonts w:hint="eastAsia" w:ascii="Times New Roman" w:hAnsi="Times New Roman" w:eastAsia="仿宋_GB2312" w:cs="仿宋_GB2312"/>
                <w:kern w:val="0"/>
                <w:highlight w:val="none"/>
              </w:rPr>
              <w:t>违反本条例规定，废旧金属熔炼单位未对废旧金属进行放射性检测，或者发现检测结果异常未如实报告的，由县级以上人民政府环境保护主管部门责令限期改正，并处一万元以上三万元以下罚款。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15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49"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监测频次★</w:t>
            </w:r>
          </w:p>
        </w:tc>
        <w:tc>
          <w:tcPr>
            <w:tcW w:w="5156"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已规范</w:t>
            </w:r>
            <w:r>
              <w:rPr>
                <w:rFonts w:hint="eastAsia" w:ascii="Times New Roman" w:hAnsi="Times New Roman" w:eastAsia="仿宋_GB2312" w:cs="仿宋_GB2312"/>
                <w:color w:val="000000"/>
                <w:kern w:val="2"/>
                <w:sz w:val="21"/>
                <w:szCs w:val="21"/>
                <w:highlight w:val="none"/>
              </w:rPr>
              <w:t>检测</w:t>
            </w:r>
            <w:r>
              <w:rPr>
                <w:rFonts w:hint="eastAsia" w:ascii="Times New Roman" w:hAnsi="Times New Roman" w:eastAsia="仿宋_GB2312" w:cs="仿宋_GB2312"/>
                <w:color w:val="000000"/>
                <w:sz w:val="21"/>
                <w:szCs w:val="21"/>
                <w:highlight w:val="none"/>
              </w:rPr>
              <w:t>，但未规范报告检测结果的</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未规范检测，且未报告环境监测结果的</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未检测的</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项目建设地点</w:t>
            </w: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符合环境功能规划（或无环境功能规划）</w:t>
            </w:r>
          </w:p>
        </w:tc>
        <w:tc>
          <w:tcPr>
            <w:tcW w:w="264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不符合环境功能规划，但不在保护区内</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位于自然保护区实验区</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饮用水水源准保护区</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位于自然保护区缓冲区</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饮用水水源二级保护区</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位于自然保护区核心区</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饮用水水源一级保护区</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805" w:type="dxa"/>
            <w:gridSpan w:val="2"/>
            <w:vAlign w:val="center"/>
          </w:tcPr>
          <w:p>
            <w:pPr>
              <w:snapToGrid w:val="0"/>
              <w:ind w:firstLine="420"/>
              <w:jc w:val="center"/>
              <w:rPr>
                <w:rFonts w:ascii="Times New Roman" w:hAnsi="Times New Roman" w:cs="Times New Roman"/>
                <w:color w:val="000000"/>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5156"/>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2"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805"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kern w:val="0"/>
                <w:highlight w:val="none"/>
              </w:rPr>
            </w:pPr>
            <w:r>
              <w:rPr>
                <w:rFonts w:hint="eastAsia" w:ascii="Times New Roman" w:hAnsi="Times New Roman" w:cs="宋体"/>
                <w:b/>
                <w:bCs/>
                <w:kern w:val="0"/>
                <w:highlight w:val="none"/>
              </w:rPr>
              <w:t>违法行为</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2" w:beforeLines="20" w:line="288" w:lineRule="auto"/>
              <w:ind w:firstLine="420" w:firstLineChars="200"/>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电磁能利用装置单位未采取有效的漏能控制和屏蔽措施，责令限期改正逾期不改正的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2" w:beforeLines="20" w:line="288" w:lineRule="auto"/>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《山东省辐射污染防治条例》第四十三条</w:t>
            </w:r>
            <w:r>
              <w:rPr>
                <w:rFonts w:ascii="Times New Roman" w:hAnsi="Times New Roman" w:eastAsia="仿宋_GB2312" w:cs="Times New Roman"/>
                <w:kern w:val="0"/>
                <w:highlight w:val="none"/>
              </w:rPr>
              <w:t xml:space="preserve"> </w:t>
            </w:r>
            <w:r>
              <w:rPr>
                <w:rFonts w:hint="eastAsia" w:ascii="Times New Roman" w:hAnsi="Times New Roman" w:eastAsia="仿宋_GB2312" w:cs="仿宋_GB2312"/>
                <w:kern w:val="0"/>
                <w:highlight w:val="none"/>
              </w:rPr>
              <w:t>在工业生产、科学研究、医疗活动中使用电磁能利用装置的，应当采取有效的漏能控制和屏蔽措施，保证电磁辐射环境安全。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805" w:type="dxa"/>
            <w:gridSpan w:val="2"/>
            <w:vAlign w:val="center"/>
          </w:tcPr>
          <w:p>
            <w:pPr>
              <w:widowControl/>
              <w:snapToGrid w:val="0"/>
              <w:spacing w:before="62" w:beforeLines="20" w:line="288" w:lineRule="auto"/>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《山东省辐射污染防治条例》第六十条</w:t>
            </w:r>
            <w:r>
              <w:rPr>
                <w:rFonts w:ascii="Times New Roman" w:hAnsi="Times New Roman" w:eastAsia="仿宋_GB2312" w:cs="Times New Roman"/>
                <w:kern w:val="0"/>
                <w:highlight w:val="none"/>
              </w:rPr>
              <w:t xml:space="preserve"> </w:t>
            </w:r>
            <w:r>
              <w:rPr>
                <w:rFonts w:hint="eastAsia" w:ascii="Times New Roman" w:hAnsi="Times New Roman" w:eastAsia="仿宋_GB2312" w:cs="仿宋_GB2312"/>
                <w:kern w:val="0"/>
                <w:highlight w:val="none"/>
              </w:rPr>
              <w:t>违反本条例规定，电磁能利用装置单位未采取有效的漏能控制和屏蔽措施的，由县级以上人民政府环境保护主管部门责令限期改正；逾期不改正的，处五千元以上三万元以下罚款。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15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49"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项目建设地点★</w:t>
            </w:r>
          </w:p>
        </w:tc>
        <w:tc>
          <w:tcPr>
            <w:tcW w:w="5156"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符合环境功能规划（或无环境功能规划）</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不符合环境功能规划，但不在保护区内</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位于自然保护区实验区</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饮用水水源准保护区</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位于自然保护区缓冲区</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饮用水水源二级保护区</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位于自然保护区核心区</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饮用水水源一级保护区</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超过限期</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改正时间</w:t>
            </w: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天</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天</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个月以上</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805" w:type="dxa"/>
            <w:gridSpan w:val="2"/>
            <w:vAlign w:val="center"/>
          </w:tcPr>
          <w:p>
            <w:pPr>
              <w:snapToGrid w:val="0"/>
              <w:ind w:firstLine="420"/>
              <w:rPr>
                <w:rFonts w:ascii="Times New Roman" w:hAnsi="Times New Roman" w:eastAsia="仿宋" w:cs="Times New Roman"/>
                <w:color w:val="000000"/>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5156"/>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072"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805"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kern w:val="0"/>
                <w:highlight w:val="none"/>
              </w:rPr>
            </w:pPr>
            <w:r>
              <w:rPr>
                <w:rFonts w:hint="eastAsia" w:ascii="Times New Roman" w:hAnsi="Times New Roman" w:cs="宋体"/>
                <w:b/>
                <w:bCs/>
                <w:kern w:val="0"/>
                <w:highlight w:val="none"/>
              </w:rPr>
              <w:t>违法行为</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2" w:beforeLines="20" w:line="288" w:lineRule="auto"/>
              <w:ind w:firstLine="420" w:firstLineChars="200"/>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房地产开发建设单位在销售房屋时，未公示环境影响评价文件中电磁环境信息的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805" w:type="dxa"/>
            <w:gridSpan w:val="2"/>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2" w:beforeLines="20" w:line="288" w:lineRule="auto"/>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《山东省辐射污染防治条例》第四十四条第二款</w:t>
            </w:r>
            <w:r>
              <w:rPr>
                <w:rFonts w:ascii="Times New Roman" w:hAnsi="Times New Roman" w:eastAsia="仿宋_GB2312" w:cs="Times New Roman"/>
                <w:kern w:val="0"/>
                <w:highlight w:val="none"/>
              </w:rPr>
              <w:t xml:space="preserve">  </w:t>
            </w:r>
            <w:r>
              <w:rPr>
                <w:rFonts w:hint="eastAsia" w:ascii="Times New Roman" w:hAnsi="Times New Roman" w:eastAsia="仿宋_GB2312" w:cs="仿宋_GB2312"/>
                <w:kern w:val="0"/>
                <w:highlight w:val="none"/>
              </w:rPr>
              <w:t>房地产开发建设单位在销售房屋时，应当公示环境影响评价文件中有关电磁环境的信息。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805" w:type="dxa"/>
            <w:gridSpan w:val="2"/>
            <w:vAlign w:val="center"/>
          </w:tcPr>
          <w:p>
            <w:pPr>
              <w:widowControl/>
              <w:snapToGrid w:val="0"/>
              <w:spacing w:before="62" w:beforeLines="20" w:line="288" w:lineRule="auto"/>
              <w:ind w:firstLine="422" w:firstLineChars="200"/>
              <w:jc w:val="left"/>
              <w:rPr>
                <w:rFonts w:ascii="Times New Roman" w:hAnsi="Times New Roman" w:eastAsia="仿宋_GB2312" w:cs="Times New Roman"/>
                <w:kern w:val="0"/>
                <w:highlight w:val="none"/>
              </w:rPr>
            </w:pPr>
            <w:r>
              <w:rPr>
                <w:rFonts w:hint="eastAsia" w:ascii="Times New Roman" w:hAnsi="Times New Roman" w:eastAsia="仿宋_GB2312" w:cs="仿宋_GB2312"/>
                <w:b/>
                <w:bCs/>
                <w:kern w:val="0"/>
                <w:highlight w:val="none"/>
              </w:rPr>
              <w:t>《山东省辐射污染防治条例》第六十一条</w:t>
            </w:r>
            <w:r>
              <w:rPr>
                <w:rFonts w:ascii="Times New Roman" w:hAnsi="Times New Roman" w:eastAsia="仿宋_GB2312" w:cs="Times New Roman"/>
                <w:kern w:val="0"/>
                <w:highlight w:val="none"/>
              </w:rPr>
              <w:t xml:space="preserve">  </w:t>
            </w:r>
            <w:r>
              <w:rPr>
                <w:rFonts w:hint="eastAsia" w:ascii="Times New Roman" w:hAnsi="Times New Roman" w:eastAsia="仿宋_GB2312" w:cs="仿宋_GB2312"/>
                <w:kern w:val="0"/>
                <w:highlight w:val="none"/>
              </w:rPr>
              <w:t>违反本条例规定，房地产开发建设单位在销售房屋时，未公示环境影响评价文件中电磁环境信息的，由县级以上人民政府环境保护主管部门责令限期改正，并处一万元以上五万元以下罚款。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15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4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未完全公开的</w:t>
            </w:r>
          </w:p>
        </w:tc>
        <w:tc>
          <w:tcPr>
            <w:tcW w:w="264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color w:val="000000"/>
                <w:highlight w:val="none"/>
              </w:rPr>
            </w:pPr>
          </w:p>
        </w:tc>
        <w:tc>
          <w:tcPr>
            <w:tcW w:w="515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完全未公开的</w:t>
            </w:r>
          </w:p>
        </w:tc>
        <w:tc>
          <w:tcPr>
            <w:tcW w:w="2649"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违法持续</w:t>
            </w:r>
          </w:p>
          <w:p>
            <w:pPr>
              <w:snapToGrid w:val="0"/>
              <w:jc w:val="center"/>
              <w:rPr>
                <w:rFonts w:ascii="Times New Roman" w:hAnsi="Times New Roman" w:cs="Times New Roman"/>
                <w:color w:val="000000"/>
                <w:highlight w:val="none"/>
              </w:rPr>
            </w:pPr>
            <w:r>
              <w:rPr>
                <w:rFonts w:hint="eastAsia" w:ascii="Times New Roman" w:hAnsi="Times New Roman" w:cs="宋体"/>
                <w:b/>
                <w:bCs/>
                <w:color w:val="000000"/>
                <w:highlight w:val="none"/>
              </w:rPr>
              <w:t>时间</w:t>
            </w:r>
          </w:p>
        </w:tc>
        <w:tc>
          <w:tcPr>
            <w:tcW w:w="515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不足</w:t>
            </w:r>
            <w:r>
              <w:rPr>
                <w:rFonts w:ascii="Times New Roman" w:hAnsi="Times New Roman" w:eastAsia="仿宋_GB2312" w:cs="Times New Roman"/>
                <w:highlight w:val="none"/>
              </w:rPr>
              <w:t>5</w:t>
            </w:r>
            <w:r>
              <w:rPr>
                <w:rFonts w:hint="eastAsia" w:ascii="Times New Roman" w:hAnsi="Times New Roman" w:eastAsia="仿宋_GB2312" w:cs="仿宋_GB2312"/>
                <w:highlight w:val="none"/>
              </w:rPr>
              <w:t>天</w:t>
            </w:r>
          </w:p>
        </w:tc>
        <w:tc>
          <w:tcPr>
            <w:tcW w:w="264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b/>
                <w:bCs/>
                <w:highlight w:val="none"/>
              </w:rPr>
            </w:pPr>
            <w:r>
              <w:rPr>
                <w:rFonts w:ascii="Times New Roman" w:hAnsi="Times New Roman" w:eastAsia="仿宋_GB2312" w:cs="Times New Roman"/>
                <w:highlight w:val="none"/>
              </w:rPr>
              <w:t>5</w:t>
            </w:r>
            <w:r>
              <w:rPr>
                <w:rFonts w:hint="eastAsia" w:ascii="Times New Roman" w:hAnsi="Times New Roman" w:eastAsia="仿宋_GB2312" w:cs="仿宋_GB2312"/>
                <w:highlight w:val="none"/>
              </w:rPr>
              <w:t>天以上不足</w:t>
            </w:r>
            <w:r>
              <w:rPr>
                <w:rFonts w:ascii="Times New Roman" w:hAnsi="Times New Roman" w:eastAsia="仿宋_GB2312" w:cs="Times New Roman"/>
                <w:highlight w:val="none"/>
              </w:rPr>
              <w:t>10</w:t>
            </w:r>
            <w:r>
              <w:rPr>
                <w:rFonts w:hint="eastAsia" w:ascii="Times New Roman" w:hAnsi="Times New Roman" w:eastAsia="仿宋_GB2312" w:cs="仿宋_GB2312"/>
                <w:highlight w:val="none"/>
              </w:rPr>
              <w:t>天</w:t>
            </w:r>
          </w:p>
        </w:tc>
        <w:tc>
          <w:tcPr>
            <w:tcW w:w="2649"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jc w:val="center"/>
              <w:rPr>
                <w:rFonts w:ascii="Times New Roman" w:hAnsi="Times New Roman" w:cs="Times New Roman"/>
                <w:b/>
                <w:bCs/>
                <w:highlight w:val="none"/>
              </w:rPr>
            </w:pPr>
          </w:p>
        </w:tc>
        <w:tc>
          <w:tcPr>
            <w:tcW w:w="5156" w:type="dxa"/>
            <w:vAlign w:val="center"/>
          </w:tcPr>
          <w:p>
            <w:pPr>
              <w:snapToGrid w:val="0"/>
              <w:jc w:val="center"/>
              <w:rPr>
                <w:rFonts w:ascii="Times New Roman" w:hAnsi="Times New Roman" w:eastAsia="仿宋_GB2312" w:cs="Times New Roman"/>
                <w:b/>
                <w:bCs/>
                <w:highlight w:val="none"/>
              </w:rPr>
            </w:pPr>
            <w:r>
              <w:rPr>
                <w:rFonts w:ascii="Times New Roman" w:hAnsi="Times New Roman" w:eastAsia="仿宋_GB2312" w:cs="Times New Roman"/>
                <w:highlight w:val="none"/>
              </w:rPr>
              <w:t>10</w:t>
            </w:r>
            <w:r>
              <w:rPr>
                <w:rFonts w:hint="eastAsia" w:ascii="Times New Roman" w:hAnsi="Times New Roman" w:eastAsia="仿宋_GB2312" w:cs="仿宋_GB2312"/>
                <w:highlight w:val="none"/>
              </w:rPr>
              <w:t>天以上不足</w:t>
            </w:r>
            <w:r>
              <w:rPr>
                <w:rFonts w:ascii="Times New Roman" w:hAnsi="Times New Roman" w:eastAsia="仿宋_GB2312" w:cs="Times New Roman"/>
                <w:highlight w:val="none"/>
              </w:rPr>
              <w:t>20</w:t>
            </w:r>
            <w:r>
              <w:rPr>
                <w:rFonts w:hint="eastAsia" w:ascii="Times New Roman" w:hAnsi="Times New Roman" w:eastAsia="仿宋_GB2312" w:cs="仿宋_GB2312"/>
                <w:highlight w:val="none"/>
              </w:rPr>
              <w:t>天</w:t>
            </w:r>
          </w:p>
        </w:tc>
        <w:tc>
          <w:tcPr>
            <w:tcW w:w="2649"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ind w:firstLine="420"/>
              <w:jc w:val="center"/>
              <w:rPr>
                <w:rFonts w:ascii="Times New Roman" w:hAnsi="Times New Roman" w:cs="Times New Roman"/>
                <w:color w:val="000000"/>
                <w:highlight w:val="none"/>
              </w:rPr>
            </w:pPr>
          </w:p>
        </w:tc>
        <w:tc>
          <w:tcPr>
            <w:tcW w:w="5156" w:type="dxa"/>
            <w:vAlign w:val="center"/>
          </w:tcPr>
          <w:p>
            <w:pPr>
              <w:snapToGrid w:val="0"/>
              <w:jc w:val="center"/>
              <w:rPr>
                <w:rFonts w:ascii="Times New Roman" w:hAnsi="Times New Roman" w:eastAsia="仿宋_GB2312" w:cs="Times New Roman"/>
                <w:b/>
                <w:bCs/>
                <w:highlight w:val="none"/>
              </w:rPr>
            </w:pPr>
            <w:r>
              <w:rPr>
                <w:rFonts w:ascii="Times New Roman" w:hAnsi="Times New Roman" w:eastAsia="仿宋_GB2312" w:cs="Times New Roman"/>
                <w:highlight w:val="none"/>
              </w:rPr>
              <w:t>20</w:t>
            </w:r>
            <w:r>
              <w:rPr>
                <w:rFonts w:hint="eastAsia" w:ascii="Times New Roman" w:hAnsi="Times New Roman" w:eastAsia="仿宋_GB2312" w:cs="仿宋_GB2312"/>
                <w:highlight w:val="none"/>
              </w:rPr>
              <w:t>天以上不足</w:t>
            </w:r>
            <w:r>
              <w:rPr>
                <w:rFonts w:ascii="Times New Roman" w:hAnsi="Times New Roman" w:eastAsia="仿宋_GB2312" w:cs="Times New Roman"/>
                <w:highlight w:val="none"/>
              </w:rPr>
              <w:t>1</w:t>
            </w:r>
            <w:r>
              <w:rPr>
                <w:rFonts w:hint="eastAsia" w:ascii="Times New Roman" w:hAnsi="Times New Roman" w:eastAsia="仿宋_GB2312" w:cs="仿宋_GB2312"/>
                <w:highlight w:val="none"/>
              </w:rPr>
              <w:t>个月</w:t>
            </w:r>
          </w:p>
        </w:tc>
        <w:tc>
          <w:tcPr>
            <w:tcW w:w="2649" w:type="dxa"/>
            <w:vAlign w:val="center"/>
          </w:tcPr>
          <w:p>
            <w:pPr>
              <w:snapToGrid w:val="0"/>
              <w:jc w:val="center"/>
              <w:rPr>
                <w:rFonts w:ascii="Times New Roman" w:hAnsi="Times New Roman" w:eastAsia="仿宋_GB2312" w:cs="Times New Roman"/>
                <w:b/>
                <w:bCs/>
                <w:highlight w:val="none"/>
              </w:rPr>
            </w:pPr>
            <w:r>
              <w:rPr>
                <w:rFonts w:ascii="Times New Roman" w:hAnsi="Times New Roman" w:eastAsia="仿宋_GB2312"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7" w:type="dxa"/>
            <w:vMerge w:val="continue"/>
            <w:vAlign w:val="center"/>
          </w:tcPr>
          <w:p>
            <w:pPr>
              <w:snapToGrid w:val="0"/>
              <w:ind w:firstLine="420"/>
              <w:jc w:val="center"/>
              <w:rPr>
                <w:rFonts w:ascii="Times New Roman" w:hAnsi="Times New Roman" w:cs="Times New Roman"/>
                <w:color w:val="000000"/>
                <w:highlight w:val="none"/>
              </w:rPr>
            </w:pPr>
          </w:p>
        </w:tc>
        <w:tc>
          <w:tcPr>
            <w:tcW w:w="5156" w:type="dxa"/>
            <w:vAlign w:val="center"/>
          </w:tcPr>
          <w:p>
            <w:pPr>
              <w:snapToGrid w:val="0"/>
              <w:jc w:val="center"/>
              <w:rPr>
                <w:rFonts w:ascii="Times New Roman" w:hAnsi="Times New Roman" w:eastAsia="仿宋_GB2312" w:cs="Times New Roman"/>
                <w:b/>
                <w:bCs/>
                <w:highlight w:val="none"/>
              </w:rPr>
            </w:pPr>
            <w:r>
              <w:rPr>
                <w:rFonts w:ascii="Times New Roman" w:hAnsi="Times New Roman" w:eastAsia="仿宋_GB2312" w:cs="Times New Roman"/>
                <w:highlight w:val="none"/>
              </w:rPr>
              <w:t>1</w:t>
            </w:r>
            <w:r>
              <w:rPr>
                <w:rFonts w:hint="eastAsia" w:ascii="Times New Roman" w:hAnsi="Times New Roman" w:eastAsia="仿宋_GB2312" w:cs="仿宋_GB2312"/>
                <w:highlight w:val="none"/>
              </w:rPr>
              <w:t>个月以上</w:t>
            </w:r>
          </w:p>
        </w:tc>
        <w:tc>
          <w:tcPr>
            <w:tcW w:w="2649" w:type="dxa"/>
            <w:vAlign w:val="center"/>
          </w:tcPr>
          <w:p>
            <w:pPr>
              <w:snapToGrid w:val="0"/>
              <w:jc w:val="center"/>
              <w:rPr>
                <w:rFonts w:ascii="Times New Roman" w:hAnsi="Times New Roman" w:eastAsia="仿宋_GB2312" w:cs="Times New Roman"/>
                <w:b/>
                <w:bCs/>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6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805"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tcPr>
          <w:p>
            <w:pPr>
              <w:pStyle w:val="11"/>
              <w:snapToGrid w:val="0"/>
              <w:spacing w:before="62" w:beforeLines="20"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生产、销售、使用放射性同位素和射线装置的单位改变所从事活动的种类或者范围以及新建、改建或者扩建生产、销售、使用设施或者场所，未按照规定重新申请领取许可证的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Pr>
          <w:p>
            <w:pPr>
              <w:pStyle w:val="11"/>
              <w:snapToGrid w:val="0"/>
              <w:spacing w:before="62" w:beforeLines="20"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《放射性同位素与射线装置安全和防护条例》第十二条</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有下列情形之一的，持证单位应当按照原申请程序，重新申请领取许可证：</w:t>
            </w:r>
          </w:p>
          <w:p>
            <w:pPr>
              <w:pStyle w:val="11"/>
              <w:snapToGrid w:val="0"/>
              <w:spacing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（一）改变所从事活动的种类或者范围的；</w:t>
            </w:r>
          </w:p>
          <w:p>
            <w:pPr>
              <w:pStyle w:val="11"/>
              <w:snapToGrid w:val="0"/>
              <w:spacing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（二）新建或者改建、扩建生产、销售、使用设施或者场所的。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Pr>
          <w:p>
            <w:pPr>
              <w:pStyle w:val="11"/>
              <w:snapToGrid w:val="0"/>
              <w:spacing w:before="62" w:beforeLines="20"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《放射性同位素与射线装置安全和防护条例》第五十二条第（三）项</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违反本条例规定，生产、销售、使用放射性同位素和射线装置的单位有下列行为之一的，由县级以上人民政府生态环境主管部门责令停止违法行为，限期改正；逾期不改正的，责令停产停业或者由原发证机关吊销许可证；有违法所得的，没收违法所得；违法所得</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万元以上的，并处违法所得</w:t>
            </w:r>
            <w:r>
              <w:rPr>
                <w:rFonts w:ascii="Times New Roman" w:hAnsi="Times New Roman" w:eastAsia="仿宋_GB2312" w:cs="Times New Roman"/>
                <w:sz w:val="21"/>
                <w:szCs w:val="21"/>
                <w:highlight w:val="none"/>
              </w:rPr>
              <w:t>1</w:t>
            </w:r>
            <w:r>
              <w:rPr>
                <w:rFonts w:hint="eastAsia" w:ascii="Times New Roman" w:hAnsi="Times New Roman" w:eastAsia="仿宋_GB2312" w:cs="仿宋_GB2312"/>
                <w:sz w:val="21"/>
                <w:szCs w:val="21"/>
                <w:highlight w:val="none"/>
              </w:rPr>
              <w:t>倍以上</w:t>
            </w:r>
            <w:r>
              <w:rPr>
                <w:rFonts w:ascii="Times New Roman" w:hAnsi="Times New Roman" w:eastAsia="仿宋_GB2312" w:cs="Times New Roman"/>
                <w:sz w:val="21"/>
                <w:szCs w:val="21"/>
                <w:highlight w:val="none"/>
              </w:rPr>
              <w:t>5</w:t>
            </w:r>
            <w:r>
              <w:rPr>
                <w:rFonts w:hint="eastAsia" w:ascii="Times New Roman" w:hAnsi="Times New Roman" w:eastAsia="仿宋_GB2312" w:cs="仿宋_GB2312"/>
                <w:sz w:val="21"/>
                <w:szCs w:val="21"/>
                <w:highlight w:val="none"/>
              </w:rPr>
              <w:t>倍以下的罚款；没有违法所得或者违法所得不足</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万元的，并处</w:t>
            </w:r>
            <w:r>
              <w:rPr>
                <w:rFonts w:ascii="Times New Roman" w:hAnsi="Times New Roman" w:eastAsia="仿宋_GB2312" w:cs="Times New Roman"/>
                <w:sz w:val="21"/>
                <w:szCs w:val="21"/>
                <w:highlight w:val="none"/>
              </w:rPr>
              <w:t>1</w:t>
            </w:r>
            <w:r>
              <w:rPr>
                <w:rFonts w:hint="eastAsia" w:ascii="Times New Roman" w:hAnsi="Times New Roman" w:eastAsia="仿宋_GB2312" w:cs="仿宋_GB2312"/>
                <w:sz w:val="21"/>
                <w:szCs w:val="21"/>
                <w:highlight w:val="none"/>
              </w:rPr>
              <w:t>万元以上</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万元以下的罚款：</w:t>
            </w:r>
          </w:p>
          <w:p>
            <w:pPr>
              <w:pStyle w:val="11"/>
              <w:snapToGrid w:val="0"/>
              <w:spacing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（三）改变所从事活动的种类或者范围以及新建、改建或者扩建生产、销售、使用设施或者场所，未按照规定重新申请领取许可证的。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8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违法所得不足</w:t>
            </w:r>
            <w:r>
              <w:rPr>
                <w:rFonts w:ascii="Times New Roman" w:hAnsi="Times New Roman" w:cs="Times New Roman"/>
                <w:b/>
                <w:bCs/>
                <w:highlight w:val="none"/>
              </w:rPr>
              <w:t>10</w:t>
            </w:r>
            <w:r>
              <w:rPr>
                <w:rFonts w:hint="eastAsia" w:ascii="Times New Roman" w:hAnsi="Times New Roman" w:cs="宋体"/>
                <w:b/>
                <w:bCs/>
                <w:highlight w:val="none"/>
              </w:rPr>
              <w:t>万元</w:t>
            </w:r>
            <w:r>
              <w:rPr>
                <w:rFonts w:hint="eastAsia" w:ascii="Times New Roman" w:hAnsi="Times New Roman" w:cs="宋体"/>
                <w:b/>
                <w:bCs/>
                <w:color w:val="000000"/>
                <w:highlight w:val="none"/>
              </w:rPr>
              <w:t>★</w:t>
            </w:r>
          </w:p>
        </w:tc>
        <w:tc>
          <w:tcPr>
            <w:tcW w:w="5213" w:type="dxa"/>
            <w:vAlign w:val="center"/>
          </w:tcPr>
          <w:p>
            <w:pPr>
              <w:widowControl/>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无违法所得</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b/>
                <w:bCs/>
                <w:highlight w:val="none"/>
              </w:rPr>
            </w:pPr>
            <w:r>
              <w:rPr>
                <w:rFonts w:hint="eastAsia" w:ascii="Times New Roman" w:hAnsi="Times New Roman" w:eastAsia="仿宋_GB2312" w:cs="仿宋_GB2312"/>
                <w:highlight w:val="none"/>
              </w:rPr>
              <w:t>违法所得不足</w:t>
            </w:r>
            <w:r>
              <w:rPr>
                <w:rFonts w:ascii="Times New Roman" w:hAnsi="Times New Roman" w:eastAsia="仿宋_GB2312" w:cs="Times New Roman"/>
                <w:kern w:val="0"/>
                <w:highlight w:val="none"/>
              </w:rPr>
              <w:t>5</w:t>
            </w:r>
            <w:r>
              <w:rPr>
                <w:rFonts w:hint="eastAsia" w:ascii="Times New Roman" w:hAnsi="Times New Roman" w:eastAsia="仿宋_GB2312" w:cs="仿宋_GB2312"/>
                <w:kern w:val="0"/>
                <w:highlight w:val="none"/>
              </w:rPr>
              <w:t>万元</w:t>
            </w:r>
          </w:p>
        </w:tc>
        <w:tc>
          <w:tcPr>
            <w:tcW w:w="2689" w:type="dxa"/>
            <w:vAlign w:val="center"/>
          </w:tcPr>
          <w:p>
            <w:pPr>
              <w:snapToGrid w:val="0"/>
              <w:jc w:val="center"/>
              <w:rPr>
                <w:rFonts w:ascii="Times New Roman" w:hAnsi="Times New Roman" w:eastAsia="仿宋_GB2312" w:cs="Times New Roman"/>
                <w:b/>
                <w:bCs/>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b/>
                <w:bCs/>
                <w:highlight w:val="none"/>
              </w:rPr>
            </w:pPr>
            <w:r>
              <w:rPr>
                <w:rFonts w:hint="eastAsia" w:ascii="Times New Roman" w:hAnsi="Times New Roman" w:eastAsia="仿宋_GB2312" w:cs="仿宋_GB2312"/>
                <w:highlight w:val="none"/>
              </w:rPr>
              <w:t>违法所得</w:t>
            </w:r>
            <w:r>
              <w:rPr>
                <w:rFonts w:ascii="Times New Roman" w:hAnsi="Times New Roman" w:eastAsia="仿宋_GB2312" w:cs="Times New Roman"/>
                <w:kern w:val="0"/>
                <w:highlight w:val="none"/>
              </w:rPr>
              <w:t>5-10</w:t>
            </w:r>
            <w:r>
              <w:rPr>
                <w:rFonts w:hint="eastAsia" w:ascii="Times New Roman" w:hAnsi="Times New Roman" w:eastAsia="仿宋_GB2312" w:cs="仿宋_GB2312"/>
                <w:kern w:val="0"/>
                <w:highlight w:val="none"/>
              </w:rPr>
              <w:t>万元</w:t>
            </w:r>
          </w:p>
        </w:tc>
        <w:tc>
          <w:tcPr>
            <w:tcW w:w="2689" w:type="dxa"/>
            <w:vAlign w:val="center"/>
          </w:tcPr>
          <w:p>
            <w:pPr>
              <w:snapToGrid w:val="0"/>
              <w:jc w:val="center"/>
              <w:rPr>
                <w:rFonts w:ascii="Times New Roman" w:hAnsi="Times New Roman" w:eastAsia="仿宋_GB2312" w:cs="Times New Roman"/>
                <w:b/>
                <w:bCs/>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rPr>
                <w:rFonts w:ascii="Times New Roman" w:hAnsi="Times New Roman" w:cs="Times New Roman"/>
                <w:b/>
                <w:bCs/>
                <w:highlight w:val="none"/>
              </w:rPr>
            </w:pPr>
            <w:r>
              <w:rPr>
                <w:rFonts w:hint="eastAsia" w:ascii="Times New Roman" w:hAnsi="Times New Roman" w:cs="宋体"/>
                <w:b/>
                <w:bCs/>
                <w:highlight w:val="none"/>
              </w:rPr>
              <w:t>违法所得</w:t>
            </w:r>
            <w:r>
              <w:rPr>
                <w:rFonts w:ascii="Times New Roman" w:hAnsi="Times New Roman" w:cs="Times New Roman"/>
                <w:b/>
                <w:bCs/>
                <w:highlight w:val="none"/>
              </w:rPr>
              <w:t>10</w:t>
            </w:r>
            <w:r>
              <w:rPr>
                <w:rFonts w:hint="eastAsia" w:ascii="Times New Roman" w:hAnsi="Times New Roman" w:cs="宋体"/>
                <w:b/>
                <w:bCs/>
                <w:highlight w:val="none"/>
              </w:rPr>
              <w:t>万元以上</w:t>
            </w:r>
            <w:r>
              <w:rPr>
                <w:rFonts w:hint="eastAsia" w:ascii="Times New Roman" w:hAnsi="Times New Roman" w:cs="宋体"/>
                <w:b/>
                <w:bCs/>
                <w:color w:val="000000"/>
                <w:highlight w:val="none"/>
              </w:rPr>
              <w:t>★</w:t>
            </w:r>
          </w:p>
        </w:tc>
        <w:tc>
          <w:tcPr>
            <w:tcW w:w="5213" w:type="dxa"/>
            <w:vAlign w:val="center"/>
          </w:tcPr>
          <w:p>
            <w:pPr>
              <w:widowControl/>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违法所得</w:t>
            </w:r>
            <w:r>
              <w:rPr>
                <w:rFonts w:ascii="Times New Roman" w:hAnsi="Times New Roman" w:eastAsia="仿宋_GB2312" w:cs="Times New Roman"/>
                <w:kern w:val="0"/>
                <w:highlight w:val="none"/>
              </w:rPr>
              <w:t>10-20</w:t>
            </w:r>
            <w:r>
              <w:rPr>
                <w:rFonts w:hint="eastAsia" w:ascii="Times New Roman" w:hAnsi="Times New Roman" w:eastAsia="仿宋_GB2312" w:cs="仿宋_GB2312"/>
                <w:kern w:val="0"/>
                <w:highlight w:val="none"/>
              </w:rPr>
              <w:t>万元</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b/>
                <w:bCs/>
                <w:highlight w:val="none"/>
              </w:rPr>
            </w:pPr>
            <w:r>
              <w:rPr>
                <w:rFonts w:hint="eastAsia" w:ascii="Times New Roman" w:hAnsi="Times New Roman" w:eastAsia="仿宋_GB2312" w:cs="仿宋_GB2312"/>
                <w:highlight w:val="none"/>
              </w:rPr>
              <w:t>违法所得</w:t>
            </w:r>
            <w:r>
              <w:rPr>
                <w:rFonts w:ascii="Times New Roman" w:hAnsi="Times New Roman" w:eastAsia="仿宋_GB2312" w:cs="Times New Roman"/>
                <w:kern w:val="0"/>
                <w:highlight w:val="none"/>
              </w:rPr>
              <w:t>20-40</w:t>
            </w:r>
            <w:r>
              <w:rPr>
                <w:rFonts w:hint="eastAsia" w:ascii="Times New Roman" w:hAnsi="Times New Roman" w:eastAsia="仿宋_GB2312" w:cs="仿宋_GB2312"/>
                <w:kern w:val="0"/>
                <w:highlight w:val="none"/>
              </w:rPr>
              <w:t>万元</w:t>
            </w:r>
          </w:p>
        </w:tc>
        <w:tc>
          <w:tcPr>
            <w:tcW w:w="2689" w:type="dxa"/>
            <w:vAlign w:val="center"/>
          </w:tcPr>
          <w:p>
            <w:pPr>
              <w:snapToGrid w:val="0"/>
              <w:jc w:val="center"/>
              <w:rPr>
                <w:rFonts w:ascii="Times New Roman" w:hAnsi="Times New Roman" w:eastAsia="仿宋_GB2312" w:cs="Times New Roman"/>
                <w:b/>
                <w:bCs/>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b/>
                <w:bCs/>
                <w:highlight w:val="none"/>
              </w:rPr>
            </w:pPr>
            <w:r>
              <w:rPr>
                <w:rFonts w:hint="eastAsia" w:ascii="Times New Roman" w:hAnsi="Times New Roman" w:eastAsia="仿宋_GB2312" w:cs="仿宋_GB2312"/>
                <w:highlight w:val="none"/>
              </w:rPr>
              <w:t>违法所得</w:t>
            </w:r>
            <w:r>
              <w:rPr>
                <w:rFonts w:ascii="Times New Roman" w:hAnsi="Times New Roman" w:eastAsia="仿宋_GB2312" w:cs="Times New Roman"/>
                <w:highlight w:val="none"/>
              </w:rPr>
              <w:t>40</w:t>
            </w:r>
            <w:r>
              <w:rPr>
                <w:rFonts w:hint="eastAsia" w:ascii="Times New Roman" w:hAnsi="Times New Roman" w:eastAsia="仿宋_GB2312" w:cs="仿宋_GB2312"/>
                <w:highlight w:val="none"/>
              </w:rPr>
              <w:t>万元以上</w:t>
            </w:r>
          </w:p>
        </w:tc>
        <w:tc>
          <w:tcPr>
            <w:tcW w:w="2689" w:type="dxa"/>
            <w:vAlign w:val="center"/>
          </w:tcPr>
          <w:p>
            <w:pPr>
              <w:snapToGrid w:val="0"/>
              <w:jc w:val="center"/>
              <w:rPr>
                <w:rFonts w:ascii="Times New Roman" w:hAnsi="Times New Roman" w:eastAsia="仿宋_GB2312" w:cs="Times New Roman"/>
                <w:b/>
                <w:bCs/>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涉及放射</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类型</w:t>
            </w:r>
          </w:p>
        </w:tc>
        <w:tc>
          <w:tcPr>
            <w:tcW w:w="5213" w:type="dxa"/>
            <w:vAlign w:val="center"/>
          </w:tcPr>
          <w:p>
            <w:pPr>
              <w:snapToGrid w:val="0"/>
              <w:jc w:val="center"/>
              <w:rPr>
                <w:rFonts w:ascii="Times New Roman" w:hAnsi="Times New Roman" w:eastAsia="仿宋_GB2312" w:cs="仿宋_GB2312"/>
                <w:highlight w:val="none"/>
              </w:rPr>
            </w:pPr>
            <w:r>
              <w:rPr>
                <w:rFonts w:hint="eastAsia" w:ascii="宋体" w:hAnsi="宋体" w:cs="宋体"/>
                <w:highlight w:val="none"/>
              </w:rPr>
              <w:t>Ⅳ</w:t>
            </w:r>
            <w:r>
              <w:rPr>
                <w:rFonts w:hint="eastAsia" w:ascii="Times New Roman" w:hAnsi="Times New Roman" w:eastAsia="仿宋_GB2312" w:cs="仿宋_GB2312"/>
                <w:highlight w:val="none"/>
              </w:rPr>
              <w:t>类、</w:t>
            </w:r>
            <w:r>
              <w:rPr>
                <w:rFonts w:hint="eastAsia" w:ascii="宋体" w:hAnsi="宋体" w:cs="宋体"/>
                <w:highlight w:val="none"/>
              </w:rPr>
              <w:t>Ⅴ</w:t>
            </w:r>
            <w:r>
              <w:rPr>
                <w:rFonts w:hint="eastAsia" w:ascii="Times New Roman" w:hAnsi="Times New Roman" w:eastAsia="仿宋_GB2312" w:cs="仿宋_GB2312"/>
                <w:highlight w:val="none"/>
              </w:rPr>
              <w:t>类放射源或</w:t>
            </w:r>
            <w:r>
              <w:rPr>
                <w:rFonts w:hint="eastAsia" w:ascii="宋体" w:hAnsi="宋体" w:cs="宋体"/>
                <w:highlight w:val="none"/>
              </w:rPr>
              <w:t>Ⅲ</w:t>
            </w:r>
            <w:r>
              <w:rPr>
                <w:rFonts w:hint="eastAsia" w:ascii="Times New Roman" w:hAnsi="Times New Roman" w:eastAsia="仿宋_GB2312" w:cs="仿宋_GB2312"/>
                <w:highlight w:val="none"/>
              </w:rPr>
              <w:t>类射线装置的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仿宋_GB2312"/>
                <w:highlight w:val="none"/>
              </w:rPr>
            </w:pPr>
            <w:r>
              <w:rPr>
                <w:rFonts w:hint="eastAsia"/>
                <w:sz w:val="21"/>
                <w:szCs w:val="21"/>
                <w:highlight w:val="none"/>
              </w:rPr>
              <w:t>Ⅲ</w:t>
            </w:r>
            <w:r>
              <w:rPr>
                <w:rFonts w:hint="eastAsia" w:ascii="Times New Roman" w:hAnsi="Times New Roman" w:eastAsia="仿宋_GB2312" w:cs="仿宋_GB2312"/>
                <w:sz w:val="21"/>
                <w:szCs w:val="21"/>
                <w:highlight w:val="none"/>
              </w:rPr>
              <w:t>类放射源或</w:t>
            </w:r>
            <w:r>
              <w:rPr>
                <w:rFonts w:hint="eastAsia"/>
                <w:sz w:val="21"/>
                <w:szCs w:val="21"/>
                <w:highlight w:val="none"/>
              </w:rPr>
              <w:t>Ⅱ</w:t>
            </w:r>
            <w:r>
              <w:rPr>
                <w:rFonts w:hint="eastAsia" w:ascii="Times New Roman" w:hAnsi="Times New Roman" w:eastAsia="仿宋_GB2312" w:cs="仿宋_GB2312"/>
                <w:sz w:val="21"/>
                <w:szCs w:val="21"/>
                <w:highlight w:val="none"/>
              </w:rPr>
              <w:t>类射线装置的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仿宋_GB2312"/>
                <w:highlight w:val="none"/>
              </w:rPr>
            </w:pPr>
            <w:r>
              <w:rPr>
                <w:rFonts w:hint="eastAsia"/>
                <w:sz w:val="21"/>
                <w:szCs w:val="21"/>
                <w:highlight w:val="none"/>
              </w:rPr>
              <w:t>Ⅰ</w:t>
            </w:r>
            <w:r>
              <w:rPr>
                <w:rFonts w:hint="eastAsia" w:ascii="Times New Roman" w:hAnsi="Times New Roman" w:eastAsia="仿宋_GB2312" w:cs="仿宋_GB2312"/>
                <w:sz w:val="21"/>
                <w:szCs w:val="21"/>
                <w:highlight w:val="none"/>
              </w:rPr>
              <w:t>类、</w:t>
            </w:r>
            <w:r>
              <w:rPr>
                <w:rFonts w:hint="eastAsia"/>
                <w:sz w:val="21"/>
                <w:szCs w:val="21"/>
                <w:highlight w:val="none"/>
              </w:rPr>
              <w:t>Ⅱ</w:t>
            </w:r>
            <w:r>
              <w:rPr>
                <w:rFonts w:hint="eastAsia" w:ascii="Times New Roman" w:hAnsi="Times New Roman" w:eastAsia="仿宋_GB2312" w:cs="仿宋_GB2312"/>
                <w:sz w:val="21"/>
                <w:szCs w:val="21"/>
                <w:highlight w:val="none"/>
              </w:rPr>
              <w:t>类放射源或</w:t>
            </w:r>
            <w:r>
              <w:rPr>
                <w:rFonts w:hint="eastAsia"/>
                <w:sz w:val="21"/>
                <w:szCs w:val="21"/>
                <w:highlight w:val="none"/>
              </w:rPr>
              <w:t>Ⅰ</w:t>
            </w:r>
            <w:r>
              <w:rPr>
                <w:rFonts w:hint="eastAsia" w:ascii="Times New Roman" w:hAnsi="Times New Roman" w:eastAsia="仿宋_GB2312" w:cs="仿宋_GB2312"/>
                <w:sz w:val="21"/>
                <w:szCs w:val="21"/>
                <w:highlight w:val="none"/>
              </w:rPr>
              <w:t>类射线装置的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非密封放射性物质工作场所分类</w:t>
            </w:r>
          </w:p>
        </w:tc>
        <w:tc>
          <w:tcPr>
            <w:tcW w:w="5213" w:type="dxa"/>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color w:val="000000"/>
                <w:highlight w:val="none"/>
              </w:rPr>
              <w:t>丙级工作场所</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widowControl/>
              <w:snapToGrid w:val="0"/>
              <w:jc w:val="center"/>
              <w:rPr>
                <w:rFonts w:ascii="Times New Roman" w:hAnsi="Times New Roman" w:eastAsia="仿宋_GB2312" w:cs="仿宋_GB2312"/>
                <w:highlight w:val="none"/>
              </w:rPr>
            </w:pPr>
            <w:r>
              <w:rPr>
                <w:rFonts w:hint="eastAsia" w:ascii="Times New Roman" w:hAnsi="Times New Roman" w:eastAsia="仿宋_GB2312" w:cs="仿宋_GB2312"/>
                <w:color w:val="000000"/>
                <w:highlight w:val="none"/>
              </w:rPr>
              <w:t>乙级工作场所</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widowControl/>
              <w:snapToGrid w:val="0"/>
              <w:jc w:val="center"/>
              <w:rPr>
                <w:rFonts w:ascii="Times New Roman" w:hAnsi="Times New Roman" w:eastAsia="仿宋_GB2312" w:cs="仿宋_GB2312"/>
                <w:highlight w:val="none"/>
              </w:rPr>
            </w:pPr>
            <w:r>
              <w:rPr>
                <w:rFonts w:hint="eastAsia" w:ascii="Times New Roman" w:hAnsi="Times New Roman" w:eastAsia="仿宋_GB2312" w:cs="仿宋_GB2312"/>
                <w:color w:val="000000"/>
                <w:highlight w:val="none"/>
              </w:rPr>
              <w:t>甲级工作场所</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工作场所防护情况</w:t>
            </w: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有防护措施</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b/>
                <w:bCs/>
                <w:highlight w:val="none"/>
              </w:rPr>
            </w:pPr>
            <w:r>
              <w:rPr>
                <w:rFonts w:hint="eastAsia" w:ascii="Times New Roman" w:hAnsi="Times New Roman" w:eastAsia="仿宋_GB2312" w:cs="仿宋_GB2312"/>
                <w:highlight w:val="none"/>
              </w:rPr>
              <w:t>有防护措施但不完备</w:t>
            </w:r>
          </w:p>
        </w:tc>
        <w:tc>
          <w:tcPr>
            <w:tcW w:w="2689" w:type="dxa"/>
            <w:vAlign w:val="center"/>
          </w:tcPr>
          <w:p>
            <w:pPr>
              <w:snapToGrid w:val="0"/>
              <w:jc w:val="center"/>
              <w:rPr>
                <w:rFonts w:ascii="Times New Roman" w:hAnsi="Times New Roman" w:eastAsia="仿宋_GB2312" w:cs="Times New Roman"/>
                <w:b/>
                <w:bCs/>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b/>
                <w:bCs/>
                <w:highlight w:val="none"/>
              </w:rPr>
            </w:pPr>
            <w:r>
              <w:rPr>
                <w:rFonts w:hint="eastAsia" w:ascii="Times New Roman" w:hAnsi="Times New Roman" w:eastAsia="仿宋_GB2312" w:cs="仿宋_GB2312"/>
                <w:highlight w:val="none"/>
              </w:rPr>
              <w:t>无防护措施</w:t>
            </w:r>
          </w:p>
        </w:tc>
        <w:tc>
          <w:tcPr>
            <w:tcW w:w="2689" w:type="dxa"/>
            <w:vAlign w:val="center"/>
          </w:tcPr>
          <w:p>
            <w:pPr>
              <w:snapToGrid w:val="0"/>
              <w:jc w:val="center"/>
              <w:rPr>
                <w:rFonts w:ascii="Times New Roman" w:hAnsi="Times New Roman" w:eastAsia="仿宋_GB2312" w:cs="Times New Roman"/>
                <w:b/>
                <w:bCs/>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违法持续时间</w:t>
            </w: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个月以内的</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b/>
                <w:bCs/>
                <w:highlight w:val="none"/>
              </w:rPr>
            </w:pPr>
            <w:r>
              <w:rPr>
                <w:rFonts w:hint="eastAsia" w:ascii="Times New Roman" w:hAnsi="Times New Roman" w:eastAsia="仿宋_GB2312" w:cs="仿宋_GB2312"/>
                <w:color w:val="000000"/>
                <w:highlight w:val="none"/>
              </w:rPr>
              <w:t>超过</w:t>
            </w: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个月并且在</w:t>
            </w: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个月以内的</w:t>
            </w:r>
          </w:p>
        </w:tc>
        <w:tc>
          <w:tcPr>
            <w:tcW w:w="2689" w:type="dxa"/>
            <w:vAlign w:val="center"/>
          </w:tcPr>
          <w:p>
            <w:pPr>
              <w:snapToGrid w:val="0"/>
              <w:jc w:val="center"/>
              <w:rPr>
                <w:rFonts w:ascii="Times New Roman" w:hAnsi="Times New Roman" w:eastAsia="仿宋_GB2312" w:cs="Times New Roman"/>
                <w:b/>
                <w:bCs/>
                <w:highlight w:val="none"/>
              </w:rPr>
            </w:pPr>
            <w:r>
              <w:rPr>
                <w:rFonts w:ascii="Times New Roman" w:hAnsi="Times New Roman" w:eastAsia="仿宋_GB2312"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b/>
                <w:bCs/>
                <w:highlight w:val="none"/>
              </w:rPr>
            </w:pPr>
            <w:r>
              <w:rPr>
                <w:rFonts w:hint="eastAsia" w:ascii="Times New Roman" w:hAnsi="Times New Roman" w:eastAsia="仿宋_GB2312" w:cs="仿宋_GB2312"/>
                <w:color w:val="000000"/>
                <w:highlight w:val="none"/>
              </w:rPr>
              <w:t>超过</w:t>
            </w: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个月并且在</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年以内的</w:t>
            </w:r>
          </w:p>
        </w:tc>
        <w:tc>
          <w:tcPr>
            <w:tcW w:w="2689" w:type="dxa"/>
            <w:vAlign w:val="center"/>
          </w:tcPr>
          <w:p>
            <w:pPr>
              <w:snapToGrid w:val="0"/>
              <w:jc w:val="center"/>
              <w:rPr>
                <w:rFonts w:ascii="Times New Roman" w:hAnsi="Times New Roman" w:eastAsia="仿宋_GB2312" w:cs="Times New Roman"/>
                <w:b/>
                <w:bCs/>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b/>
                <w:bCs/>
                <w:highlight w:val="none"/>
              </w:rPr>
            </w:pPr>
            <w:r>
              <w:rPr>
                <w:rFonts w:hint="eastAsia" w:ascii="Times New Roman" w:hAnsi="Times New Roman" w:eastAsia="仿宋_GB2312" w:cs="仿宋_GB2312"/>
                <w:color w:val="000000"/>
                <w:highlight w:val="none"/>
              </w:rPr>
              <w:t>超过</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年并且在</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年以内的</w:t>
            </w:r>
          </w:p>
        </w:tc>
        <w:tc>
          <w:tcPr>
            <w:tcW w:w="2689" w:type="dxa"/>
            <w:vAlign w:val="center"/>
          </w:tcPr>
          <w:p>
            <w:pPr>
              <w:snapToGrid w:val="0"/>
              <w:jc w:val="center"/>
              <w:rPr>
                <w:rFonts w:ascii="Times New Roman" w:hAnsi="Times New Roman" w:eastAsia="仿宋_GB2312" w:cs="Times New Roman"/>
                <w:b/>
                <w:bCs/>
                <w:highlight w:val="none"/>
              </w:rPr>
            </w:pPr>
            <w:r>
              <w:rPr>
                <w:rFonts w:ascii="Times New Roman" w:hAnsi="Times New Roman" w:eastAsia="仿宋_GB2312"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b/>
                <w:bCs/>
                <w:highlight w:val="none"/>
              </w:rPr>
            </w:pP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年以上</w:t>
            </w:r>
          </w:p>
        </w:tc>
        <w:tc>
          <w:tcPr>
            <w:tcW w:w="2689" w:type="dxa"/>
            <w:vAlign w:val="center"/>
          </w:tcPr>
          <w:p>
            <w:pPr>
              <w:snapToGrid w:val="0"/>
              <w:jc w:val="center"/>
              <w:rPr>
                <w:rFonts w:ascii="Times New Roman" w:hAnsi="Times New Roman" w:eastAsia="仿宋_GB2312" w:cs="Times New Roman"/>
                <w:b/>
                <w:bCs/>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vAlign w:val="center"/>
          </w:tcPr>
          <w:p>
            <w:pPr>
              <w:snapToGrid w:val="0"/>
              <w:ind w:firstLine="420"/>
              <w:rPr>
                <w:rFonts w:ascii="Times New Roman" w:hAnsi="Times New Roman" w:eastAsia="仿宋_GB2312" w:cs="Times New Roman"/>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208" w:type="dxa"/>
            <w:gridSpan w:val="3"/>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tcPr>
          <w:p>
            <w:pPr>
              <w:pStyle w:val="11"/>
              <w:snapToGrid w:val="0"/>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生产、销售、使用放射性同位素和射线装置的单位许可证有效期届满，需要延续而未按照规定办理延续手续的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Pr>
          <w:p>
            <w:pPr>
              <w:pStyle w:val="11"/>
              <w:snapToGrid w:val="0"/>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《放射性同位素与射线装置安全和防护条例》第十三条</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许可证有效期为</w:t>
            </w:r>
            <w:r>
              <w:rPr>
                <w:rFonts w:ascii="Times New Roman" w:hAnsi="Times New Roman" w:eastAsia="仿宋_GB2312" w:cs="Times New Roman"/>
                <w:sz w:val="21"/>
                <w:szCs w:val="21"/>
                <w:highlight w:val="none"/>
              </w:rPr>
              <w:t>5</w:t>
            </w:r>
            <w:r>
              <w:rPr>
                <w:rFonts w:hint="eastAsia" w:ascii="Times New Roman" w:hAnsi="Times New Roman" w:eastAsia="仿宋_GB2312" w:cs="仿宋_GB2312"/>
                <w:sz w:val="21"/>
                <w:szCs w:val="21"/>
                <w:highlight w:val="none"/>
              </w:rPr>
              <w:t>年。有效期届满，需要延续的，持证单位应当于许可证有效期届满</w:t>
            </w:r>
            <w:r>
              <w:rPr>
                <w:rFonts w:ascii="Times New Roman" w:hAnsi="Times New Roman" w:eastAsia="仿宋_GB2312" w:cs="Times New Roman"/>
                <w:sz w:val="21"/>
                <w:szCs w:val="21"/>
                <w:highlight w:val="none"/>
              </w:rPr>
              <w:t>30</w:t>
            </w:r>
            <w:r>
              <w:rPr>
                <w:rFonts w:hint="eastAsia" w:ascii="Times New Roman" w:hAnsi="Times New Roman" w:eastAsia="仿宋_GB2312" w:cs="仿宋_GB2312"/>
                <w:sz w:val="21"/>
                <w:szCs w:val="21"/>
                <w:highlight w:val="none"/>
              </w:rPr>
              <w:t>日前，向原发证机关提出延续申请。原发证机关应当自受理延续申请之日起，在许可证有效期届满前完成审查，符合条件的，予以延续；不符合条件的，书面通知申请单位并说明理由。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Pr>
          <w:p>
            <w:pPr>
              <w:pStyle w:val="11"/>
              <w:snapToGrid w:val="0"/>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《放射性同位素与射线装置安全和防护条例》第五十二条第（四）项</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违反本条例规定，生产、销售、使用放射性同位素和射线装置的单位有下列行为之一的，由县级以上人民政府生态环境主管部门责令停止违法行为，限期改正；逾期不改正的，责令停产停业或者由原发证机关吊销许可证；有违法所得的，没收违法所得；违法所得</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万元以上的，并处违法所得</w:t>
            </w:r>
            <w:r>
              <w:rPr>
                <w:rFonts w:ascii="Times New Roman" w:hAnsi="Times New Roman" w:eastAsia="仿宋_GB2312" w:cs="Times New Roman"/>
                <w:sz w:val="21"/>
                <w:szCs w:val="21"/>
                <w:highlight w:val="none"/>
              </w:rPr>
              <w:t>1</w:t>
            </w:r>
            <w:r>
              <w:rPr>
                <w:rFonts w:hint="eastAsia" w:ascii="Times New Roman" w:hAnsi="Times New Roman" w:eastAsia="仿宋_GB2312" w:cs="仿宋_GB2312"/>
                <w:sz w:val="21"/>
                <w:szCs w:val="21"/>
                <w:highlight w:val="none"/>
              </w:rPr>
              <w:t>倍以上</w:t>
            </w:r>
            <w:r>
              <w:rPr>
                <w:rFonts w:ascii="Times New Roman" w:hAnsi="Times New Roman" w:eastAsia="仿宋_GB2312" w:cs="Times New Roman"/>
                <w:sz w:val="21"/>
                <w:szCs w:val="21"/>
                <w:highlight w:val="none"/>
              </w:rPr>
              <w:t>5</w:t>
            </w:r>
            <w:r>
              <w:rPr>
                <w:rFonts w:hint="eastAsia" w:ascii="Times New Roman" w:hAnsi="Times New Roman" w:eastAsia="仿宋_GB2312" w:cs="仿宋_GB2312"/>
                <w:sz w:val="21"/>
                <w:szCs w:val="21"/>
                <w:highlight w:val="none"/>
              </w:rPr>
              <w:t>倍以下的罚款；没有违法所得或者违法所得不足</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万元的，并处</w:t>
            </w:r>
            <w:r>
              <w:rPr>
                <w:rFonts w:ascii="Times New Roman" w:hAnsi="Times New Roman" w:eastAsia="仿宋_GB2312" w:cs="Times New Roman"/>
                <w:sz w:val="21"/>
                <w:szCs w:val="21"/>
                <w:highlight w:val="none"/>
              </w:rPr>
              <w:t>1</w:t>
            </w:r>
            <w:r>
              <w:rPr>
                <w:rFonts w:hint="eastAsia" w:ascii="Times New Roman" w:hAnsi="Times New Roman" w:eastAsia="仿宋_GB2312" w:cs="仿宋_GB2312"/>
                <w:sz w:val="21"/>
                <w:szCs w:val="21"/>
                <w:highlight w:val="none"/>
              </w:rPr>
              <w:t>万元以上</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万元以下的罚款：</w:t>
            </w:r>
          </w:p>
          <w:p>
            <w:pPr>
              <w:pStyle w:val="11"/>
              <w:snapToGrid w:val="0"/>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（四）许可证有效期届满，需要延续而未按照规定办理延续手续的。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8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违法所得不足</w:t>
            </w:r>
            <w:r>
              <w:rPr>
                <w:rFonts w:ascii="Times New Roman" w:hAnsi="Times New Roman" w:cs="Times New Roman"/>
                <w:b/>
                <w:bCs/>
                <w:highlight w:val="none"/>
              </w:rPr>
              <w:t>10</w:t>
            </w:r>
            <w:r>
              <w:rPr>
                <w:rFonts w:hint="eastAsia" w:ascii="Times New Roman" w:hAnsi="Times New Roman" w:cs="宋体"/>
                <w:b/>
                <w:bCs/>
                <w:highlight w:val="none"/>
              </w:rPr>
              <w:t>万元</w:t>
            </w:r>
            <w:r>
              <w:rPr>
                <w:rFonts w:hint="eastAsia" w:ascii="Times New Roman" w:hAnsi="Times New Roman" w:cs="宋体"/>
                <w:b/>
                <w:bCs/>
                <w:color w:val="000000"/>
                <w:highlight w:val="none"/>
              </w:rPr>
              <w:t>★</w:t>
            </w:r>
          </w:p>
        </w:tc>
        <w:tc>
          <w:tcPr>
            <w:tcW w:w="5213" w:type="dxa"/>
            <w:vAlign w:val="center"/>
          </w:tcPr>
          <w:p>
            <w:pPr>
              <w:widowControl/>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无违法所得</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违法所得不足</w:t>
            </w:r>
            <w:r>
              <w:rPr>
                <w:rFonts w:ascii="Times New Roman" w:hAnsi="Times New Roman" w:eastAsia="仿宋_GB2312" w:cs="Times New Roman"/>
                <w:kern w:val="0"/>
                <w:highlight w:val="none"/>
              </w:rPr>
              <w:t>5</w:t>
            </w:r>
            <w:r>
              <w:rPr>
                <w:rFonts w:hint="eastAsia" w:ascii="Times New Roman" w:hAnsi="Times New Roman" w:eastAsia="仿宋_GB2312" w:cs="仿宋_GB2312"/>
                <w:kern w:val="0"/>
                <w:highlight w:val="none"/>
              </w:rPr>
              <w:t>万元</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违法所得</w:t>
            </w:r>
            <w:r>
              <w:rPr>
                <w:rFonts w:ascii="Times New Roman" w:hAnsi="Times New Roman" w:eastAsia="仿宋_GB2312" w:cs="Times New Roman"/>
                <w:kern w:val="0"/>
                <w:highlight w:val="none"/>
              </w:rPr>
              <w:t>5-10</w:t>
            </w:r>
            <w:r>
              <w:rPr>
                <w:rFonts w:hint="eastAsia" w:ascii="Times New Roman" w:hAnsi="Times New Roman" w:eastAsia="仿宋_GB2312" w:cs="仿宋_GB2312"/>
                <w:kern w:val="0"/>
                <w:highlight w:val="none"/>
              </w:rPr>
              <w:t>万元</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违法所得</w:t>
            </w:r>
            <w:r>
              <w:rPr>
                <w:rFonts w:ascii="Times New Roman" w:hAnsi="Times New Roman" w:cs="Times New Roman"/>
                <w:b/>
                <w:bCs/>
                <w:highlight w:val="none"/>
              </w:rPr>
              <w:t>10</w:t>
            </w:r>
            <w:r>
              <w:rPr>
                <w:rFonts w:hint="eastAsia" w:ascii="Times New Roman" w:hAnsi="Times New Roman" w:cs="宋体"/>
                <w:b/>
                <w:bCs/>
                <w:highlight w:val="none"/>
              </w:rPr>
              <w:t>万元以上</w:t>
            </w:r>
            <w:r>
              <w:rPr>
                <w:rFonts w:hint="eastAsia" w:ascii="Times New Roman" w:hAnsi="Times New Roman" w:cs="宋体"/>
                <w:b/>
                <w:bCs/>
                <w:color w:val="000000"/>
                <w:highlight w:val="none"/>
              </w:rPr>
              <w:t>★</w:t>
            </w:r>
          </w:p>
        </w:tc>
        <w:tc>
          <w:tcPr>
            <w:tcW w:w="5213" w:type="dxa"/>
            <w:vAlign w:val="center"/>
          </w:tcPr>
          <w:p>
            <w:pPr>
              <w:widowControl/>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违法所得</w:t>
            </w:r>
            <w:r>
              <w:rPr>
                <w:rFonts w:ascii="Times New Roman" w:hAnsi="Times New Roman" w:eastAsia="仿宋_GB2312" w:cs="Times New Roman"/>
                <w:kern w:val="0"/>
                <w:highlight w:val="none"/>
              </w:rPr>
              <w:t>10-20</w:t>
            </w:r>
            <w:r>
              <w:rPr>
                <w:rFonts w:hint="eastAsia" w:ascii="Times New Roman" w:hAnsi="Times New Roman" w:eastAsia="仿宋_GB2312" w:cs="仿宋_GB2312"/>
                <w:kern w:val="0"/>
                <w:highlight w:val="none"/>
              </w:rPr>
              <w:t>万元</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违法所得</w:t>
            </w:r>
            <w:r>
              <w:rPr>
                <w:rFonts w:ascii="Times New Roman" w:hAnsi="Times New Roman" w:eastAsia="仿宋_GB2312" w:cs="Times New Roman"/>
                <w:kern w:val="0"/>
                <w:highlight w:val="none"/>
              </w:rPr>
              <w:t>20-40</w:t>
            </w:r>
            <w:r>
              <w:rPr>
                <w:rFonts w:hint="eastAsia" w:ascii="Times New Roman" w:hAnsi="Times New Roman" w:eastAsia="仿宋_GB2312" w:cs="仿宋_GB2312"/>
                <w:kern w:val="0"/>
                <w:highlight w:val="none"/>
              </w:rPr>
              <w:t>万元</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违法所得</w:t>
            </w:r>
            <w:r>
              <w:rPr>
                <w:rFonts w:ascii="Times New Roman" w:hAnsi="Times New Roman" w:eastAsia="仿宋_GB2312" w:cs="Times New Roman"/>
                <w:highlight w:val="none"/>
              </w:rPr>
              <w:t>40</w:t>
            </w:r>
            <w:r>
              <w:rPr>
                <w:rFonts w:hint="eastAsia" w:ascii="Times New Roman" w:hAnsi="Times New Roman" w:eastAsia="仿宋_GB2312" w:cs="仿宋_GB2312"/>
                <w:highlight w:val="none"/>
              </w:rPr>
              <w:t>万元以上</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涉及放射</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类型</w:t>
            </w:r>
          </w:p>
        </w:tc>
        <w:tc>
          <w:tcPr>
            <w:tcW w:w="5213" w:type="dxa"/>
            <w:vAlign w:val="center"/>
          </w:tcPr>
          <w:p>
            <w:pPr>
              <w:snapToGrid w:val="0"/>
              <w:jc w:val="center"/>
              <w:rPr>
                <w:rFonts w:ascii="Times New Roman" w:hAnsi="Times New Roman" w:eastAsia="仿宋_GB2312" w:cs="仿宋_GB2312"/>
                <w:highlight w:val="none"/>
              </w:rPr>
            </w:pPr>
            <w:r>
              <w:rPr>
                <w:rFonts w:hint="eastAsia" w:ascii="宋体" w:hAnsi="宋体" w:cs="宋体"/>
                <w:highlight w:val="none"/>
              </w:rPr>
              <w:t>Ⅳ</w:t>
            </w:r>
            <w:r>
              <w:rPr>
                <w:rFonts w:hint="eastAsia" w:ascii="Times New Roman" w:hAnsi="Times New Roman" w:eastAsia="仿宋_GB2312" w:cs="仿宋_GB2312"/>
                <w:highlight w:val="none"/>
              </w:rPr>
              <w:t>类、</w:t>
            </w:r>
            <w:r>
              <w:rPr>
                <w:rFonts w:hint="eastAsia" w:ascii="宋体" w:hAnsi="宋体" w:cs="宋体"/>
                <w:highlight w:val="none"/>
              </w:rPr>
              <w:t>Ⅴ</w:t>
            </w:r>
            <w:r>
              <w:rPr>
                <w:rFonts w:hint="eastAsia" w:ascii="Times New Roman" w:hAnsi="Times New Roman" w:eastAsia="仿宋_GB2312" w:cs="仿宋_GB2312"/>
                <w:highlight w:val="none"/>
              </w:rPr>
              <w:t>类放射源或</w:t>
            </w:r>
            <w:r>
              <w:rPr>
                <w:rFonts w:hint="eastAsia" w:ascii="宋体" w:hAnsi="宋体" w:cs="宋体"/>
                <w:highlight w:val="none"/>
              </w:rPr>
              <w:t>Ⅲ</w:t>
            </w:r>
            <w:r>
              <w:rPr>
                <w:rFonts w:hint="eastAsia" w:ascii="Times New Roman" w:hAnsi="Times New Roman" w:eastAsia="仿宋_GB2312" w:cs="仿宋_GB2312"/>
                <w:highlight w:val="none"/>
              </w:rPr>
              <w:t>类射线装置的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仿宋_GB2312"/>
                <w:highlight w:val="none"/>
              </w:rPr>
            </w:pPr>
            <w:r>
              <w:rPr>
                <w:rFonts w:hint="eastAsia"/>
                <w:sz w:val="21"/>
                <w:szCs w:val="21"/>
                <w:highlight w:val="none"/>
              </w:rPr>
              <w:t>Ⅲ</w:t>
            </w:r>
            <w:r>
              <w:rPr>
                <w:rFonts w:hint="eastAsia" w:ascii="Times New Roman" w:hAnsi="Times New Roman" w:eastAsia="仿宋_GB2312" w:cs="仿宋_GB2312"/>
                <w:sz w:val="21"/>
                <w:szCs w:val="21"/>
                <w:highlight w:val="none"/>
              </w:rPr>
              <w:t>类放射源或</w:t>
            </w:r>
            <w:r>
              <w:rPr>
                <w:rFonts w:hint="eastAsia"/>
                <w:sz w:val="21"/>
                <w:szCs w:val="21"/>
                <w:highlight w:val="none"/>
              </w:rPr>
              <w:t>Ⅱ</w:t>
            </w:r>
            <w:r>
              <w:rPr>
                <w:rFonts w:hint="eastAsia" w:ascii="Times New Roman" w:hAnsi="Times New Roman" w:eastAsia="仿宋_GB2312" w:cs="仿宋_GB2312"/>
                <w:sz w:val="21"/>
                <w:szCs w:val="21"/>
                <w:highlight w:val="none"/>
              </w:rPr>
              <w:t>类射线装置的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仿宋_GB2312"/>
                <w:highlight w:val="none"/>
              </w:rPr>
            </w:pPr>
            <w:r>
              <w:rPr>
                <w:rFonts w:hint="eastAsia"/>
                <w:sz w:val="21"/>
                <w:szCs w:val="21"/>
                <w:highlight w:val="none"/>
              </w:rPr>
              <w:t>Ⅰ</w:t>
            </w:r>
            <w:r>
              <w:rPr>
                <w:rFonts w:hint="eastAsia" w:ascii="Times New Roman" w:hAnsi="Times New Roman" w:eastAsia="仿宋_GB2312" w:cs="仿宋_GB2312"/>
                <w:sz w:val="21"/>
                <w:szCs w:val="21"/>
                <w:highlight w:val="none"/>
              </w:rPr>
              <w:t>类、</w:t>
            </w:r>
            <w:r>
              <w:rPr>
                <w:rFonts w:hint="eastAsia"/>
                <w:sz w:val="21"/>
                <w:szCs w:val="21"/>
                <w:highlight w:val="none"/>
              </w:rPr>
              <w:t>Ⅱ</w:t>
            </w:r>
            <w:r>
              <w:rPr>
                <w:rFonts w:hint="eastAsia" w:ascii="Times New Roman" w:hAnsi="Times New Roman" w:eastAsia="仿宋_GB2312" w:cs="仿宋_GB2312"/>
                <w:sz w:val="21"/>
                <w:szCs w:val="21"/>
                <w:highlight w:val="none"/>
              </w:rPr>
              <w:t>类放射源或</w:t>
            </w:r>
            <w:r>
              <w:rPr>
                <w:rFonts w:hint="eastAsia"/>
                <w:sz w:val="21"/>
                <w:szCs w:val="21"/>
                <w:highlight w:val="none"/>
              </w:rPr>
              <w:t>Ⅰ</w:t>
            </w:r>
            <w:r>
              <w:rPr>
                <w:rFonts w:hint="eastAsia" w:ascii="Times New Roman" w:hAnsi="Times New Roman" w:eastAsia="仿宋_GB2312" w:cs="仿宋_GB2312"/>
                <w:sz w:val="21"/>
                <w:szCs w:val="21"/>
                <w:highlight w:val="none"/>
              </w:rPr>
              <w:t>类射线装置的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非密封放射性物质工作场所分类</w:t>
            </w:r>
          </w:p>
        </w:tc>
        <w:tc>
          <w:tcPr>
            <w:tcW w:w="5213" w:type="dxa"/>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color w:val="000000"/>
                <w:highlight w:val="none"/>
              </w:rPr>
              <w:t>丙级工作场所</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widowControl/>
              <w:snapToGrid w:val="0"/>
              <w:jc w:val="center"/>
              <w:rPr>
                <w:rFonts w:ascii="Times New Roman" w:hAnsi="Times New Roman" w:eastAsia="仿宋_GB2312" w:cs="仿宋_GB2312"/>
                <w:highlight w:val="none"/>
              </w:rPr>
            </w:pPr>
            <w:r>
              <w:rPr>
                <w:rFonts w:hint="eastAsia" w:ascii="Times New Roman" w:hAnsi="Times New Roman" w:eastAsia="仿宋_GB2312" w:cs="仿宋_GB2312"/>
                <w:color w:val="000000"/>
                <w:highlight w:val="none"/>
              </w:rPr>
              <w:t>乙级工作场所</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widowControl/>
              <w:snapToGrid w:val="0"/>
              <w:jc w:val="center"/>
              <w:rPr>
                <w:rFonts w:ascii="Times New Roman" w:hAnsi="Times New Roman" w:eastAsia="仿宋_GB2312" w:cs="仿宋_GB2312"/>
                <w:highlight w:val="none"/>
              </w:rPr>
            </w:pPr>
            <w:r>
              <w:rPr>
                <w:rFonts w:hint="eastAsia" w:ascii="Times New Roman" w:hAnsi="Times New Roman" w:eastAsia="仿宋_GB2312" w:cs="仿宋_GB2312"/>
                <w:color w:val="000000"/>
                <w:highlight w:val="none"/>
              </w:rPr>
              <w:t>甲级工作场所</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工作场所</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防护情况</w:t>
            </w: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有防护措施</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有防护措施但不完备</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无防护措施</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违法持续时间</w:t>
            </w: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个月以内的</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超过</w:t>
            </w: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个月并且在</w:t>
            </w: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个月以内的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超过</w:t>
            </w: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个月并且在</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年以内的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超过</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年并且在</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年以内的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年以上</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vAlign w:val="center"/>
          </w:tcPr>
          <w:p>
            <w:pPr>
              <w:snapToGrid w:val="0"/>
              <w:ind w:firstLine="420"/>
              <w:rPr>
                <w:rFonts w:ascii="Times New Roman" w:hAnsi="Times New Roman" w:cs="Times New Roman"/>
                <w:highlight w:val="none"/>
              </w:rPr>
            </w:pPr>
            <w:r>
              <w:rPr>
                <w:rFonts w:hint="eastAsia" w:ascii="Times New Roman" w:hAnsi="Times New Roman" w:eastAsia="仿宋_GB2312" w:cs="仿宋_GB2312"/>
                <w:color w:val="000000"/>
                <w:highlight w:val="none"/>
              </w:rPr>
              <w:t>对于</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违法所得</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万元以上</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的情形，法定处罚金额上限</w:t>
            </w:r>
            <w:r>
              <w:rPr>
                <w:rFonts w:ascii="Times New Roman" w:hAnsi="Times New Roman" w:eastAsia="仿宋_GB2312" w:cs="Times New Roman"/>
                <w:color w:val="000000"/>
                <w:highlight w:val="none"/>
              </w:rPr>
              <w:t>M=</w:t>
            </w:r>
            <w:r>
              <w:rPr>
                <w:rFonts w:hint="eastAsia" w:ascii="Times New Roman" w:hAnsi="Times New Roman" w:eastAsia="仿宋_GB2312" w:cs="仿宋_GB2312"/>
                <w:color w:val="000000"/>
                <w:highlight w:val="none"/>
              </w:rPr>
              <w:t>违法所得</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，法定处罚金额下限</w:t>
            </w:r>
            <w:r>
              <w:rPr>
                <w:rFonts w:ascii="Times New Roman" w:hAnsi="Times New Roman" w:eastAsia="仿宋_GB2312" w:cs="Times New Roman"/>
                <w:color w:val="000000"/>
                <w:highlight w:val="none"/>
              </w:rPr>
              <w:t>N=</w:t>
            </w:r>
            <w:r>
              <w:rPr>
                <w:rFonts w:hint="eastAsia" w:ascii="Times New Roman" w:hAnsi="Times New Roman" w:eastAsia="仿宋_GB2312" w:cs="仿宋_GB2312"/>
                <w:color w:val="000000"/>
                <w:highlight w:val="none"/>
              </w:rPr>
              <w:t>违法所得</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w:t>
            </w: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tcPr>
          <w:p>
            <w:pPr>
              <w:pStyle w:val="11"/>
              <w:snapToGrid w:val="0"/>
              <w:spacing w:before="62" w:beforeLines="20"/>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生产、销售、使用放射性同位素和射线装置的单位未经批准，擅自进口或者转让放射性同位素的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Pr>
          <w:p>
            <w:pPr>
              <w:pStyle w:val="11"/>
              <w:snapToGrid w:val="0"/>
              <w:ind w:firstLine="420"/>
              <w:rPr>
                <w:rFonts w:ascii="Times New Roman" w:hAnsi="Times New Roman" w:eastAsia="仿宋_GB2312" w:cs="仿宋_GB2312"/>
                <w:sz w:val="21"/>
                <w:szCs w:val="21"/>
                <w:highlight w:val="none"/>
              </w:rPr>
            </w:pPr>
            <w:r>
              <w:rPr>
                <w:rFonts w:hint="eastAsia" w:ascii="Times New Roman" w:hAnsi="Times New Roman" w:eastAsia="仿宋_GB2312" w:cs="仿宋_GB2312"/>
                <w:b/>
                <w:bCs/>
                <w:sz w:val="21"/>
                <w:szCs w:val="21"/>
                <w:highlight w:val="none"/>
              </w:rPr>
              <w:t>《放射性同位素与射线装置安全和防护条例》第五条</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生产、销售、使用放射性同位素和射线装置的单位，应当依照本章规定取得许可证。</w:t>
            </w:r>
          </w:p>
          <w:p>
            <w:pPr>
              <w:pStyle w:val="11"/>
              <w:snapToGrid w:val="0"/>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 xml:space="preserve">第二十条  </w:t>
            </w:r>
            <w:r>
              <w:rPr>
                <w:rFonts w:hint="eastAsia" w:ascii="Times New Roman" w:hAnsi="Times New Roman" w:eastAsia="仿宋_GB2312" w:cs="仿宋_GB2312"/>
                <w:bCs/>
                <w:sz w:val="21"/>
                <w:szCs w:val="21"/>
                <w:highlight w:val="none"/>
              </w:rPr>
              <w:t>转让放射性同位素，由转入单位向其所在地省、自治区、直辖市人民政府生态环境主管部门提出申请，并提交符合本条例第十九条规定要求的证明材料。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Pr>
          <w:p>
            <w:pPr>
              <w:pStyle w:val="11"/>
              <w:snapToGrid w:val="0"/>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《放射性同位素与射线装置安全和防护条例》第五十二条第（五）项</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违反本条例规定，生产、销售、使用放射性同位素和射线装置的单位有下列行为之一的，由县级以上人民政府生态环境主管部门责令停止违法行为，限期改正；逾期不改正的，责令停产停业或者由原发证机关吊销许可证；有违法所得的，没收违法所得；违法所得</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万元以上的，并处违法所得</w:t>
            </w:r>
            <w:r>
              <w:rPr>
                <w:rFonts w:ascii="Times New Roman" w:hAnsi="Times New Roman" w:eastAsia="仿宋_GB2312" w:cs="Times New Roman"/>
                <w:sz w:val="21"/>
                <w:szCs w:val="21"/>
                <w:highlight w:val="none"/>
              </w:rPr>
              <w:t>1</w:t>
            </w:r>
            <w:r>
              <w:rPr>
                <w:rFonts w:hint="eastAsia" w:ascii="Times New Roman" w:hAnsi="Times New Roman" w:eastAsia="仿宋_GB2312" w:cs="仿宋_GB2312"/>
                <w:sz w:val="21"/>
                <w:szCs w:val="21"/>
                <w:highlight w:val="none"/>
              </w:rPr>
              <w:t>倍以上</w:t>
            </w:r>
            <w:r>
              <w:rPr>
                <w:rFonts w:ascii="Times New Roman" w:hAnsi="Times New Roman" w:eastAsia="仿宋_GB2312" w:cs="Times New Roman"/>
                <w:sz w:val="21"/>
                <w:szCs w:val="21"/>
                <w:highlight w:val="none"/>
              </w:rPr>
              <w:t>5</w:t>
            </w:r>
            <w:r>
              <w:rPr>
                <w:rFonts w:hint="eastAsia" w:ascii="Times New Roman" w:hAnsi="Times New Roman" w:eastAsia="仿宋_GB2312" w:cs="仿宋_GB2312"/>
                <w:sz w:val="21"/>
                <w:szCs w:val="21"/>
                <w:highlight w:val="none"/>
              </w:rPr>
              <w:t>倍以下的罚款；没有违法所得或者违法所得不足</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万元的，并处</w:t>
            </w:r>
            <w:r>
              <w:rPr>
                <w:rFonts w:ascii="Times New Roman" w:hAnsi="Times New Roman" w:eastAsia="仿宋_GB2312" w:cs="Times New Roman"/>
                <w:sz w:val="21"/>
                <w:szCs w:val="21"/>
                <w:highlight w:val="none"/>
              </w:rPr>
              <w:t>1</w:t>
            </w:r>
            <w:r>
              <w:rPr>
                <w:rFonts w:hint="eastAsia" w:ascii="Times New Roman" w:hAnsi="Times New Roman" w:eastAsia="仿宋_GB2312" w:cs="仿宋_GB2312"/>
                <w:sz w:val="21"/>
                <w:szCs w:val="21"/>
                <w:highlight w:val="none"/>
              </w:rPr>
              <w:t>万元以上</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万元以下的罚款：</w:t>
            </w:r>
          </w:p>
          <w:p>
            <w:pPr>
              <w:pStyle w:val="11"/>
              <w:snapToGrid w:val="0"/>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（五）未经批准，擅自进口或者转让放射性同位素的。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8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违法所得不足</w:t>
            </w:r>
            <w:r>
              <w:rPr>
                <w:rFonts w:ascii="Times New Roman" w:hAnsi="Times New Roman" w:cs="Times New Roman"/>
                <w:b/>
                <w:bCs/>
                <w:highlight w:val="none"/>
              </w:rPr>
              <w:t>10</w:t>
            </w:r>
            <w:r>
              <w:rPr>
                <w:rFonts w:hint="eastAsia" w:ascii="Times New Roman" w:hAnsi="Times New Roman" w:cs="宋体"/>
                <w:b/>
                <w:bCs/>
                <w:highlight w:val="none"/>
              </w:rPr>
              <w:t>万元</w:t>
            </w:r>
            <w:r>
              <w:rPr>
                <w:rFonts w:hint="eastAsia" w:ascii="Times New Roman" w:hAnsi="Times New Roman" w:cs="宋体"/>
                <w:b/>
                <w:bCs/>
                <w:color w:val="000000"/>
                <w:highlight w:val="none"/>
              </w:rPr>
              <w:t>★</w:t>
            </w:r>
          </w:p>
        </w:tc>
        <w:tc>
          <w:tcPr>
            <w:tcW w:w="5213" w:type="dxa"/>
            <w:vAlign w:val="center"/>
          </w:tcPr>
          <w:p>
            <w:pPr>
              <w:widowControl/>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无违法所得</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违法所得不足</w:t>
            </w:r>
            <w:r>
              <w:rPr>
                <w:rFonts w:ascii="Times New Roman" w:hAnsi="Times New Roman" w:eastAsia="仿宋_GB2312" w:cs="Times New Roman"/>
                <w:kern w:val="0"/>
                <w:highlight w:val="none"/>
              </w:rPr>
              <w:t>5</w:t>
            </w:r>
            <w:r>
              <w:rPr>
                <w:rFonts w:hint="eastAsia" w:ascii="Times New Roman" w:hAnsi="Times New Roman" w:eastAsia="仿宋_GB2312" w:cs="仿宋_GB2312"/>
                <w:kern w:val="0"/>
                <w:highlight w:val="none"/>
              </w:rPr>
              <w:t>万元</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违法所得</w:t>
            </w:r>
            <w:r>
              <w:rPr>
                <w:rFonts w:ascii="Times New Roman" w:hAnsi="Times New Roman" w:eastAsia="仿宋_GB2312" w:cs="Times New Roman"/>
                <w:kern w:val="0"/>
                <w:highlight w:val="none"/>
              </w:rPr>
              <w:t>5-10</w:t>
            </w:r>
            <w:r>
              <w:rPr>
                <w:rFonts w:hint="eastAsia" w:ascii="Times New Roman" w:hAnsi="Times New Roman" w:eastAsia="仿宋_GB2312" w:cs="仿宋_GB2312"/>
                <w:kern w:val="0"/>
                <w:highlight w:val="none"/>
              </w:rPr>
              <w:t>万元</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违法所得</w:t>
            </w:r>
            <w:r>
              <w:rPr>
                <w:rFonts w:ascii="Times New Roman" w:hAnsi="Times New Roman" w:cs="Times New Roman"/>
                <w:b/>
                <w:bCs/>
                <w:highlight w:val="none"/>
              </w:rPr>
              <w:t>10</w:t>
            </w:r>
            <w:r>
              <w:rPr>
                <w:rFonts w:hint="eastAsia" w:ascii="Times New Roman" w:hAnsi="Times New Roman" w:cs="宋体"/>
                <w:b/>
                <w:bCs/>
                <w:highlight w:val="none"/>
              </w:rPr>
              <w:t>万元以上</w:t>
            </w:r>
            <w:r>
              <w:rPr>
                <w:rFonts w:hint="eastAsia" w:ascii="Times New Roman" w:hAnsi="Times New Roman" w:cs="宋体"/>
                <w:b/>
                <w:bCs/>
                <w:color w:val="000000"/>
                <w:highlight w:val="none"/>
              </w:rPr>
              <w:t>★</w:t>
            </w:r>
          </w:p>
        </w:tc>
        <w:tc>
          <w:tcPr>
            <w:tcW w:w="5213" w:type="dxa"/>
            <w:vAlign w:val="center"/>
          </w:tcPr>
          <w:p>
            <w:pPr>
              <w:widowControl/>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违法所得</w:t>
            </w:r>
            <w:r>
              <w:rPr>
                <w:rFonts w:ascii="Times New Roman" w:hAnsi="Times New Roman" w:eastAsia="仿宋_GB2312" w:cs="Times New Roman"/>
                <w:kern w:val="0"/>
                <w:highlight w:val="none"/>
              </w:rPr>
              <w:t>10-20</w:t>
            </w:r>
            <w:r>
              <w:rPr>
                <w:rFonts w:hint="eastAsia" w:ascii="Times New Roman" w:hAnsi="Times New Roman" w:eastAsia="仿宋_GB2312" w:cs="仿宋_GB2312"/>
                <w:kern w:val="0"/>
                <w:highlight w:val="none"/>
              </w:rPr>
              <w:t>万元</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违法所得</w:t>
            </w:r>
            <w:r>
              <w:rPr>
                <w:rFonts w:ascii="Times New Roman" w:hAnsi="Times New Roman" w:eastAsia="仿宋_GB2312" w:cs="Times New Roman"/>
                <w:kern w:val="0"/>
                <w:highlight w:val="none"/>
              </w:rPr>
              <w:t>20-40</w:t>
            </w:r>
            <w:r>
              <w:rPr>
                <w:rFonts w:hint="eastAsia" w:ascii="Times New Roman" w:hAnsi="Times New Roman" w:eastAsia="仿宋_GB2312" w:cs="仿宋_GB2312"/>
                <w:kern w:val="0"/>
                <w:highlight w:val="none"/>
              </w:rPr>
              <w:t>万元</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违法所得</w:t>
            </w:r>
            <w:r>
              <w:rPr>
                <w:rFonts w:ascii="Times New Roman" w:hAnsi="Times New Roman" w:eastAsia="仿宋_GB2312" w:cs="Times New Roman"/>
                <w:highlight w:val="none"/>
              </w:rPr>
              <w:t>40</w:t>
            </w:r>
            <w:r>
              <w:rPr>
                <w:rFonts w:hint="eastAsia" w:ascii="Times New Roman" w:hAnsi="Times New Roman" w:eastAsia="仿宋_GB2312" w:cs="仿宋_GB2312"/>
                <w:highlight w:val="none"/>
              </w:rPr>
              <w:t>万元以上</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涉及放射</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类型</w:t>
            </w:r>
          </w:p>
        </w:tc>
        <w:tc>
          <w:tcPr>
            <w:tcW w:w="5213" w:type="dxa"/>
            <w:vAlign w:val="center"/>
          </w:tcPr>
          <w:p>
            <w:pPr>
              <w:snapToGrid w:val="0"/>
              <w:jc w:val="center"/>
              <w:rPr>
                <w:rFonts w:ascii="Times New Roman" w:hAnsi="Times New Roman" w:eastAsia="仿宋_GB2312" w:cs="仿宋_GB2312"/>
                <w:highlight w:val="none"/>
              </w:rPr>
            </w:pPr>
            <w:r>
              <w:rPr>
                <w:rFonts w:hint="eastAsia" w:ascii="宋体" w:hAnsi="宋体" w:cs="宋体"/>
                <w:highlight w:val="none"/>
              </w:rPr>
              <w:t>Ⅳ</w:t>
            </w:r>
            <w:r>
              <w:rPr>
                <w:rFonts w:hint="eastAsia" w:ascii="Times New Roman" w:hAnsi="Times New Roman" w:eastAsia="仿宋_GB2312" w:cs="仿宋_GB2312"/>
                <w:highlight w:val="none"/>
              </w:rPr>
              <w:t>类、</w:t>
            </w:r>
            <w:r>
              <w:rPr>
                <w:rFonts w:hint="eastAsia" w:ascii="宋体" w:hAnsi="宋体" w:cs="宋体"/>
                <w:highlight w:val="none"/>
              </w:rPr>
              <w:t>Ⅴ</w:t>
            </w:r>
            <w:r>
              <w:rPr>
                <w:rFonts w:hint="eastAsia" w:ascii="Times New Roman" w:hAnsi="Times New Roman" w:eastAsia="仿宋_GB2312" w:cs="仿宋_GB2312"/>
                <w:highlight w:val="none"/>
              </w:rPr>
              <w:t>类放射源或</w:t>
            </w:r>
            <w:r>
              <w:rPr>
                <w:rFonts w:hint="eastAsia" w:ascii="宋体" w:hAnsi="宋体" w:cs="宋体"/>
                <w:highlight w:val="none"/>
              </w:rPr>
              <w:t>Ⅲ</w:t>
            </w:r>
            <w:r>
              <w:rPr>
                <w:rFonts w:hint="eastAsia" w:ascii="Times New Roman" w:hAnsi="Times New Roman" w:eastAsia="仿宋_GB2312" w:cs="仿宋_GB2312"/>
                <w:highlight w:val="none"/>
              </w:rPr>
              <w:t>类射线装置的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仿宋_GB2312"/>
                <w:highlight w:val="none"/>
              </w:rPr>
            </w:pPr>
            <w:r>
              <w:rPr>
                <w:rFonts w:hint="eastAsia"/>
                <w:sz w:val="21"/>
                <w:szCs w:val="21"/>
                <w:highlight w:val="none"/>
              </w:rPr>
              <w:t>Ⅲ</w:t>
            </w:r>
            <w:r>
              <w:rPr>
                <w:rFonts w:hint="eastAsia" w:ascii="Times New Roman" w:hAnsi="Times New Roman" w:eastAsia="仿宋_GB2312" w:cs="仿宋_GB2312"/>
                <w:sz w:val="21"/>
                <w:szCs w:val="21"/>
                <w:highlight w:val="none"/>
              </w:rPr>
              <w:t>类放射源或</w:t>
            </w:r>
            <w:r>
              <w:rPr>
                <w:rFonts w:hint="eastAsia"/>
                <w:sz w:val="21"/>
                <w:szCs w:val="21"/>
                <w:highlight w:val="none"/>
              </w:rPr>
              <w:t>Ⅱ</w:t>
            </w:r>
            <w:r>
              <w:rPr>
                <w:rFonts w:hint="eastAsia" w:ascii="Times New Roman" w:hAnsi="Times New Roman" w:eastAsia="仿宋_GB2312" w:cs="仿宋_GB2312"/>
                <w:sz w:val="21"/>
                <w:szCs w:val="21"/>
                <w:highlight w:val="none"/>
              </w:rPr>
              <w:t>类射线装置的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仿宋_GB2312"/>
                <w:highlight w:val="none"/>
              </w:rPr>
            </w:pPr>
            <w:r>
              <w:rPr>
                <w:rFonts w:hint="eastAsia"/>
                <w:sz w:val="21"/>
                <w:szCs w:val="21"/>
                <w:highlight w:val="none"/>
              </w:rPr>
              <w:t>Ⅰ</w:t>
            </w:r>
            <w:r>
              <w:rPr>
                <w:rFonts w:hint="eastAsia" w:ascii="Times New Roman" w:hAnsi="Times New Roman" w:eastAsia="仿宋_GB2312" w:cs="仿宋_GB2312"/>
                <w:sz w:val="21"/>
                <w:szCs w:val="21"/>
                <w:highlight w:val="none"/>
              </w:rPr>
              <w:t>类、</w:t>
            </w:r>
            <w:r>
              <w:rPr>
                <w:rFonts w:hint="eastAsia"/>
                <w:sz w:val="21"/>
                <w:szCs w:val="21"/>
                <w:highlight w:val="none"/>
              </w:rPr>
              <w:t>Ⅱ</w:t>
            </w:r>
            <w:r>
              <w:rPr>
                <w:rFonts w:hint="eastAsia" w:ascii="Times New Roman" w:hAnsi="Times New Roman" w:eastAsia="仿宋_GB2312" w:cs="仿宋_GB2312"/>
                <w:sz w:val="21"/>
                <w:szCs w:val="21"/>
                <w:highlight w:val="none"/>
              </w:rPr>
              <w:t>类放射源或</w:t>
            </w:r>
            <w:r>
              <w:rPr>
                <w:rFonts w:hint="eastAsia"/>
                <w:sz w:val="21"/>
                <w:szCs w:val="21"/>
                <w:highlight w:val="none"/>
              </w:rPr>
              <w:t>Ⅰ</w:t>
            </w:r>
            <w:r>
              <w:rPr>
                <w:rFonts w:hint="eastAsia" w:ascii="Times New Roman" w:hAnsi="Times New Roman" w:eastAsia="仿宋_GB2312" w:cs="仿宋_GB2312"/>
                <w:sz w:val="21"/>
                <w:szCs w:val="21"/>
                <w:highlight w:val="none"/>
              </w:rPr>
              <w:t>类射线装置的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非密封放射性物质工作场所分类</w:t>
            </w:r>
          </w:p>
        </w:tc>
        <w:tc>
          <w:tcPr>
            <w:tcW w:w="5213" w:type="dxa"/>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color w:val="000000"/>
                <w:highlight w:val="none"/>
              </w:rPr>
              <w:t>丙级工作场所</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widowControl/>
              <w:snapToGrid w:val="0"/>
              <w:jc w:val="center"/>
              <w:rPr>
                <w:rFonts w:ascii="Times New Roman" w:hAnsi="Times New Roman" w:eastAsia="仿宋_GB2312" w:cs="仿宋_GB2312"/>
                <w:highlight w:val="none"/>
              </w:rPr>
            </w:pPr>
            <w:r>
              <w:rPr>
                <w:rFonts w:hint="eastAsia" w:ascii="Times New Roman" w:hAnsi="Times New Roman" w:eastAsia="仿宋_GB2312" w:cs="仿宋_GB2312"/>
                <w:color w:val="000000"/>
                <w:highlight w:val="none"/>
              </w:rPr>
              <w:t>乙级工作场所</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widowControl/>
              <w:snapToGrid w:val="0"/>
              <w:jc w:val="center"/>
              <w:rPr>
                <w:rFonts w:ascii="Times New Roman" w:hAnsi="Times New Roman" w:eastAsia="仿宋_GB2312" w:cs="仿宋_GB2312"/>
                <w:highlight w:val="none"/>
              </w:rPr>
            </w:pPr>
            <w:r>
              <w:rPr>
                <w:rFonts w:hint="eastAsia" w:ascii="Times New Roman" w:hAnsi="Times New Roman" w:eastAsia="仿宋_GB2312" w:cs="仿宋_GB2312"/>
                <w:color w:val="000000"/>
                <w:highlight w:val="none"/>
              </w:rPr>
              <w:t>甲级工作场所</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工作场所</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防护情况</w:t>
            </w: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有防护措施</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有防护措施但不完备</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无防护措施</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违法持续</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时间</w:t>
            </w: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个月以内的</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超过</w:t>
            </w: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个月并且在</w:t>
            </w: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个月以内的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超过</w:t>
            </w: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个月并且在</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年以内的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超过</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年并且在</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年以内的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年以上</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tcPr>
          <w:p>
            <w:pPr>
              <w:pStyle w:val="11"/>
              <w:spacing w:before="62" w:beforeLines="20"/>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生产、销售、使用放射性同位素和射线装置的单位部分终止或者全部终止生产、销售、使用活动，未按照规定办理许可证变更或者注销手续，责令限期改正逾期不改正的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Pr>
          <w:p>
            <w:pPr>
              <w:pStyle w:val="11"/>
              <w:spacing w:before="62" w:beforeLines="20"/>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《放射性同位素与射线装置安全和防护条例》第十四条</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持证单位部分终止或者全部终止生产、销售、使用放射性同位素和射线装置活动的，应当向原发证机关提出部分变更或者注销许可证申请，由原发证机关核查合格后，予以变更或者注销许可证。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Pr>
          <w:p>
            <w:pPr>
              <w:pStyle w:val="11"/>
              <w:spacing w:before="62" w:beforeLines="20"/>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《放射性同位素与射线装置安全和防护条例》第五十四条</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违反本条例规定，生产、销售、使用放射性同位素和射线装置的单位部分终止或者全部终止生产、销售、使用活动，未按照规定办理许可证变更或者注销手续的，由县级以上人民政府生态环境主管部门责令停止违法行为，限期改正；逾期不改正的，处</w:t>
            </w:r>
            <w:r>
              <w:rPr>
                <w:rFonts w:ascii="Times New Roman" w:hAnsi="Times New Roman" w:eastAsia="仿宋_GB2312" w:cs="Times New Roman"/>
                <w:sz w:val="21"/>
                <w:szCs w:val="21"/>
                <w:highlight w:val="none"/>
              </w:rPr>
              <w:t>1</w:t>
            </w:r>
            <w:r>
              <w:rPr>
                <w:rFonts w:hint="eastAsia" w:ascii="Times New Roman" w:hAnsi="Times New Roman" w:eastAsia="仿宋_GB2312" w:cs="仿宋_GB2312"/>
                <w:sz w:val="21"/>
                <w:szCs w:val="21"/>
                <w:highlight w:val="none"/>
              </w:rPr>
              <w:t>万元以上</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万元以下的罚款；造成辐射事故，构成犯罪的，依法追究刑事责任。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2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89"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涉及放射类型★</w:t>
            </w: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color w:val="000000"/>
                <w:highlight w:val="none"/>
              </w:rPr>
              <w:t>Ⅳ</w:t>
            </w:r>
            <w:r>
              <w:rPr>
                <w:rFonts w:hint="eastAsia" w:ascii="Times New Roman" w:hAnsi="Times New Roman" w:eastAsia="仿宋_GB2312" w:cs="仿宋_GB2312"/>
                <w:color w:val="000000"/>
                <w:highlight w:val="none"/>
              </w:rPr>
              <w:t>类、</w:t>
            </w:r>
            <w:r>
              <w:rPr>
                <w:rFonts w:hint="eastAsia" w:ascii="宋体" w:hAnsi="宋体" w:cs="宋体"/>
                <w:color w:val="000000"/>
                <w:highlight w:val="none"/>
              </w:rPr>
              <w:t>Ⅴ</w:t>
            </w:r>
            <w:r>
              <w:rPr>
                <w:rFonts w:hint="eastAsia" w:ascii="Times New Roman" w:hAnsi="Times New Roman" w:eastAsia="仿宋_GB2312" w:cs="仿宋_GB2312"/>
                <w:color w:val="000000"/>
                <w:highlight w:val="none"/>
              </w:rPr>
              <w:t>类放射源或</w:t>
            </w:r>
            <w:r>
              <w:rPr>
                <w:rFonts w:hint="eastAsia" w:ascii="宋体" w:hAnsi="宋体" w:cs="宋体"/>
                <w:color w:val="000000"/>
                <w:highlight w:val="none"/>
              </w:rPr>
              <w:t>Ⅲ</w:t>
            </w:r>
            <w:r>
              <w:rPr>
                <w:rFonts w:hint="eastAsia" w:ascii="Times New Roman" w:hAnsi="Times New Roman" w:eastAsia="仿宋_GB2312" w:cs="仿宋_GB2312"/>
                <w:color w:val="000000"/>
                <w:highlight w:val="none"/>
              </w:rPr>
              <w:t>类射线装置的</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color w:val="000000"/>
                <w:sz w:val="21"/>
                <w:szCs w:val="21"/>
                <w:highlight w:val="none"/>
              </w:rPr>
              <w:t>Ⅲ</w:t>
            </w:r>
            <w:r>
              <w:rPr>
                <w:rFonts w:hint="eastAsia" w:ascii="Times New Roman" w:hAnsi="Times New Roman" w:eastAsia="仿宋_GB2312" w:cs="仿宋_GB2312"/>
                <w:color w:val="000000"/>
                <w:sz w:val="21"/>
                <w:szCs w:val="21"/>
                <w:highlight w:val="none"/>
              </w:rPr>
              <w:t>类放射源或</w:t>
            </w:r>
            <w:r>
              <w:rPr>
                <w:rFonts w:hint="eastAsia"/>
                <w:color w:val="000000"/>
                <w:sz w:val="21"/>
                <w:szCs w:val="21"/>
                <w:highlight w:val="none"/>
              </w:rPr>
              <w:t>Ⅱ</w:t>
            </w:r>
            <w:r>
              <w:rPr>
                <w:rFonts w:hint="eastAsia" w:ascii="Times New Roman" w:hAnsi="Times New Roman" w:eastAsia="仿宋_GB2312" w:cs="仿宋_GB2312"/>
                <w:color w:val="000000"/>
                <w:sz w:val="21"/>
                <w:szCs w:val="21"/>
                <w:highlight w:val="none"/>
              </w:rPr>
              <w:t>类射线装置的</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color w:val="000000"/>
                <w:sz w:val="21"/>
                <w:szCs w:val="21"/>
                <w:highlight w:val="none"/>
              </w:rPr>
              <w:t>Ⅰ</w:t>
            </w:r>
            <w:r>
              <w:rPr>
                <w:rFonts w:hint="eastAsia" w:ascii="Times New Roman" w:hAnsi="Times New Roman" w:eastAsia="仿宋_GB2312" w:cs="仿宋_GB2312"/>
                <w:color w:val="000000"/>
                <w:sz w:val="21"/>
                <w:szCs w:val="21"/>
                <w:highlight w:val="none"/>
              </w:rPr>
              <w:t>类、</w:t>
            </w:r>
            <w:r>
              <w:rPr>
                <w:rFonts w:hint="eastAsia"/>
                <w:color w:val="000000"/>
                <w:sz w:val="21"/>
                <w:szCs w:val="21"/>
                <w:highlight w:val="none"/>
              </w:rPr>
              <w:t>Ⅱ</w:t>
            </w:r>
            <w:r>
              <w:rPr>
                <w:rFonts w:hint="eastAsia" w:ascii="Times New Roman" w:hAnsi="Times New Roman" w:eastAsia="仿宋_GB2312" w:cs="仿宋_GB2312"/>
                <w:color w:val="000000"/>
                <w:sz w:val="21"/>
                <w:szCs w:val="21"/>
                <w:highlight w:val="none"/>
              </w:rPr>
              <w:t>类放射源或</w:t>
            </w:r>
            <w:r>
              <w:rPr>
                <w:rFonts w:hint="eastAsia"/>
                <w:color w:val="000000"/>
                <w:sz w:val="21"/>
                <w:szCs w:val="21"/>
                <w:highlight w:val="none"/>
              </w:rPr>
              <w:t>Ⅰ</w:t>
            </w:r>
            <w:r>
              <w:rPr>
                <w:rFonts w:hint="eastAsia" w:ascii="Times New Roman" w:hAnsi="Times New Roman" w:eastAsia="仿宋_GB2312" w:cs="仿宋_GB2312"/>
                <w:color w:val="000000"/>
                <w:sz w:val="21"/>
                <w:szCs w:val="21"/>
                <w:highlight w:val="none"/>
              </w:rPr>
              <w:t>类射线装置的</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非密封放射性物质工作场所分类</w:t>
            </w: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丙级工作场所</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乙级工作场所</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甲级工作场所</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超过限期</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改正时间</w:t>
            </w: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天</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天</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个月以上</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902" w:type="dxa"/>
            <w:gridSpan w:val="2"/>
            <w:vAlign w:val="center"/>
          </w:tcPr>
          <w:p>
            <w:pPr>
              <w:snapToGrid w:val="0"/>
              <w:ind w:firstLine="420"/>
              <w:jc w:val="center"/>
              <w:rPr>
                <w:rFonts w:ascii="Times New Roman" w:hAnsi="Times New Roman" w:cs="Times New Roman"/>
                <w:color w:val="000000"/>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vAlign w:val="center"/>
          </w:tcPr>
          <w:p>
            <w:pPr>
              <w:pStyle w:val="11"/>
              <w:snapToGrid w:val="0"/>
              <w:ind w:firstLine="42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伪造、变造、转让许可证的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《放射性同位素与射线装置安全和防护条例》第十五条第二款</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禁止伪造、变造、转让许可证。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《放射性同位素与射线装置安全和防护条例》第五十五条第一款</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违反本条例规定，伪造、变造、转让许可证的，由县级以上人民政府生态环境主管部门收缴伪造、变造的许可证或者由原发证机关吊销许可证，并处</w:t>
            </w:r>
            <w:r>
              <w:rPr>
                <w:rFonts w:ascii="Times New Roman" w:hAnsi="Times New Roman" w:eastAsia="仿宋_GB2312" w:cs="Times New Roman"/>
                <w:sz w:val="21"/>
                <w:szCs w:val="21"/>
                <w:highlight w:val="none"/>
              </w:rPr>
              <w:t>5</w:t>
            </w:r>
            <w:r>
              <w:rPr>
                <w:rFonts w:hint="eastAsia" w:ascii="Times New Roman" w:hAnsi="Times New Roman" w:eastAsia="仿宋_GB2312" w:cs="仿宋_GB2312"/>
                <w:sz w:val="21"/>
                <w:szCs w:val="21"/>
                <w:highlight w:val="none"/>
              </w:rPr>
              <w:t>万元以上</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万元以下的罚款；构成犯罪的，依法追究刑事责任。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2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89"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转让许可证的，尚未使用的</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伪造、变造许可证，尚未使用的</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转让、伪造、变造许可证，正常使用的</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辐射事故</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等级</w:t>
            </w: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未造成辐射事故</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造成一般辐射事故</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造成较大辐射事故</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造成重大辐射事故</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造成特别重大辐射事故</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涉及放射</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类型</w:t>
            </w: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color w:val="000000"/>
                <w:highlight w:val="none"/>
              </w:rPr>
              <w:t>Ⅳ</w:t>
            </w:r>
            <w:r>
              <w:rPr>
                <w:rFonts w:hint="eastAsia" w:ascii="Times New Roman" w:hAnsi="Times New Roman" w:eastAsia="仿宋_GB2312" w:cs="仿宋_GB2312"/>
                <w:color w:val="000000"/>
                <w:highlight w:val="none"/>
              </w:rPr>
              <w:t>类、</w:t>
            </w:r>
            <w:r>
              <w:rPr>
                <w:rFonts w:hint="eastAsia" w:ascii="宋体" w:hAnsi="宋体" w:cs="宋体"/>
                <w:color w:val="000000"/>
                <w:highlight w:val="none"/>
              </w:rPr>
              <w:t>Ⅴ</w:t>
            </w:r>
            <w:r>
              <w:rPr>
                <w:rFonts w:hint="eastAsia" w:ascii="Times New Roman" w:hAnsi="Times New Roman" w:eastAsia="仿宋_GB2312" w:cs="仿宋_GB2312"/>
                <w:color w:val="000000"/>
                <w:highlight w:val="none"/>
              </w:rPr>
              <w:t>类放射源或</w:t>
            </w:r>
            <w:r>
              <w:rPr>
                <w:rFonts w:hint="eastAsia" w:ascii="宋体" w:hAnsi="宋体" w:cs="宋体"/>
                <w:color w:val="000000"/>
                <w:highlight w:val="none"/>
              </w:rPr>
              <w:t>Ⅲ</w:t>
            </w:r>
            <w:r>
              <w:rPr>
                <w:rFonts w:hint="eastAsia" w:ascii="Times New Roman" w:hAnsi="Times New Roman" w:eastAsia="仿宋_GB2312" w:cs="仿宋_GB2312"/>
                <w:color w:val="000000"/>
                <w:highlight w:val="none"/>
              </w:rPr>
              <w:t>类射线装置的</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color w:val="000000"/>
                <w:sz w:val="21"/>
                <w:szCs w:val="21"/>
                <w:highlight w:val="none"/>
              </w:rPr>
              <w:t>Ⅲ</w:t>
            </w:r>
            <w:r>
              <w:rPr>
                <w:rFonts w:hint="eastAsia" w:ascii="Times New Roman" w:hAnsi="Times New Roman" w:eastAsia="仿宋_GB2312" w:cs="仿宋_GB2312"/>
                <w:color w:val="000000"/>
                <w:sz w:val="21"/>
                <w:szCs w:val="21"/>
                <w:highlight w:val="none"/>
              </w:rPr>
              <w:t>类放射源或</w:t>
            </w:r>
            <w:r>
              <w:rPr>
                <w:rFonts w:hint="eastAsia"/>
                <w:color w:val="000000"/>
                <w:sz w:val="21"/>
                <w:szCs w:val="21"/>
                <w:highlight w:val="none"/>
              </w:rPr>
              <w:t>Ⅱ</w:t>
            </w:r>
            <w:r>
              <w:rPr>
                <w:rFonts w:hint="eastAsia" w:ascii="Times New Roman" w:hAnsi="Times New Roman" w:eastAsia="仿宋_GB2312" w:cs="仿宋_GB2312"/>
                <w:color w:val="000000"/>
                <w:sz w:val="21"/>
                <w:szCs w:val="21"/>
                <w:highlight w:val="none"/>
              </w:rPr>
              <w:t>类射线装置的</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color w:val="000000"/>
                <w:sz w:val="21"/>
                <w:szCs w:val="21"/>
                <w:highlight w:val="none"/>
              </w:rPr>
              <w:t>Ⅰ</w:t>
            </w:r>
            <w:r>
              <w:rPr>
                <w:rFonts w:hint="eastAsia" w:ascii="Times New Roman" w:hAnsi="Times New Roman" w:eastAsia="仿宋_GB2312" w:cs="仿宋_GB2312"/>
                <w:color w:val="000000"/>
                <w:sz w:val="21"/>
                <w:szCs w:val="21"/>
                <w:highlight w:val="none"/>
              </w:rPr>
              <w:t>类、</w:t>
            </w:r>
            <w:r>
              <w:rPr>
                <w:rFonts w:hint="eastAsia"/>
                <w:color w:val="000000"/>
                <w:sz w:val="21"/>
                <w:szCs w:val="21"/>
                <w:highlight w:val="none"/>
              </w:rPr>
              <w:t>Ⅱ</w:t>
            </w:r>
            <w:r>
              <w:rPr>
                <w:rFonts w:hint="eastAsia" w:ascii="Times New Roman" w:hAnsi="Times New Roman" w:eastAsia="仿宋_GB2312" w:cs="仿宋_GB2312"/>
                <w:color w:val="000000"/>
                <w:sz w:val="21"/>
                <w:szCs w:val="21"/>
                <w:highlight w:val="none"/>
              </w:rPr>
              <w:t>类放射源或</w:t>
            </w:r>
            <w:r>
              <w:rPr>
                <w:rFonts w:hint="eastAsia"/>
                <w:color w:val="000000"/>
                <w:sz w:val="21"/>
                <w:szCs w:val="21"/>
                <w:highlight w:val="none"/>
              </w:rPr>
              <w:t>Ⅰ</w:t>
            </w:r>
            <w:r>
              <w:rPr>
                <w:rFonts w:hint="eastAsia" w:ascii="Times New Roman" w:hAnsi="Times New Roman" w:eastAsia="仿宋_GB2312" w:cs="仿宋_GB2312"/>
                <w:color w:val="000000"/>
                <w:sz w:val="21"/>
                <w:szCs w:val="21"/>
                <w:highlight w:val="none"/>
              </w:rPr>
              <w:t>类射线装置的</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非密封放射性物质工作场所分类</w:t>
            </w: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丙级工作场所</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乙级工作场所</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甲级工作场所</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违法持续</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时间或者</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发生频次</w:t>
            </w: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个月以内或者</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次以下</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个月以上</w:t>
            </w: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个月以内或者</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次</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个月以上或者</w:t>
            </w: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次以上</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vAlign w:val="center"/>
          </w:tcPr>
          <w:p>
            <w:pPr>
              <w:pStyle w:val="11"/>
              <w:snapToGrid w:val="0"/>
              <w:ind w:firstLine="42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伪造、变造、转让放射性同位素进口和转让批准文件的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Pr>
          <w:p>
            <w:pPr>
              <w:pStyle w:val="11"/>
              <w:spacing w:before="62" w:beforeLines="20"/>
              <w:ind w:firstLine="420"/>
              <w:rPr>
                <w:rFonts w:ascii="Times New Roman" w:hAnsi="Times New Roman" w:eastAsia="仿宋_GB2312" w:cs="仿宋_GB2312"/>
                <w:sz w:val="21"/>
                <w:szCs w:val="21"/>
                <w:highlight w:val="none"/>
              </w:rPr>
            </w:pPr>
            <w:r>
              <w:rPr>
                <w:rFonts w:hint="eastAsia" w:ascii="Times New Roman" w:hAnsi="Times New Roman" w:eastAsia="仿宋_GB2312" w:cs="仿宋_GB2312"/>
                <w:b/>
                <w:bCs/>
                <w:sz w:val="21"/>
                <w:szCs w:val="21"/>
                <w:highlight w:val="none"/>
              </w:rPr>
              <w:t>《放射性同位素与射线装置安全和防护条例》第十五条第二款</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禁止伪造、变造、转让许可证。</w:t>
            </w:r>
          </w:p>
          <w:p>
            <w:pPr>
              <w:pStyle w:val="11"/>
              <w:spacing w:before="62" w:beforeLines="20"/>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 xml:space="preserve">第二十条  </w:t>
            </w:r>
            <w:r>
              <w:rPr>
                <w:rFonts w:hint="eastAsia" w:ascii="Times New Roman" w:hAnsi="Times New Roman" w:eastAsia="仿宋_GB2312" w:cs="仿宋_GB2312"/>
                <w:bCs/>
                <w:sz w:val="21"/>
                <w:szCs w:val="21"/>
                <w:highlight w:val="none"/>
              </w:rPr>
              <w:t>转让放射性同位素，由转入单位向其所在地省、自治区、直辖市人民政府生态环境主管部门提出申请，并提交符合本条例第十九条规定要求的证明材料。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Pr>
          <w:p>
            <w:pPr>
              <w:pStyle w:val="11"/>
              <w:spacing w:before="62" w:beforeLines="20"/>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《放射性同位素与射线装置安全和防护条例》第五十五条第二款</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违反本条例规定，伪造、变造、转让放射性同位素进口和转让批准文件的，由县级以上人民政府生态环境主管部门收缴伪造、变造的批准文件或者由原批准机关撤销批准文件，并处</w:t>
            </w:r>
            <w:r>
              <w:rPr>
                <w:rFonts w:ascii="Times New Roman" w:hAnsi="Times New Roman" w:eastAsia="仿宋_GB2312" w:cs="Times New Roman"/>
                <w:sz w:val="21"/>
                <w:szCs w:val="21"/>
                <w:highlight w:val="none"/>
              </w:rPr>
              <w:t>5</w:t>
            </w:r>
            <w:r>
              <w:rPr>
                <w:rFonts w:hint="eastAsia" w:ascii="Times New Roman" w:hAnsi="Times New Roman" w:eastAsia="仿宋_GB2312" w:cs="仿宋_GB2312"/>
                <w:sz w:val="21"/>
                <w:szCs w:val="21"/>
                <w:highlight w:val="none"/>
              </w:rPr>
              <w:t>万元以上</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万元以下的罚款；情节严重的，可以由原发证机关吊销许可证；构成犯罪的，依法追究刑事责任。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2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89"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转让许可证的，尚未使用的</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伪造、变造许可证，尚未使用的</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转让、伪造、变造许可证，正常使用的</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辐射事故</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等级</w:t>
            </w: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未造成辐射事故</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造成一般辐射事故</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造成较大辐射事故</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造成重大辐射事故</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造成特别重大辐射事故</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涉及放射</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类型</w:t>
            </w: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color w:val="000000"/>
                <w:highlight w:val="none"/>
              </w:rPr>
              <w:t>Ⅳ</w:t>
            </w:r>
            <w:r>
              <w:rPr>
                <w:rFonts w:hint="eastAsia" w:ascii="Times New Roman" w:hAnsi="Times New Roman" w:eastAsia="仿宋_GB2312" w:cs="仿宋_GB2312"/>
                <w:color w:val="000000"/>
                <w:highlight w:val="none"/>
              </w:rPr>
              <w:t>类、</w:t>
            </w:r>
            <w:r>
              <w:rPr>
                <w:rFonts w:hint="eastAsia" w:ascii="宋体" w:hAnsi="宋体" w:cs="宋体"/>
                <w:color w:val="000000"/>
                <w:highlight w:val="none"/>
              </w:rPr>
              <w:t>Ⅴ</w:t>
            </w:r>
            <w:r>
              <w:rPr>
                <w:rFonts w:hint="eastAsia" w:ascii="Times New Roman" w:hAnsi="Times New Roman" w:eastAsia="仿宋_GB2312" w:cs="仿宋_GB2312"/>
                <w:color w:val="000000"/>
                <w:highlight w:val="none"/>
              </w:rPr>
              <w:t>类放射源</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color w:val="000000"/>
                <w:highlight w:val="none"/>
              </w:rPr>
              <w:t>Ⅲ</w:t>
            </w:r>
            <w:r>
              <w:rPr>
                <w:rFonts w:hint="eastAsia" w:ascii="Times New Roman" w:hAnsi="Times New Roman" w:eastAsia="仿宋_GB2312" w:cs="仿宋_GB2312"/>
                <w:color w:val="000000"/>
                <w:highlight w:val="none"/>
              </w:rPr>
              <w:t>类放射源</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color w:val="000000"/>
                <w:highlight w:val="none"/>
              </w:rPr>
              <w:t>Ⅰ</w:t>
            </w:r>
            <w:r>
              <w:rPr>
                <w:rFonts w:hint="eastAsia" w:ascii="Times New Roman" w:hAnsi="Times New Roman" w:eastAsia="仿宋_GB2312" w:cs="仿宋_GB2312"/>
                <w:color w:val="000000"/>
                <w:highlight w:val="none"/>
              </w:rPr>
              <w:t>类、</w:t>
            </w:r>
            <w:r>
              <w:rPr>
                <w:rFonts w:hint="eastAsia" w:ascii="宋体" w:hAnsi="宋体" w:cs="宋体"/>
                <w:color w:val="000000"/>
                <w:highlight w:val="none"/>
              </w:rPr>
              <w:t>Ⅱ</w:t>
            </w:r>
            <w:r>
              <w:rPr>
                <w:rFonts w:hint="eastAsia" w:ascii="Times New Roman" w:hAnsi="Times New Roman" w:eastAsia="仿宋_GB2312" w:cs="仿宋_GB2312"/>
                <w:color w:val="000000"/>
                <w:highlight w:val="none"/>
              </w:rPr>
              <w:t>类放射源</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非密封放射性物质工作场所分类</w:t>
            </w: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丙级工作场所</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乙级工作场所</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甲级工作场所</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违法持续</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时间或者发生频次</w:t>
            </w: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个月以内或者</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次以下</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个月以上</w:t>
            </w: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个月以内或者</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次</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个月以上或者</w:t>
            </w: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次以上</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tcPr>
          <w:p>
            <w:pPr>
              <w:pStyle w:val="11"/>
              <w:ind w:firstLine="420"/>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生产、销售、使用放射性同位素和射线装置的单位在室外、野外使用放射性同位素和射线装置，未按照国家有关安全和防护标准的要求划出安全防护区域和设置明显的放射性标志，责令限期改正逾期不改正的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《放射性同位素与射线装置安全和防护条例》第三十六条第一款</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在室外、野外使用放射性同位素和射线装置的，应当按照国家安全和防护标准的要求划出安全防护区域，设置明显的放射性标志，必要时设专人警戒。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《放射性同位素与射线装置安全和防护条例》第五十七条第（一）项</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违反本条例规定，生产、销售、使用放射性同位素和射线装置的单位有下列行为之一的，由县级以上人民政府生态环境主管部门责令停止违法行为，限期改正；逾期不改正的，处</w:t>
            </w:r>
            <w:r>
              <w:rPr>
                <w:rFonts w:ascii="Times New Roman" w:hAnsi="Times New Roman" w:eastAsia="仿宋_GB2312" w:cs="Times New Roman"/>
                <w:sz w:val="21"/>
                <w:szCs w:val="21"/>
                <w:highlight w:val="none"/>
              </w:rPr>
              <w:t>1</w:t>
            </w:r>
            <w:r>
              <w:rPr>
                <w:rFonts w:hint="eastAsia" w:ascii="Times New Roman" w:hAnsi="Times New Roman" w:eastAsia="仿宋_GB2312" w:cs="仿宋_GB2312"/>
                <w:sz w:val="21"/>
                <w:szCs w:val="21"/>
                <w:highlight w:val="none"/>
              </w:rPr>
              <w:t>万元以上</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万元以下的罚款：</w:t>
            </w:r>
          </w:p>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（一）在室外、野外使用放射性同位素和射线装置，未按照国家有关安全和防护标准的要求划出安全防护区域和设置明显的放射性标志的。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8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设置放射性标志不规范不明显的</w:t>
            </w:r>
          </w:p>
        </w:tc>
        <w:tc>
          <w:tcPr>
            <w:tcW w:w="2689" w:type="dxa"/>
            <w:vAlign w:val="center"/>
          </w:tcPr>
          <w:p>
            <w:pPr>
              <w:pStyle w:val="11"/>
              <w:snapToGrid w:val="0"/>
              <w:jc w:val="center"/>
              <w:rPr>
                <w:rFonts w:ascii="Times New Roman" w:hAnsi="Times New Roman" w:cs="Times New Roman"/>
                <w:color w:val="000000"/>
                <w:sz w:val="21"/>
                <w:szCs w:val="21"/>
                <w:highlight w:val="none"/>
              </w:rPr>
            </w:pPr>
            <w:r>
              <w:rPr>
                <w:rFonts w:ascii="Times New Roman" w:hAnsi="Times New Roman" w:cs="Times New Roman"/>
                <w:color w:val="000000"/>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未划出安全防护区域，或者未设置放射性标志</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辐射事故</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等级</w:t>
            </w: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未造成辐射事故</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造成一般辐射事故</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造成较大辐射事故</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造成重大辐射事故</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造成特别重大辐射事故</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涉及放射类型</w:t>
            </w:r>
          </w:p>
        </w:tc>
        <w:tc>
          <w:tcPr>
            <w:tcW w:w="5213"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Ⅳ</w:t>
            </w:r>
            <w:r>
              <w:rPr>
                <w:rFonts w:hint="eastAsia" w:ascii="Times New Roman" w:hAnsi="Times New Roman" w:eastAsia="仿宋_GB2312" w:cs="仿宋_GB2312"/>
                <w:highlight w:val="none"/>
              </w:rPr>
              <w:t>类、</w:t>
            </w:r>
            <w:r>
              <w:rPr>
                <w:rFonts w:hint="eastAsia" w:ascii="宋体" w:hAnsi="宋体" w:cs="宋体"/>
                <w:highlight w:val="none"/>
              </w:rPr>
              <w:t>Ⅴ</w:t>
            </w:r>
            <w:r>
              <w:rPr>
                <w:rFonts w:hint="eastAsia" w:ascii="Times New Roman" w:hAnsi="Times New Roman" w:eastAsia="仿宋_GB2312" w:cs="仿宋_GB2312"/>
                <w:highlight w:val="none"/>
              </w:rPr>
              <w:t>类放射源或</w:t>
            </w:r>
            <w:r>
              <w:rPr>
                <w:rFonts w:hint="eastAsia" w:ascii="宋体" w:hAnsi="宋体" w:cs="宋体"/>
                <w:highlight w:val="none"/>
              </w:rPr>
              <w:t>Ⅲ</w:t>
            </w:r>
            <w:r>
              <w:rPr>
                <w:rFonts w:hint="eastAsia" w:ascii="Times New Roman" w:hAnsi="Times New Roman" w:eastAsia="仿宋_GB2312" w:cs="仿宋_GB2312"/>
                <w:highlight w:val="none"/>
              </w:rPr>
              <w:t>类射线装置的</w:t>
            </w:r>
          </w:p>
        </w:tc>
        <w:tc>
          <w:tcPr>
            <w:tcW w:w="2689"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Ⅲ</w:t>
            </w:r>
            <w:r>
              <w:rPr>
                <w:rFonts w:hint="eastAsia" w:ascii="Times New Roman" w:hAnsi="Times New Roman" w:eastAsia="仿宋_GB2312" w:cs="仿宋_GB2312"/>
                <w:highlight w:val="none"/>
              </w:rPr>
              <w:t>类放射源或</w:t>
            </w:r>
            <w:r>
              <w:rPr>
                <w:rFonts w:hint="eastAsia" w:ascii="宋体" w:hAnsi="宋体" w:cs="宋体"/>
                <w:highlight w:val="none"/>
              </w:rPr>
              <w:t>Ⅱ</w:t>
            </w:r>
            <w:r>
              <w:rPr>
                <w:rFonts w:hint="eastAsia" w:ascii="Times New Roman" w:hAnsi="Times New Roman" w:eastAsia="仿宋_GB2312" w:cs="仿宋_GB2312"/>
                <w:highlight w:val="none"/>
              </w:rPr>
              <w:t>类射线装置的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Ⅰ</w:t>
            </w:r>
            <w:r>
              <w:rPr>
                <w:rFonts w:hint="eastAsia" w:ascii="Times New Roman" w:hAnsi="Times New Roman" w:eastAsia="仿宋_GB2312" w:cs="仿宋_GB2312"/>
                <w:highlight w:val="none"/>
              </w:rPr>
              <w:t>类、</w:t>
            </w:r>
            <w:r>
              <w:rPr>
                <w:rFonts w:hint="eastAsia" w:ascii="宋体" w:hAnsi="宋体" w:cs="宋体"/>
                <w:highlight w:val="none"/>
              </w:rPr>
              <w:t>Ⅱ</w:t>
            </w:r>
            <w:r>
              <w:rPr>
                <w:rFonts w:hint="eastAsia" w:ascii="Times New Roman" w:hAnsi="Times New Roman" w:eastAsia="仿宋_GB2312" w:cs="仿宋_GB2312"/>
                <w:highlight w:val="none"/>
              </w:rPr>
              <w:t>类放射源或</w:t>
            </w:r>
            <w:r>
              <w:rPr>
                <w:rFonts w:hint="eastAsia" w:ascii="宋体" w:hAnsi="宋体" w:cs="宋体"/>
                <w:highlight w:val="none"/>
              </w:rPr>
              <w:t>Ⅰ</w:t>
            </w:r>
            <w:r>
              <w:rPr>
                <w:rFonts w:hint="eastAsia" w:ascii="Times New Roman" w:hAnsi="Times New Roman" w:eastAsia="仿宋_GB2312" w:cs="仿宋_GB2312"/>
                <w:highlight w:val="none"/>
              </w:rPr>
              <w:t>类射线装置的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非密封放射性物质工作场所分类</w:t>
            </w: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丙级工作场所</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乙级工作场所</w:t>
            </w:r>
          </w:p>
        </w:tc>
        <w:tc>
          <w:tcPr>
            <w:tcW w:w="2689"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甲级工作场所</w:t>
            </w:r>
          </w:p>
        </w:tc>
        <w:tc>
          <w:tcPr>
            <w:tcW w:w="2689"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超过限期</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改正时间</w:t>
            </w: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不足</w:t>
            </w:r>
            <w:r>
              <w:rPr>
                <w:rFonts w:ascii="Times New Roman" w:hAnsi="Times New Roman" w:eastAsia="仿宋_GB2312" w:cs="Times New Roman"/>
                <w:highlight w:val="none"/>
              </w:rPr>
              <w:t>5</w:t>
            </w:r>
            <w:r>
              <w:rPr>
                <w:rFonts w:hint="eastAsia" w:ascii="Times New Roman" w:hAnsi="Times New Roman" w:eastAsia="仿宋_GB2312" w:cs="仿宋_GB2312"/>
                <w:highlight w:val="none"/>
              </w:rPr>
              <w:t>天</w:t>
            </w:r>
          </w:p>
        </w:tc>
        <w:tc>
          <w:tcPr>
            <w:tcW w:w="268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highlight w:val="none"/>
              </w:rPr>
              <w:t>5</w:t>
            </w:r>
            <w:r>
              <w:rPr>
                <w:rFonts w:hint="eastAsia" w:ascii="Times New Roman" w:hAnsi="Times New Roman" w:eastAsia="仿宋_GB2312" w:cs="仿宋_GB2312"/>
                <w:highlight w:val="none"/>
              </w:rPr>
              <w:t>天以上不足</w:t>
            </w:r>
            <w:r>
              <w:rPr>
                <w:rFonts w:ascii="Times New Roman" w:hAnsi="Times New Roman" w:eastAsia="仿宋_GB2312" w:cs="Times New Roman"/>
                <w:highlight w:val="none"/>
              </w:rPr>
              <w:t>10</w:t>
            </w:r>
            <w:r>
              <w:rPr>
                <w:rFonts w:hint="eastAsia" w:ascii="Times New Roman" w:hAnsi="Times New Roman" w:eastAsia="仿宋_GB2312" w:cs="仿宋_GB2312"/>
                <w:highlight w:val="none"/>
              </w:rPr>
              <w:t>天</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highlight w:val="none"/>
              </w:rPr>
              <w:t>10</w:t>
            </w:r>
            <w:r>
              <w:rPr>
                <w:rFonts w:hint="eastAsia" w:ascii="Times New Roman" w:hAnsi="Times New Roman" w:eastAsia="仿宋_GB2312" w:cs="仿宋_GB2312"/>
                <w:highlight w:val="none"/>
              </w:rPr>
              <w:t>天以上不足</w:t>
            </w:r>
            <w:r>
              <w:rPr>
                <w:rFonts w:ascii="Times New Roman" w:hAnsi="Times New Roman" w:eastAsia="仿宋_GB2312" w:cs="Times New Roman"/>
                <w:highlight w:val="none"/>
              </w:rPr>
              <w:t>20</w:t>
            </w:r>
            <w:r>
              <w:rPr>
                <w:rFonts w:hint="eastAsia" w:ascii="Times New Roman" w:hAnsi="Times New Roman" w:eastAsia="仿宋_GB2312" w:cs="仿宋_GB2312"/>
                <w:highlight w:val="none"/>
              </w:rPr>
              <w:t>天</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highlight w:val="none"/>
              </w:rPr>
              <w:t>20</w:t>
            </w:r>
            <w:r>
              <w:rPr>
                <w:rFonts w:hint="eastAsia" w:ascii="Times New Roman" w:hAnsi="Times New Roman" w:eastAsia="仿宋_GB2312" w:cs="仿宋_GB2312"/>
                <w:highlight w:val="none"/>
              </w:rPr>
              <w:t>天以上不足</w:t>
            </w:r>
            <w:r>
              <w:rPr>
                <w:rFonts w:ascii="Times New Roman" w:hAnsi="Times New Roman" w:eastAsia="仿宋_GB2312" w:cs="Times New Roman"/>
                <w:highlight w:val="none"/>
              </w:rPr>
              <w:t>1</w:t>
            </w:r>
            <w:r>
              <w:rPr>
                <w:rFonts w:hint="eastAsia" w:ascii="Times New Roman" w:hAnsi="Times New Roman" w:eastAsia="仿宋_GB2312" w:cs="仿宋_GB2312"/>
                <w:highlight w:val="none"/>
              </w:rPr>
              <w:t>个月</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highlight w:val="none"/>
              </w:rPr>
              <w:t>1</w:t>
            </w:r>
            <w:r>
              <w:rPr>
                <w:rFonts w:hint="eastAsia" w:ascii="Times New Roman" w:hAnsi="Times New Roman" w:eastAsia="仿宋_GB2312" w:cs="仿宋_GB2312"/>
                <w:highlight w:val="none"/>
              </w:rPr>
              <w:t>个月以上</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5064"/>
        <w:gridCol w:w="2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685"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685" w:type="dxa"/>
            <w:gridSpan w:val="2"/>
          </w:tcPr>
          <w:p>
            <w:pPr>
              <w:pStyle w:val="11"/>
              <w:snapToGrid w:val="0"/>
              <w:spacing w:before="62" w:beforeLines="20"/>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生产、销售、使用放射性同位素和射线装置的单位未经批准擅自在野外进行放射性同位素示踪试验，责令限期改正逾期不改正的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685" w:type="dxa"/>
            <w:gridSpan w:val="2"/>
          </w:tcPr>
          <w:p>
            <w:pPr>
              <w:pStyle w:val="11"/>
              <w:snapToGrid w:val="0"/>
              <w:spacing w:before="62" w:beforeLines="20"/>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《放射性同位素与射线装置安全和防护条例》第三十六条第二款</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在野外进行放射性同位素示踪试验的，应当经省级以上人民政府生态环境主管部门商同级有关部门批准方可进行。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685" w:type="dxa"/>
            <w:gridSpan w:val="2"/>
          </w:tcPr>
          <w:p>
            <w:pPr>
              <w:pStyle w:val="11"/>
              <w:snapToGrid w:val="0"/>
              <w:spacing w:before="62" w:beforeLines="20"/>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《放射性同位素与射线装置安全和防护条例》第五十七条第（二）项</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违反本条例规定，生产、销售、使用放射性同位素和射线装置的单位有下列行为之一的，由县级以上人民政府生态环境主管部门责令停止违法行为，限期改正；逾期不改正的，处</w:t>
            </w:r>
            <w:r>
              <w:rPr>
                <w:rFonts w:ascii="Times New Roman" w:hAnsi="Times New Roman" w:eastAsia="仿宋_GB2312" w:cs="Times New Roman"/>
                <w:sz w:val="21"/>
                <w:szCs w:val="21"/>
                <w:highlight w:val="none"/>
              </w:rPr>
              <w:t>1</w:t>
            </w:r>
            <w:r>
              <w:rPr>
                <w:rFonts w:hint="eastAsia" w:ascii="Times New Roman" w:hAnsi="Times New Roman" w:eastAsia="仿宋_GB2312" w:cs="仿宋_GB2312"/>
                <w:sz w:val="21"/>
                <w:szCs w:val="21"/>
                <w:highlight w:val="none"/>
              </w:rPr>
              <w:t>万元以上</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万元以下的罚款：</w:t>
            </w:r>
          </w:p>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（二）未经批准擅自在野外进行放射性同位素示踪试验的。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064"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21"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523"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涉及放射类型★</w:t>
            </w:r>
          </w:p>
        </w:tc>
        <w:tc>
          <w:tcPr>
            <w:tcW w:w="5064"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color w:val="000000"/>
                <w:highlight w:val="none"/>
              </w:rPr>
              <w:t>Ⅳ</w:t>
            </w:r>
            <w:r>
              <w:rPr>
                <w:rFonts w:hint="eastAsia" w:ascii="Times New Roman" w:hAnsi="Times New Roman" w:eastAsia="仿宋_GB2312" w:cs="仿宋_GB2312"/>
                <w:color w:val="000000"/>
                <w:highlight w:val="none"/>
              </w:rPr>
              <w:t>类、</w:t>
            </w:r>
            <w:r>
              <w:rPr>
                <w:rFonts w:hint="eastAsia" w:ascii="宋体" w:hAnsi="宋体" w:cs="宋体"/>
                <w:color w:val="000000"/>
                <w:highlight w:val="none"/>
              </w:rPr>
              <w:t>Ⅴ</w:t>
            </w:r>
            <w:r>
              <w:rPr>
                <w:rFonts w:hint="eastAsia" w:ascii="Times New Roman" w:hAnsi="Times New Roman" w:eastAsia="仿宋_GB2312" w:cs="仿宋_GB2312"/>
                <w:color w:val="000000"/>
                <w:highlight w:val="none"/>
              </w:rPr>
              <w:t>类放射源或</w:t>
            </w:r>
            <w:r>
              <w:rPr>
                <w:rFonts w:hint="eastAsia" w:ascii="宋体" w:hAnsi="宋体" w:cs="宋体"/>
                <w:color w:val="000000"/>
                <w:highlight w:val="none"/>
              </w:rPr>
              <w:t>Ⅲ</w:t>
            </w:r>
            <w:r>
              <w:rPr>
                <w:rFonts w:hint="eastAsia" w:ascii="Times New Roman" w:hAnsi="Times New Roman" w:eastAsia="仿宋_GB2312" w:cs="仿宋_GB2312"/>
                <w:color w:val="000000"/>
                <w:highlight w:val="none"/>
              </w:rPr>
              <w:t>类射线装置的</w:t>
            </w:r>
          </w:p>
        </w:tc>
        <w:tc>
          <w:tcPr>
            <w:tcW w:w="2621"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3" w:type="dxa"/>
            <w:vMerge w:val="continue"/>
            <w:vAlign w:val="center"/>
          </w:tcPr>
          <w:p>
            <w:pPr>
              <w:snapToGrid w:val="0"/>
              <w:jc w:val="center"/>
              <w:rPr>
                <w:rFonts w:ascii="Times New Roman" w:hAnsi="Times New Roman" w:cs="Times New Roman"/>
                <w:b/>
                <w:bCs/>
                <w:color w:val="000000"/>
                <w:highlight w:val="none"/>
              </w:rPr>
            </w:pPr>
          </w:p>
        </w:tc>
        <w:tc>
          <w:tcPr>
            <w:tcW w:w="5064"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color w:val="000000"/>
                <w:sz w:val="21"/>
                <w:szCs w:val="21"/>
                <w:highlight w:val="none"/>
              </w:rPr>
              <w:t>Ⅲ</w:t>
            </w:r>
            <w:r>
              <w:rPr>
                <w:rFonts w:hint="eastAsia" w:ascii="Times New Roman" w:hAnsi="Times New Roman" w:eastAsia="仿宋_GB2312" w:cs="仿宋_GB2312"/>
                <w:color w:val="000000"/>
                <w:sz w:val="21"/>
                <w:szCs w:val="21"/>
                <w:highlight w:val="none"/>
              </w:rPr>
              <w:t>类放射源或</w:t>
            </w:r>
            <w:r>
              <w:rPr>
                <w:rFonts w:hint="eastAsia"/>
                <w:color w:val="000000"/>
                <w:sz w:val="21"/>
                <w:szCs w:val="21"/>
                <w:highlight w:val="none"/>
              </w:rPr>
              <w:t>Ⅱ</w:t>
            </w:r>
            <w:r>
              <w:rPr>
                <w:rFonts w:hint="eastAsia" w:ascii="Times New Roman" w:hAnsi="Times New Roman" w:eastAsia="仿宋_GB2312" w:cs="仿宋_GB2312"/>
                <w:color w:val="000000"/>
                <w:sz w:val="21"/>
                <w:szCs w:val="21"/>
                <w:highlight w:val="none"/>
              </w:rPr>
              <w:t>类射线装置的</w:t>
            </w:r>
          </w:p>
        </w:tc>
        <w:tc>
          <w:tcPr>
            <w:tcW w:w="262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3" w:type="dxa"/>
            <w:vMerge w:val="continue"/>
            <w:vAlign w:val="center"/>
          </w:tcPr>
          <w:p>
            <w:pPr>
              <w:snapToGrid w:val="0"/>
              <w:jc w:val="center"/>
              <w:rPr>
                <w:rFonts w:ascii="Times New Roman" w:hAnsi="Times New Roman" w:cs="Times New Roman"/>
                <w:b/>
                <w:bCs/>
                <w:color w:val="000000"/>
                <w:highlight w:val="none"/>
              </w:rPr>
            </w:pPr>
          </w:p>
        </w:tc>
        <w:tc>
          <w:tcPr>
            <w:tcW w:w="5064"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color w:val="000000"/>
                <w:sz w:val="21"/>
                <w:szCs w:val="21"/>
                <w:highlight w:val="none"/>
              </w:rPr>
              <w:t>Ⅰ</w:t>
            </w:r>
            <w:r>
              <w:rPr>
                <w:rFonts w:hint="eastAsia" w:ascii="Times New Roman" w:hAnsi="Times New Roman" w:eastAsia="仿宋_GB2312" w:cs="仿宋_GB2312"/>
                <w:color w:val="000000"/>
                <w:sz w:val="21"/>
                <w:szCs w:val="21"/>
                <w:highlight w:val="none"/>
              </w:rPr>
              <w:t>类、</w:t>
            </w:r>
            <w:r>
              <w:rPr>
                <w:rFonts w:hint="eastAsia"/>
                <w:color w:val="000000"/>
                <w:sz w:val="21"/>
                <w:szCs w:val="21"/>
                <w:highlight w:val="none"/>
              </w:rPr>
              <w:t>Ⅱ</w:t>
            </w:r>
            <w:r>
              <w:rPr>
                <w:rFonts w:hint="eastAsia" w:ascii="Times New Roman" w:hAnsi="Times New Roman" w:eastAsia="仿宋_GB2312" w:cs="仿宋_GB2312"/>
                <w:color w:val="000000"/>
                <w:sz w:val="21"/>
                <w:szCs w:val="21"/>
                <w:highlight w:val="none"/>
              </w:rPr>
              <w:t>类放射源或</w:t>
            </w:r>
            <w:r>
              <w:rPr>
                <w:rFonts w:hint="eastAsia"/>
                <w:color w:val="000000"/>
                <w:sz w:val="21"/>
                <w:szCs w:val="21"/>
                <w:highlight w:val="none"/>
              </w:rPr>
              <w:t>Ⅰ</w:t>
            </w:r>
            <w:r>
              <w:rPr>
                <w:rFonts w:hint="eastAsia" w:ascii="Times New Roman" w:hAnsi="Times New Roman" w:eastAsia="仿宋_GB2312" w:cs="仿宋_GB2312"/>
                <w:color w:val="000000"/>
                <w:sz w:val="21"/>
                <w:szCs w:val="21"/>
                <w:highlight w:val="none"/>
              </w:rPr>
              <w:t>类射线装置的</w:t>
            </w:r>
          </w:p>
        </w:tc>
        <w:tc>
          <w:tcPr>
            <w:tcW w:w="262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3"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非密封放射性物质工作场所分类</w:t>
            </w:r>
          </w:p>
        </w:tc>
        <w:tc>
          <w:tcPr>
            <w:tcW w:w="5064"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丙级工作场所</w:t>
            </w:r>
          </w:p>
        </w:tc>
        <w:tc>
          <w:tcPr>
            <w:tcW w:w="2621"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3" w:type="dxa"/>
            <w:vMerge w:val="continue"/>
            <w:vAlign w:val="center"/>
          </w:tcPr>
          <w:p>
            <w:pPr>
              <w:snapToGrid w:val="0"/>
              <w:jc w:val="center"/>
              <w:rPr>
                <w:rFonts w:ascii="Times New Roman" w:hAnsi="Times New Roman" w:cs="Times New Roman"/>
                <w:b/>
                <w:bCs/>
                <w:color w:val="000000"/>
                <w:highlight w:val="none"/>
              </w:rPr>
            </w:pPr>
          </w:p>
        </w:tc>
        <w:tc>
          <w:tcPr>
            <w:tcW w:w="5064"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乙级工作场所</w:t>
            </w:r>
          </w:p>
        </w:tc>
        <w:tc>
          <w:tcPr>
            <w:tcW w:w="262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3" w:type="dxa"/>
            <w:vMerge w:val="continue"/>
            <w:vAlign w:val="center"/>
          </w:tcPr>
          <w:p>
            <w:pPr>
              <w:snapToGrid w:val="0"/>
              <w:jc w:val="center"/>
              <w:rPr>
                <w:rFonts w:ascii="Times New Roman" w:hAnsi="Times New Roman" w:cs="Times New Roman"/>
                <w:b/>
                <w:bCs/>
                <w:color w:val="000000"/>
                <w:highlight w:val="none"/>
              </w:rPr>
            </w:pPr>
          </w:p>
        </w:tc>
        <w:tc>
          <w:tcPr>
            <w:tcW w:w="5064"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甲级工作场所</w:t>
            </w:r>
          </w:p>
        </w:tc>
        <w:tc>
          <w:tcPr>
            <w:tcW w:w="262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3"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辐射事故</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等级</w:t>
            </w:r>
          </w:p>
        </w:tc>
        <w:tc>
          <w:tcPr>
            <w:tcW w:w="5064"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未造成辐射事故</w:t>
            </w:r>
          </w:p>
        </w:tc>
        <w:tc>
          <w:tcPr>
            <w:tcW w:w="2621"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3" w:type="dxa"/>
            <w:vMerge w:val="continue"/>
            <w:vAlign w:val="center"/>
          </w:tcPr>
          <w:p>
            <w:pPr>
              <w:snapToGrid w:val="0"/>
              <w:jc w:val="center"/>
              <w:rPr>
                <w:rFonts w:ascii="Times New Roman" w:hAnsi="Times New Roman" w:cs="Times New Roman"/>
                <w:b/>
                <w:bCs/>
                <w:color w:val="000000"/>
                <w:highlight w:val="none"/>
              </w:rPr>
            </w:pPr>
          </w:p>
        </w:tc>
        <w:tc>
          <w:tcPr>
            <w:tcW w:w="5064"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造成一般辐射事故</w:t>
            </w:r>
          </w:p>
        </w:tc>
        <w:tc>
          <w:tcPr>
            <w:tcW w:w="262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3" w:type="dxa"/>
            <w:vMerge w:val="continue"/>
            <w:vAlign w:val="center"/>
          </w:tcPr>
          <w:p>
            <w:pPr>
              <w:snapToGrid w:val="0"/>
              <w:jc w:val="center"/>
              <w:rPr>
                <w:rFonts w:ascii="Times New Roman" w:hAnsi="Times New Roman" w:cs="Times New Roman"/>
                <w:b/>
                <w:bCs/>
                <w:color w:val="000000"/>
                <w:highlight w:val="none"/>
              </w:rPr>
            </w:pPr>
          </w:p>
        </w:tc>
        <w:tc>
          <w:tcPr>
            <w:tcW w:w="5064"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造成较大辐射事故</w:t>
            </w:r>
          </w:p>
        </w:tc>
        <w:tc>
          <w:tcPr>
            <w:tcW w:w="262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3" w:type="dxa"/>
            <w:vMerge w:val="continue"/>
            <w:vAlign w:val="center"/>
          </w:tcPr>
          <w:p>
            <w:pPr>
              <w:snapToGrid w:val="0"/>
              <w:jc w:val="center"/>
              <w:rPr>
                <w:rFonts w:ascii="Times New Roman" w:hAnsi="Times New Roman" w:cs="Times New Roman"/>
                <w:b/>
                <w:bCs/>
                <w:color w:val="000000"/>
                <w:highlight w:val="none"/>
              </w:rPr>
            </w:pPr>
          </w:p>
        </w:tc>
        <w:tc>
          <w:tcPr>
            <w:tcW w:w="5064"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造成重大辐射事故</w:t>
            </w:r>
          </w:p>
        </w:tc>
        <w:tc>
          <w:tcPr>
            <w:tcW w:w="262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3" w:type="dxa"/>
            <w:vMerge w:val="continue"/>
            <w:vAlign w:val="center"/>
          </w:tcPr>
          <w:p>
            <w:pPr>
              <w:snapToGrid w:val="0"/>
              <w:jc w:val="center"/>
              <w:rPr>
                <w:rFonts w:ascii="Times New Roman" w:hAnsi="Times New Roman" w:cs="Times New Roman"/>
                <w:b/>
                <w:bCs/>
                <w:color w:val="000000"/>
                <w:highlight w:val="none"/>
              </w:rPr>
            </w:pPr>
          </w:p>
        </w:tc>
        <w:tc>
          <w:tcPr>
            <w:tcW w:w="5064"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造成特别重大辐射事故</w:t>
            </w:r>
          </w:p>
        </w:tc>
        <w:tc>
          <w:tcPr>
            <w:tcW w:w="262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523"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工作场所</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防护情况</w:t>
            </w:r>
          </w:p>
        </w:tc>
        <w:tc>
          <w:tcPr>
            <w:tcW w:w="5064"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有防护措施</w:t>
            </w:r>
          </w:p>
        </w:tc>
        <w:tc>
          <w:tcPr>
            <w:tcW w:w="262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3" w:type="dxa"/>
            <w:vMerge w:val="continue"/>
            <w:vAlign w:val="center"/>
          </w:tcPr>
          <w:p>
            <w:pPr>
              <w:snapToGrid w:val="0"/>
              <w:jc w:val="center"/>
              <w:rPr>
                <w:rFonts w:ascii="Times New Roman" w:hAnsi="Times New Roman" w:cs="Times New Roman"/>
                <w:b/>
                <w:bCs/>
                <w:color w:val="000000"/>
                <w:highlight w:val="none"/>
              </w:rPr>
            </w:pPr>
          </w:p>
        </w:tc>
        <w:tc>
          <w:tcPr>
            <w:tcW w:w="5064"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有防护措施但不完备</w:t>
            </w:r>
          </w:p>
        </w:tc>
        <w:tc>
          <w:tcPr>
            <w:tcW w:w="262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3" w:type="dxa"/>
            <w:vMerge w:val="continue"/>
            <w:vAlign w:val="center"/>
          </w:tcPr>
          <w:p>
            <w:pPr>
              <w:snapToGrid w:val="0"/>
              <w:jc w:val="center"/>
              <w:rPr>
                <w:rFonts w:ascii="Times New Roman" w:hAnsi="Times New Roman" w:cs="Times New Roman"/>
                <w:b/>
                <w:bCs/>
                <w:color w:val="000000"/>
                <w:highlight w:val="none"/>
              </w:rPr>
            </w:pPr>
          </w:p>
        </w:tc>
        <w:tc>
          <w:tcPr>
            <w:tcW w:w="5064"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无防护措施</w:t>
            </w:r>
          </w:p>
        </w:tc>
        <w:tc>
          <w:tcPr>
            <w:tcW w:w="262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3"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超过限期</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改正时间</w:t>
            </w:r>
          </w:p>
        </w:tc>
        <w:tc>
          <w:tcPr>
            <w:tcW w:w="5064"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w:t>
            </w:r>
          </w:p>
        </w:tc>
        <w:tc>
          <w:tcPr>
            <w:tcW w:w="2621"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3" w:type="dxa"/>
            <w:vMerge w:val="continue"/>
            <w:vAlign w:val="center"/>
          </w:tcPr>
          <w:p>
            <w:pPr>
              <w:snapToGrid w:val="0"/>
              <w:jc w:val="center"/>
              <w:rPr>
                <w:rFonts w:ascii="Times New Roman" w:hAnsi="Times New Roman" w:cs="Times New Roman"/>
                <w:b/>
                <w:bCs/>
                <w:color w:val="000000"/>
                <w:highlight w:val="none"/>
              </w:rPr>
            </w:pPr>
          </w:p>
        </w:tc>
        <w:tc>
          <w:tcPr>
            <w:tcW w:w="5064"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天</w:t>
            </w:r>
          </w:p>
        </w:tc>
        <w:tc>
          <w:tcPr>
            <w:tcW w:w="262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3" w:type="dxa"/>
            <w:vMerge w:val="continue"/>
            <w:vAlign w:val="center"/>
          </w:tcPr>
          <w:p>
            <w:pPr>
              <w:snapToGrid w:val="0"/>
              <w:jc w:val="center"/>
              <w:rPr>
                <w:rFonts w:ascii="Times New Roman" w:hAnsi="Times New Roman" w:cs="Times New Roman"/>
                <w:b/>
                <w:bCs/>
                <w:color w:val="000000"/>
                <w:highlight w:val="none"/>
              </w:rPr>
            </w:pPr>
          </w:p>
        </w:tc>
        <w:tc>
          <w:tcPr>
            <w:tcW w:w="5064"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天</w:t>
            </w:r>
          </w:p>
        </w:tc>
        <w:tc>
          <w:tcPr>
            <w:tcW w:w="262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3" w:type="dxa"/>
            <w:vMerge w:val="continue"/>
            <w:vAlign w:val="center"/>
          </w:tcPr>
          <w:p>
            <w:pPr>
              <w:snapToGrid w:val="0"/>
              <w:jc w:val="center"/>
              <w:rPr>
                <w:rFonts w:ascii="Times New Roman" w:hAnsi="Times New Roman" w:cs="Times New Roman"/>
                <w:b/>
                <w:bCs/>
                <w:color w:val="000000"/>
                <w:highlight w:val="none"/>
              </w:rPr>
            </w:pPr>
          </w:p>
        </w:tc>
        <w:tc>
          <w:tcPr>
            <w:tcW w:w="5064"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w:t>
            </w:r>
          </w:p>
        </w:tc>
        <w:tc>
          <w:tcPr>
            <w:tcW w:w="262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3" w:type="dxa"/>
            <w:vMerge w:val="continue"/>
            <w:vAlign w:val="center"/>
          </w:tcPr>
          <w:p>
            <w:pPr>
              <w:snapToGrid w:val="0"/>
              <w:jc w:val="center"/>
              <w:rPr>
                <w:rFonts w:ascii="Times New Roman" w:hAnsi="Times New Roman" w:cs="Times New Roman"/>
                <w:b/>
                <w:bCs/>
                <w:color w:val="000000"/>
                <w:highlight w:val="none"/>
              </w:rPr>
            </w:pPr>
          </w:p>
        </w:tc>
        <w:tc>
          <w:tcPr>
            <w:tcW w:w="5064"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个月以上</w:t>
            </w:r>
          </w:p>
        </w:tc>
        <w:tc>
          <w:tcPr>
            <w:tcW w:w="262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3"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违法行为持续时间或</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发生频次</w:t>
            </w:r>
          </w:p>
        </w:tc>
        <w:tc>
          <w:tcPr>
            <w:tcW w:w="5064"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个月以内或</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次以下</w:t>
            </w:r>
          </w:p>
        </w:tc>
        <w:tc>
          <w:tcPr>
            <w:tcW w:w="262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3" w:type="dxa"/>
            <w:vMerge w:val="continue"/>
            <w:vAlign w:val="center"/>
          </w:tcPr>
          <w:p>
            <w:pPr>
              <w:snapToGrid w:val="0"/>
              <w:jc w:val="center"/>
              <w:rPr>
                <w:rFonts w:ascii="Times New Roman" w:hAnsi="Times New Roman" w:cs="Times New Roman"/>
                <w:b/>
                <w:bCs/>
                <w:color w:val="000000"/>
                <w:highlight w:val="none"/>
              </w:rPr>
            </w:pPr>
          </w:p>
        </w:tc>
        <w:tc>
          <w:tcPr>
            <w:tcW w:w="5064"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个月以上</w:t>
            </w: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个月以内或</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次</w:t>
            </w:r>
          </w:p>
        </w:tc>
        <w:tc>
          <w:tcPr>
            <w:tcW w:w="262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3" w:type="dxa"/>
            <w:vMerge w:val="continue"/>
            <w:vAlign w:val="center"/>
          </w:tcPr>
          <w:p>
            <w:pPr>
              <w:snapToGrid w:val="0"/>
              <w:jc w:val="center"/>
              <w:rPr>
                <w:rFonts w:ascii="Times New Roman" w:hAnsi="Times New Roman" w:cs="Times New Roman"/>
                <w:b/>
                <w:bCs/>
                <w:color w:val="000000"/>
                <w:highlight w:val="none"/>
              </w:rPr>
            </w:pPr>
          </w:p>
        </w:tc>
        <w:tc>
          <w:tcPr>
            <w:tcW w:w="5064"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个月或</w:t>
            </w: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次以上</w:t>
            </w:r>
          </w:p>
        </w:tc>
        <w:tc>
          <w:tcPr>
            <w:tcW w:w="2621"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685" w:type="dxa"/>
            <w:gridSpan w:val="2"/>
            <w:vAlign w:val="center"/>
          </w:tcPr>
          <w:p>
            <w:pPr>
              <w:snapToGrid w:val="0"/>
              <w:ind w:firstLine="420"/>
              <w:jc w:val="center"/>
              <w:rPr>
                <w:rFonts w:ascii="Times New Roman" w:hAnsi="Times New Roman" w:cs="Times New Roman"/>
                <w:color w:val="000000"/>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5277"/>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66"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66"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生产放射性同位素的单位未建立放射性同位素产品台账，责令限期改正逾期不改正的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66" w:type="dxa"/>
            <w:gridSpan w:val="2"/>
          </w:tcPr>
          <w:p>
            <w:pPr>
              <w:pStyle w:val="11"/>
              <w:snapToGrid w:val="0"/>
              <w:spacing w:before="62" w:beforeLines="20"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《放射性同位素与射线装置安全和防护条例》第二十二条第一款</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生产放射性同位素的单位，应当建立放射性同位素产品台账，并按照国务院生态环境主管部门制定的编码规则，对生产的放射源统一编码。放射性同位素产品台账和放射源编码清单应当报国务院生态环境主管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66" w:type="dxa"/>
            <w:gridSpan w:val="2"/>
          </w:tcPr>
          <w:p>
            <w:pPr>
              <w:pStyle w:val="11"/>
              <w:snapToGrid w:val="0"/>
              <w:spacing w:before="62" w:beforeLines="20"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《放射性同位素与射线装置安全和防护条例》第五十八条第（一）项</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违反本条例规定，生产放射性同位素的单位有下列行为之一的，由县级以上人民政府生态环境主管部门责令限期改正，给予警告；逾期不改正的，依法收缴其未备案的放射性同位素和未编码的放射源，处</w:t>
            </w:r>
            <w:r>
              <w:rPr>
                <w:rFonts w:ascii="Times New Roman" w:hAnsi="Times New Roman" w:eastAsia="仿宋_GB2312" w:cs="Times New Roman"/>
                <w:sz w:val="21"/>
                <w:szCs w:val="21"/>
                <w:highlight w:val="none"/>
              </w:rPr>
              <w:t>5</w:t>
            </w:r>
            <w:r>
              <w:rPr>
                <w:rFonts w:hint="eastAsia" w:ascii="Times New Roman" w:hAnsi="Times New Roman" w:eastAsia="仿宋_GB2312" w:cs="仿宋_GB2312"/>
                <w:sz w:val="21"/>
                <w:szCs w:val="21"/>
                <w:highlight w:val="none"/>
              </w:rPr>
              <w:t>万元以上</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万元以下的罚款，并可以由原发证机关暂扣或者吊销许可证：</w:t>
            </w:r>
          </w:p>
          <w:p>
            <w:pPr>
              <w:pStyle w:val="11"/>
              <w:snapToGrid w:val="0"/>
              <w:spacing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（一）未建立放射性同位素产品台账的。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77"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8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涉及放射类型</w:t>
            </w:r>
            <w:r>
              <w:rPr>
                <w:rFonts w:hint="eastAsia" w:ascii="Times New Roman" w:hAnsi="Times New Roman" w:cs="宋体"/>
                <w:b/>
                <w:bCs/>
                <w:color w:val="000000"/>
                <w:highlight w:val="none"/>
              </w:rPr>
              <w:t>★</w:t>
            </w:r>
          </w:p>
        </w:tc>
        <w:tc>
          <w:tcPr>
            <w:tcW w:w="5277"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Ⅳ</w:t>
            </w:r>
            <w:r>
              <w:rPr>
                <w:rFonts w:hint="eastAsia" w:ascii="Times New Roman" w:hAnsi="Times New Roman" w:eastAsia="仿宋_GB2312" w:cs="仿宋_GB2312"/>
                <w:highlight w:val="none"/>
              </w:rPr>
              <w:t>类、</w:t>
            </w:r>
            <w:r>
              <w:rPr>
                <w:rFonts w:hint="eastAsia" w:ascii="宋体" w:hAnsi="宋体" w:cs="宋体"/>
                <w:highlight w:val="none"/>
              </w:rPr>
              <w:t>Ⅴ</w:t>
            </w:r>
            <w:r>
              <w:rPr>
                <w:rFonts w:hint="eastAsia" w:ascii="Times New Roman" w:hAnsi="Times New Roman" w:eastAsia="仿宋_GB2312" w:cs="仿宋_GB2312"/>
                <w:highlight w:val="none"/>
              </w:rPr>
              <w:t>类放射源</w:t>
            </w:r>
          </w:p>
        </w:tc>
        <w:tc>
          <w:tcPr>
            <w:tcW w:w="2689"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vMerge w:val="continue"/>
            <w:vAlign w:val="center"/>
          </w:tcPr>
          <w:p>
            <w:pPr>
              <w:snapToGrid w:val="0"/>
              <w:jc w:val="center"/>
              <w:rPr>
                <w:rFonts w:ascii="Times New Roman" w:hAnsi="Times New Roman" w:cs="Times New Roman"/>
                <w:b/>
                <w:bCs/>
                <w:highlight w:val="none"/>
              </w:rPr>
            </w:pPr>
          </w:p>
        </w:tc>
        <w:tc>
          <w:tcPr>
            <w:tcW w:w="5277"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sz w:val="21"/>
                <w:szCs w:val="21"/>
                <w:highlight w:val="none"/>
              </w:rPr>
              <w:t>Ⅲ</w:t>
            </w:r>
            <w:r>
              <w:rPr>
                <w:rFonts w:hint="eastAsia" w:ascii="Times New Roman" w:hAnsi="Times New Roman" w:eastAsia="仿宋_GB2312" w:cs="仿宋_GB2312"/>
                <w:sz w:val="21"/>
                <w:szCs w:val="21"/>
                <w:highlight w:val="none"/>
              </w:rPr>
              <w:t>类放射源</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vMerge w:val="continue"/>
            <w:vAlign w:val="center"/>
          </w:tcPr>
          <w:p>
            <w:pPr>
              <w:snapToGrid w:val="0"/>
              <w:jc w:val="center"/>
              <w:rPr>
                <w:rFonts w:ascii="Times New Roman" w:hAnsi="Times New Roman" w:cs="Times New Roman"/>
                <w:b/>
                <w:bCs/>
                <w:highlight w:val="none"/>
              </w:rPr>
            </w:pPr>
          </w:p>
        </w:tc>
        <w:tc>
          <w:tcPr>
            <w:tcW w:w="5277"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sz w:val="21"/>
                <w:szCs w:val="21"/>
                <w:highlight w:val="none"/>
              </w:rPr>
              <w:t>Ⅰ</w:t>
            </w:r>
            <w:r>
              <w:rPr>
                <w:rFonts w:hint="eastAsia" w:ascii="Times New Roman" w:hAnsi="Times New Roman" w:eastAsia="仿宋_GB2312" w:cs="仿宋_GB2312"/>
                <w:sz w:val="21"/>
                <w:szCs w:val="21"/>
                <w:highlight w:val="none"/>
              </w:rPr>
              <w:t>类、</w:t>
            </w:r>
            <w:r>
              <w:rPr>
                <w:rFonts w:hint="eastAsia"/>
                <w:sz w:val="21"/>
                <w:szCs w:val="21"/>
                <w:highlight w:val="none"/>
              </w:rPr>
              <w:t>Ⅱ</w:t>
            </w:r>
            <w:r>
              <w:rPr>
                <w:rFonts w:hint="eastAsia" w:ascii="Times New Roman" w:hAnsi="Times New Roman" w:eastAsia="仿宋_GB2312" w:cs="仿宋_GB2312"/>
                <w:sz w:val="21"/>
                <w:szCs w:val="21"/>
                <w:highlight w:val="none"/>
              </w:rPr>
              <w:t>类放射源</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vMerge w:val="restart"/>
            <w:tcMar>
              <w:left w:w="57" w:type="dxa"/>
              <w:right w:w="57" w:type="dxa"/>
            </w:tcMar>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非密封放射性物质工作场所分类</w:t>
            </w:r>
          </w:p>
        </w:tc>
        <w:tc>
          <w:tcPr>
            <w:tcW w:w="5277"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丙级工作场所</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vMerge w:val="continue"/>
            <w:vAlign w:val="center"/>
          </w:tcPr>
          <w:p>
            <w:pPr>
              <w:snapToGrid w:val="0"/>
              <w:jc w:val="center"/>
              <w:rPr>
                <w:rFonts w:ascii="Times New Roman" w:hAnsi="Times New Roman" w:cs="Times New Roman"/>
                <w:b/>
                <w:bCs/>
                <w:color w:val="000000"/>
                <w:highlight w:val="none"/>
              </w:rPr>
            </w:pPr>
          </w:p>
        </w:tc>
        <w:tc>
          <w:tcPr>
            <w:tcW w:w="5277"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乙级工作场所</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vMerge w:val="continue"/>
            <w:vAlign w:val="center"/>
          </w:tcPr>
          <w:p>
            <w:pPr>
              <w:snapToGrid w:val="0"/>
              <w:jc w:val="center"/>
              <w:rPr>
                <w:rFonts w:ascii="Times New Roman" w:hAnsi="Times New Roman" w:cs="Times New Roman"/>
                <w:b/>
                <w:bCs/>
                <w:color w:val="000000"/>
                <w:highlight w:val="none"/>
              </w:rPr>
            </w:pPr>
          </w:p>
        </w:tc>
        <w:tc>
          <w:tcPr>
            <w:tcW w:w="5277"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甲级工作场所</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超过限期</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改正时间</w:t>
            </w:r>
          </w:p>
        </w:tc>
        <w:tc>
          <w:tcPr>
            <w:tcW w:w="5277"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不足</w:t>
            </w:r>
            <w:r>
              <w:rPr>
                <w:rFonts w:ascii="Times New Roman" w:hAnsi="Times New Roman" w:eastAsia="仿宋_GB2312" w:cs="Times New Roman"/>
                <w:highlight w:val="none"/>
              </w:rPr>
              <w:t>5</w:t>
            </w:r>
            <w:r>
              <w:rPr>
                <w:rFonts w:hint="eastAsia" w:ascii="Times New Roman" w:hAnsi="Times New Roman" w:eastAsia="仿宋_GB2312" w:cs="仿宋_GB2312"/>
                <w:highlight w:val="none"/>
              </w:rPr>
              <w:t>天</w:t>
            </w:r>
          </w:p>
        </w:tc>
        <w:tc>
          <w:tcPr>
            <w:tcW w:w="268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vMerge w:val="continue"/>
            <w:vAlign w:val="center"/>
          </w:tcPr>
          <w:p>
            <w:pPr>
              <w:snapToGrid w:val="0"/>
              <w:jc w:val="center"/>
              <w:rPr>
                <w:rFonts w:ascii="Times New Roman" w:hAnsi="Times New Roman" w:cs="Times New Roman"/>
                <w:b/>
                <w:bCs/>
                <w:highlight w:val="none"/>
              </w:rPr>
            </w:pPr>
          </w:p>
        </w:tc>
        <w:tc>
          <w:tcPr>
            <w:tcW w:w="527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r>
              <w:rPr>
                <w:rFonts w:hint="eastAsia" w:ascii="Times New Roman" w:hAnsi="Times New Roman" w:eastAsia="仿宋_GB2312" w:cs="仿宋_GB2312"/>
                <w:highlight w:val="none"/>
              </w:rPr>
              <w:t>天以上不足</w:t>
            </w:r>
            <w:r>
              <w:rPr>
                <w:rFonts w:ascii="Times New Roman" w:hAnsi="Times New Roman" w:eastAsia="仿宋_GB2312" w:cs="Times New Roman"/>
                <w:highlight w:val="none"/>
              </w:rPr>
              <w:t>10</w:t>
            </w:r>
            <w:r>
              <w:rPr>
                <w:rFonts w:hint="eastAsia" w:ascii="Times New Roman" w:hAnsi="Times New Roman" w:eastAsia="仿宋_GB2312" w:cs="仿宋_GB2312"/>
                <w:highlight w:val="none"/>
              </w:rPr>
              <w:t>天</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vMerge w:val="continue"/>
            <w:vAlign w:val="center"/>
          </w:tcPr>
          <w:p>
            <w:pPr>
              <w:snapToGrid w:val="0"/>
              <w:jc w:val="center"/>
              <w:rPr>
                <w:rFonts w:ascii="Times New Roman" w:hAnsi="Times New Roman" w:cs="Times New Roman"/>
                <w:b/>
                <w:bCs/>
                <w:highlight w:val="none"/>
              </w:rPr>
            </w:pPr>
          </w:p>
        </w:tc>
        <w:tc>
          <w:tcPr>
            <w:tcW w:w="527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10</w:t>
            </w:r>
            <w:r>
              <w:rPr>
                <w:rFonts w:hint="eastAsia" w:ascii="Times New Roman" w:hAnsi="Times New Roman" w:eastAsia="仿宋_GB2312" w:cs="仿宋_GB2312"/>
                <w:highlight w:val="none"/>
              </w:rPr>
              <w:t>天以上不足</w:t>
            </w:r>
            <w:r>
              <w:rPr>
                <w:rFonts w:ascii="Times New Roman" w:hAnsi="Times New Roman" w:eastAsia="仿宋_GB2312" w:cs="Times New Roman"/>
                <w:highlight w:val="none"/>
              </w:rPr>
              <w:t>20</w:t>
            </w:r>
            <w:r>
              <w:rPr>
                <w:rFonts w:hint="eastAsia" w:ascii="Times New Roman" w:hAnsi="Times New Roman" w:eastAsia="仿宋_GB2312" w:cs="仿宋_GB2312"/>
                <w:highlight w:val="none"/>
              </w:rPr>
              <w:t>天</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vMerge w:val="continue"/>
            <w:vAlign w:val="center"/>
          </w:tcPr>
          <w:p>
            <w:pPr>
              <w:snapToGrid w:val="0"/>
              <w:jc w:val="center"/>
              <w:rPr>
                <w:rFonts w:ascii="Times New Roman" w:hAnsi="Times New Roman" w:cs="Times New Roman"/>
                <w:b/>
                <w:bCs/>
                <w:highlight w:val="none"/>
              </w:rPr>
            </w:pPr>
          </w:p>
        </w:tc>
        <w:tc>
          <w:tcPr>
            <w:tcW w:w="527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20</w:t>
            </w:r>
            <w:r>
              <w:rPr>
                <w:rFonts w:hint="eastAsia" w:ascii="Times New Roman" w:hAnsi="Times New Roman" w:eastAsia="仿宋_GB2312" w:cs="仿宋_GB2312"/>
                <w:highlight w:val="none"/>
              </w:rPr>
              <w:t>天以上不足</w:t>
            </w:r>
            <w:r>
              <w:rPr>
                <w:rFonts w:ascii="Times New Roman" w:hAnsi="Times New Roman" w:eastAsia="仿宋_GB2312" w:cs="Times New Roman"/>
                <w:highlight w:val="none"/>
              </w:rPr>
              <w:t>1</w:t>
            </w:r>
            <w:r>
              <w:rPr>
                <w:rFonts w:hint="eastAsia" w:ascii="Times New Roman" w:hAnsi="Times New Roman" w:eastAsia="仿宋_GB2312" w:cs="仿宋_GB2312"/>
                <w:highlight w:val="none"/>
              </w:rPr>
              <w:t>个月</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vMerge w:val="continue"/>
            <w:vAlign w:val="center"/>
          </w:tcPr>
          <w:p>
            <w:pPr>
              <w:snapToGrid w:val="0"/>
              <w:jc w:val="center"/>
              <w:rPr>
                <w:rFonts w:ascii="Times New Roman" w:hAnsi="Times New Roman" w:cs="Times New Roman"/>
                <w:b/>
                <w:bCs/>
                <w:highlight w:val="none"/>
              </w:rPr>
            </w:pPr>
          </w:p>
        </w:tc>
        <w:tc>
          <w:tcPr>
            <w:tcW w:w="5277"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r>
              <w:rPr>
                <w:rFonts w:hint="eastAsia" w:ascii="Times New Roman" w:hAnsi="Times New Roman" w:eastAsia="仿宋_GB2312" w:cs="仿宋_GB2312"/>
                <w:highlight w:val="none"/>
              </w:rPr>
              <w:t>个月以上</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66"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tcPr>
          <w:p>
            <w:pPr>
              <w:pStyle w:val="11"/>
              <w:snapToGrid w:val="0"/>
              <w:spacing w:before="62" w:beforeLines="20"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生产放射性同位素的单位未按照国务院生态环境主管部门制定的编码规则，对生产的放射源进行统一编码，责令限期改正逾期不改正的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Pr>
          <w:p>
            <w:pPr>
              <w:pStyle w:val="11"/>
              <w:snapToGrid w:val="0"/>
              <w:spacing w:before="62" w:beforeLines="20"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《放射性同位素与射线装置安全和防护条例》第二十二条第一款</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生产放射性同位素的单位，应当建立放射性同位素产品台账，并按照国务院生态环境主管部门制定的编码规则，对生产的放射源统一编码。放射性同位素产品台账和放射源编码清单应当报国务院生态环境主管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《放射性同位素与射线装置安全和防护条例》第五十八条第（二）项</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违反本条例规定，生产放射性同位素的单位有下列行为之一的，由县级以上人民政府生态环境主管部门责令限期改正，给予警告；逾期不改正的，依法收缴其未备案的放射性同位素和未编码的放射源，处</w:t>
            </w:r>
            <w:r>
              <w:rPr>
                <w:rFonts w:ascii="Times New Roman" w:hAnsi="Times New Roman" w:eastAsia="仿宋_GB2312" w:cs="Times New Roman"/>
                <w:sz w:val="21"/>
                <w:szCs w:val="21"/>
                <w:highlight w:val="none"/>
              </w:rPr>
              <w:t>5</w:t>
            </w:r>
            <w:r>
              <w:rPr>
                <w:rFonts w:hint="eastAsia" w:ascii="Times New Roman" w:hAnsi="Times New Roman" w:eastAsia="仿宋_GB2312" w:cs="仿宋_GB2312"/>
                <w:sz w:val="21"/>
                <w:szCs w:val="21"/>
                <w:highlight w:val="none"/>
              </w:rPr>
              <w:t>万元以上</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万元以下的罚款，并可以由原发证机关暂扣或者吊销许可证：</w:t>
            </w:r>
          </w:p>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（二）未按照国务院生态环境主管部门制定的编码规则，对生产的放射源进行统一编码的。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2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89"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对生产的放射源未规范进行统一编码的</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对生产的放射源部分进行统一编码的</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未对生产的放射源进行统一编码的</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涉及放射</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类型</w:t>
            </w: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color w:val="000000"/>
                <w:highlight w:val="none"/>
              </w:rPr>
              <w:t>Ⅳ</w:t>
            </w:r>
            <w:r>
              <w:rPr>
                <w:rFonts w:hint="eastAsia" w:ascii="Times New Roman" w:hAnsi="Times New Roman" w:eastAsia="仿宋_GB2312" w:cs="仿宋_GB2312"/>
                <w:color w:val="000000"/>
                <w:highlight w:val="none"/>
              </w:rPr>
              <w:t>类、</w:t>
            </w:r>
            <w:r>
              <w:rPr>
                <w:rFonts w:hint="eastAsia" w:ascii="宋体" w:hAnsi="宋体" w:cs="宋体"/>
                <w:color w:val="000000"/>
                <w:highlight w:val="none"/>
              </w:rPr>
              <w:t>Ⅴ</w:t>
            </w:r>
            <w:r>
              <w:rPr>
                <w:rFonts w:hint="eastAsia" w:ascii="Times New Roman" w:hAnsi="Times New Roman" w:eastAsia="仿宋_GB2312" w:cs="仿宋_GB2312"/>
                <w:color w:val="000000"/>
                <w:highlight w:val="none"/>
              </w:rPr>
              <w:t>类放射源</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color w:val="000000"/>
                <w:sz w:val="21"/>
                <w:szCs w:val="21"/>
                <w:highlight w:val="none"/>
              </w:rPr>
              <w:t>Ⅲ</w:t>
            </w:r>
            <w:r>
              <w:rPr>
                <w:rFonts w:hint="eastAsia" w:ascii="Times New Roman" w:hAnsi="Times New Roman" w:eastAsia="仿宋_GB2312" w:cs="仿宋_GB2312"/>
                <w:color w:val="000000"/>
                <w:sz w:val="21"/>
                <w:szCs w:val="21"/>
                <w:highlight w:val="none"/>
              </w:rPr>
              <w:t>类放射源</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color w:val="000000"/>
                <w:sz w:val="21"/>
                <w:szCs w:val="21"/>
                <w:highlight w:val="none"/>
              </w:rPr>
              <w:t>Ⅰ</w:t>
            </w:r>
            <w:r>
              <w:rPr>
                <w:rFonts w:hint="eastAsia" w:ascii="Times New Roman" w:hAnsi="Times New Roman" w:eastAsia="仿宋_GB2312" w:cs="仿宋_GB2312"/>
                <w:color w:val="000000"/>
                <w:sz w:val="21"/>
                <w:szCs w:val="21"/>
                <w:highlight w:val="none"/>
              </w:rPr>
              <w:t>类、</w:t>
            </w:r>
            <w:r>
              <w:rPr>
                <w:rFonts w:hint="eastAsia"/>
                <w:color w:val="000000"/>
                <w:sz w:val="21"/>
                <w:szCs w:val="21"/>
                <w:highlight w:val="none"/>
              </w:rPr>
              <w:t>Ⅱ</w:t>
            </w:r>
            <w:r>
              <w:rPr>
                <w:rFonts w:hint="eastAsia" w:ascii="Times New Roman" w:hAnsi="Times New Roman" w:eastAsia="仿宋_GB2312" w:cs="仿宋_GB2312"/>
                <w:color w:val="000000"/>
                <w:sz w:val="21"/>
                <w:szCs w:val="21"/>
                <w:highlight w:val="none"/>
              </w:rPr>
              <w:t>类放射源</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超过限期</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改正时间</w:t>
            </w: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cs="Times New Roman"/>
                <w:color w:val="000000"/>
                <w:sz w:val="21"/>
                <w:szCs w:val="21"/>
                <w:highlight w:val="none"/>
              </w:rPr>
            </w:pPr>
            <w:r>
              <w:rPr>
                <w:rFonts w:ascii="Times New Roman" w:hAnsi="Times New Roman" w:eastAsia="仿宋_GB2312" w:cs="Times New Roman"/>
                <w:color w:val="000000"/>
                <w:sz w:val="21"/>
                <w:szCs w:val="21"/>
                <w:highlight w:val="none"/>
              </w:rPr>
              <w:t>5</w:t>
            </w:r>
            <w:r>
              <w:rPr>
                <w:rFonts w:hint="eastAsia" w:ascii="Times New Roman" w:hAnsi="Times New Roman" w:eastAsia="仿宋_GB2312" w:cs="仿宋_GB2312"/>
                <w:color w:val="000000"/>
                <w:sz w:val="21"/>
                <w:szCs w:val="21"/>
                <w:highlight w:val="none"/>
              </w:rPr>
              <w:t>天以上不足</w:t>
            </w: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天</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cs="Times New Roman"/>
                <w:color w:val="000000"/>
                <w:sz w:val="21"/>
                <w:szCs w:val="21"/>
                <w:highlight w:val="none"/>
              </w:rPr>
            </w:pP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天以上不足</w:t>
            </w:r>
            <w:r>
              <w:rPr>
                <w:rFonts w:ascii="Times New Roman" w:hAnsi="Times New Roman" w:eastAsia="仿宋_GB2312" w:cs="Times New Roman"/>
                <w:color w:val="000000"/>
                <w:sz w:val="21"/>
                <w:szCs w:val="21"/>
                <w:highlight w:val="none"/>
              </w:rPr>
              <w:t>20</w:t>
            </w:r>
            <w:r>
              <w:rPr>
                <w:rFonts w:hint="eastAsia" w:ascii="Times New Roman" w:hAnsi="Times New Roman" w:eastAsia="仿宋_GB2312" w:cs="仿宋_GB2312"/>
                <w:color w:val="000000"/>
                <w:sz w:val="21"/>
                <w:szCs w:val="21"/>
                <w:highlight w:val="none"/>
              </w:rPr>
              <w:t>天</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cs="Times New Roman"/>
                <w:color w:val="000000"/>
                <w:sz w:val="21"/>
                <w:szCs w:val="21"/>
                <w:highlight w:val="none"/>
              </w:rPr>
            </w:pPr>
            <w:r>
              <w:rPr>
                <w:rFonts w:ascii="Times New Roman" w:hAnsi="Times New Roman" w:eastAsia="仿宋_GB2312" w:cs="Times New Roman"/>
                <w:color w:val="000000"/>
                <w:sz w:val="21"/>
                <w:szCs w:val="21"/>
                <w:highlight w:val="none"/>
              </w:rPr>
              <w:t>20</w:t>
            </w:r>
            <w:r>
              <w:rPr>
                <w:rFonts w:hint="eastAsia" w:ascii="Times New Roman" w:hAnsi="Times New Roman" w:eastAsia="仿宋_GB2312" w:cs="仿宋_GB2312"/>
                <w:color w:val="000000"/>
                <w:sz w:val="21"/>
                <w:szCs w:val="21"/>
                <w:highlight w:val="none"/>
              </w:rPr>
              <w:t>天以上不足</w:t>
            </w: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个月</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cs="Times New Roman"/>
                <w:color w:val="000000"/>
                <w:sz w:val="21"/>
                <w:szCs w:val="21"/>
                <w:highlight w:val="none"/>
              </w:rPr>
            </w:pPr>
            <w:r>
              <w:rPr>
                <w:rFonts w:ascii="Times New Roman" w:hAnsi="Times New Roman" w:eastAsia="仿宋_GB2312" w:cs="Times New Roman"/>
                <w:color w:val="000000"/>
                <w:sz w:val="21"/>
                <w:szCs w:val="21"/>
                <w:highlight w:val="none"/>
              </w:rPr>
              <w:t>1</w:t>
            </w:r>
            <w:r>
              <w:rPr>
                <w:rFonts w:hint="eastAsia" w:ascii="Times New Roman" w:hAnsi="Times New Roman" w:eastAsia="仿宋_GB2312" w:cs="仿宋_GB2312"/>
                <w:color w:val="000000"/>
                <w:sz w:val="21"/>
                <w:szCs w:val="21"/>
                <w:highlight w:val="none"/>
              </w:rPr>
              <w:t>个月以上</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违法行为持续时间或</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发生频次</w:t>
            </w: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个月以内或</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次以下</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个月以上</w:t>
            </w: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个月以内或</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次</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个月或</w:t>
            </w: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次以上</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902" w:type="dxa"/>
            <w:gridSpan w:val="2"/>
            <w:vAlign w:val="center"/>
          </w:tcPr>
          <w:p>
            <w:pPr>
              <w:snapToGrid w:val="0"/>
              <w:ind w:firstLine="420"/>
              <w:jc w:val="center"/>
              <w:rPr>
                <w:rFonts w:ascii="Times New Roman" w:hAnsi="Times New Roman" w:cs="Times New Roman"/>
                <w:color w:val="000000"/>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tcPr>
          <w:p>
            <w:pPr>
              <w:pStyle w:val="11"/>
              <w:snapToGrid w:val="0"/>
              <w:spacing w:before="62" w:beforeLines="20"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生产放射性同位素的单位未将放射性同位素产品台账和放射源编码清单报国务院生态环境主管部门备案，责令限期改正逾期不改正的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Pr>
          <w:p>
            <w:pPr>
              <w:pStyle w:val="11"/>
              <w:snapToGrid w:val="0"/>
              <w:spacing w:before="62" w:beforeLines="20"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《放射性同位素与射线装置安全和防护条例》第二十二条第一款</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生产放射性同位素的单位，应当建立放射性同位素产品台账，并按照国务院生态环境主管部门制定的编码规则，对生产的放射源统一编码。放射性同位素产品台账和放射源编码清单应当报国务院生态环境主管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Pr>
          <w:p>
            <w:pPr>
              <w:pStyle w:val="11"/>
              <w:snapToGrid w:val="0"/>
              <w:spacing w:before="62" w:beforeLines="20"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《放射性同位素与射线装置安全和防护条例》第五十八条第（三）项</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违反本条例规定，生产放射性同位素的单位有下列行为之一的，由县级以上人民政府生态环境主管部门责令限期改正，给予警告；逾期不改正的，依法收缴其未备案的放射性同位素和未编码的放射源，处</w:t>
            </w:r>
            <w:r>
              <w:rPr>
                <w:rFonts w:ascii="Times New Roman" w:hAnsi="Times New Roman" w:eastAsia="仿宋_GB2312" w:cs="Times New Roman"/>
                <w:sz w:val="21"/>
                <w:szCs w:val="21"/>
                <w:highlight w:val="none"/>
              </w:rPr>
              <w:t>5</w:t>
            </w:r>
            <w:r>
              <w:rPr>
                <w:rFonts w:hint="eastAsia" w:ascii="Times New Roman" w:hAnsi="Times New Roman" w:eastAsia="仿宋_GB2312" w:cs="仿宋_GB2312"/>
                <w:sz w:val="21"/>
                <w:szCs w:val="21"/>
                <w:highlight w:val="none"/>
              </w:rPr>
              <w:t>万元以上</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万元以下的罚款，并可以由原发证机关暂扣或者吊销许可证：</w:t>
            </w:r>
          </w:p>
          <w:p>
            <w:pPr>
              <w:pStyle w:val="11"/>
              <w:snapToGrid w:val="0"/>
              <w:spacing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（三）未将放射性同位素产品台账和放射源编码清单报国务院生态环境主管部门备案的。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2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89"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涉及放射</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类型★</w:t>
            </w: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color w:val="000000"/>
                <w:highlight w:val="none"/>
              </w:rPr>
              <w:t>Ⅳ</w:t>
            </w:r>
            <w:r>
              <w:rPr>
                <w:rFonts w:hint="eastAsia" w:ascii="Times New Roman" w:hAnsi="Times New Roman" w:eastAsia="仿宋_GB2312" w:cs="仿宋_GB2312"/>
                <w:color w:val="000000"/>
                <w:highlight w:val="none"/>
              </w:rPr>
              <w:t>类、</w:t>
            </w:r>
            <w:r>
              <w:rPr>
                <w:rFonts w:hint="eastAsia" w:ascii="宋体" w:hAnsi="宋体" w:cs="宋体"/>
                <w:color w:val="000000"/>
                <w:highlight w:val="none"/>
              </w:rPr>
              <w:t>Ⅴ</w:t>
            </w:r>
            <w:r>
              <w:rPr>
                <w:rFonts w:hint="eastAsia" w:ascii="Times New Roman" w:hAnsi="Times New Roman" w:eastAsia="仿宋_GB2312" w:cs="仿宋_GB2312"/>
                <w:color w:val="000000"/>
                <w:highlight w:val="none"/>
              </w:rPr>
              <w:t>类放射源</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color w:val="000000"/>
                <w:sz w:val="21"/>
                <w:szCs w:val="21"/>
                <w:highlight w:val="none"/>
              </w:rPr>
              <w:t>Ⅲ</w:t>
            </w:r>
            <w:r>
              <w:rPr>
                <w:rFonts w:hint="eastAsia" w:ascii="Times New Roman" w:hAnsi="Times New Roman" w:eastAsia="仿宋_GB2312" w:cs="仿宋_GB2312"/>
                <w:color w:val="000000"/>
                <w:sz w:val="21"/>
                <w:szCs w:val="21"/>
                <w:highlight w:val="none"/>
              </w:rPr>
              <w:t>类放射源</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color w:val="000000"/>
                <w:sz w:val="21"/>
                <w:szCs w:val="21"/>
                <w:highlight w:val="none"/>
              </w:rPr>
              <w:t>Ⅰ</w:t>
            </w:r>
            <w:r>
              <w:rPr>
                <w:rFonts w:hint="eastAsia" w:ascii="Times New Roman" w:hAnsi="Times New Roman" w:eastAsia="仿宋_GB2312" w:cs="仿宋_GB2312"/>
                <w:color w:val="000000"/>
                <w:sz w:val="21"/>
                <w:szCs w:val="21"/>
                <w:highlight w:val="none"/>
              </w:rPr>
              <w:t>类、</w:t>
            </w:r>
            <w:r>
              <w:rPr>
                <w:rFonts w:hint="eastAsia"/>
                <w:color w:val="000000"/>
                <w:sz w:val="21"/>
                <w:szCs w:val="21"/>
                <w:highlight w:val="none"/>
              </w:rPr>
              <w:t>Ⅱ</w:t>
            </w:r>
            <w:r>
              <w:rPr>
                <w:rFonts w:hint="eastAsia" w:ascii="Times New Roman" w:hAnsi="Times New Roman" w:eastAsia="仿宋_GB2312" w:cs="仿宋_GB2312"/>
                <w:color w:val="000000"/>
                <w:sz w:val="21"/>
                <w:szCs w:val="21"/>
                <w:highlight w:val="none"/>
              </w:rPr>
              <w:t>类放射源</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非密封放射性物质工作场所分类</w:t>
            </w: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丙级工作场所</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乙级工作场所</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甲级工作场所</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超过限期</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改正时间</w:t>
            </w: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天</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天</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个月以上</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902" w:type="dxa"/>
            <w:gridSpan w:val="2"/>
            <w:vAlign w:val="center"/>
          </w:tcPr>
          <w:p>
            <w:pPr>
              <w:snapToGrid w:val="0"/>
              <w:ind w:firstLine="420"/>
              <w:jc w:val="center"/>
              <w:rPr>
                <w:rFonts w:ascii="Times New Roman" w:hAnsi="Times New Roman" w:cs="Times New Roman"/>
                <w:color w:val="000000"/>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5161"/>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96"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691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6912" w:type="dxa"/>
            <w:gridSpan w:val="2"/>
            <w:vAlign w:val="center"/>
          </w:tcPr>
          <w:p>
            <w:pPr>
              <w:pStyle w:val="11"/>
              <w:snapToGrid w:val="0"/>
              <w:ind w:firstLine="420"/>
              <w:jc w:val="both"/>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生产放射性同位素的单位出厂或者销售未列入产品台账的放射性同位素和未编码的放射源，责令限期改正逾期不改正的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6912" w:type="dxa"/>
            <w:gridSpan w:val="2"/>
          </w:tcPr>
          <w:p>
            <w:pPr>
              <w:pStyle w:val="11"/>
              <w:snapToGrid w:val="0"/>
              <w:spacing w:before="62" w:beforeLines="20"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《放射性同位素与射线装置安全和防护条例》第二十二条第四款</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未列入产品台账的放射性同位素和未编码的放射源，不得出厂和销售。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6912" w:type="dxa"/>
            <w:gridSpan w:val="2"/>
          </w:tcPr>
          <w:p>
            <w:pPr>
              <w:pStyle w:val="11"/>
              <w:snapToGrid w:val="0"/>
              <w:spacing w:before="62" w:beforeLines="20"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《放射性同位素与射线装置安全和防护条例》第五十八条第（四）项</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违反本条例规定，生产放射性同位素的单位有下列行为之一的，由县级以上人民政府生态环境主管部门责令限期改正，给予警告；逾期不改正的，依法收缴其未备案的放射性同位素和未编码的放射源，处</w:t>
            </w:r>
            <w:r>
              <w:rPr>
                <w:rFonts w:ascii="Times New Roman" w:hAnsi="Times New Roman" w:eastAsia="仿宋_GB2312" w:cs="Times New Roman"/>
                <w:sz w:val="21"/>
                <w:szCs w:val="21"/>
                <w:highlight w:val="none"/>
              </w:rPr>
              <w:t>5</w:t>
            </w:r>
            <w:r>
              <w:rPr>
                <w:rFonts w:hint="eastAsia" w:ascii="Times New Roman" w:hAnsi="Times New Roman" w:eastAsia="仿宋_GB2312" w:cs="仿宋_GB2312"/>
                <w:sz w:val="21"/>
                <w:szCs w:val="21"/>
                <w:highlight w:val="none"/>
              </w:rPr>
              <w:t>万元以上</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万元以下的罚款，并可以由原发证机关暂扣或者吊销许可证：</w:t>
            </w:r>
          </w:p>
          <w:p>
            <w:pPr>
              <w:pStyle w:val="11"/>
              <w:snapToGrid w:val="0"/>
              <w:spacing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（四）出厂或者销售未列入产品台账的放射性同位素和未编码的放射源的。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4650"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262"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涉及放射</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类型★</w:t>
            </w:r>
          </w:p>
        </w:tc>
        <w:tc>
          <w:tcPr>
            <w:tcW w:w="4650"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color w:val="000000"/>
                <w:highlight w:val="none"/>
              </w:rPr>
              <w:t>Ⅳ</w:t>
            </w:r>
            <w:r>
              <w:rPr>
                <w:rFonts w:hint="eastAsia" w:ascii="Times New Roman" w:hAnsi="Times New Roman" w:eastAsia="仿宋_GB2312" w:cs="仿宋_GB2312"/>
                <w:color w:val="000000"/>
                <w:highlight w:val="none"/>
              </w:rPr>
              <w:t>类、</w:t>
            </w:r>
            <w:r>
              <w:rPr>
                <w:rFonts w:hint="eastAsia" w:ascii="宋体" w:hAnsi="宋体" w:cs="宋体"/>
                <w:color w:val="000000"/>
                <w:highlight w:val="none"/>
              </w:rPr>
              <w:t>Ⅴ</w:t>
            </w:r>
            <w:r>
              <w:rPr>
                <w:rFonts w:hint="eastAsia" w:ascii="Times New Roman" w:hAnsi="Times New Roman" w:eastAsia="仿宋_GB2312" w:cs="仿宋_GB2312"/>
                <w:color w:val="000000"/>
                <w:highlight w:val="none"/>
              </w:rPr>
              <w:t>类放射源</w:t>
            </w:r>
          </w:p>
        </w:tc>
        <w:tc>
          <w:tcPr>
            <w:tcW w:w="2262"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84" w:type="dxa"/>
            <w:vMerge w:val="continue"/>
            <w:vAlign w:val="center"/>
          </w:tcPr>
          <w:p>
            <w:pPr>
              <w:snapToGrid w:val="0"/>
              <w:jc w:val="center"/>
              <w:rPr>
                <w:rFonts w:ascii="Times New Roman" w:hAnsi="Times New Roman" w:cs="Times New Roman"/>
                <w:b/>
                <w:bCs/>
                <w:color w:val="000000"/>
                <w:highlight w:val="none"/>
              </w:rPr>
            </w:pPr>
          </w:p>
        </w:tc>
        <w:tc>
          <w:tcPr>
            <w:tcW w:w="4650"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color w:val="000000"/>
                <w:sz w:val="21"/>
                <w:szCs w:val="21"/>
                <w:highlight w:val="none"/>
              </w:rPr>
              <w:t>Ⅲ</w:t>
            </w:r>
            <w:r>
              <w:rPr>
                <w:rFonts w:hint="eastAsia" w:ascii="Times New Roman" w:hAnsi="Times New Roman" w:eastAsia="仿宋_GB2312" w:cs="仿宋_GB2312"/>
                <w:color w:val="000000"/>
                <w:sz w:val="21"/>
                <w:szCs w:val="21"/>
                <w:highlight w:val="none"/>
              </w:rPr>
              <w:t>类放射源</w:t>
            </w:r>
          </w:p>
        </w:tc>
        <w:tc>
          <w:tcPr>
            <w:tcW w:w="2262"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Merge w:val="continue"/>
            <w:vAlign w:val="center"/>
          </w:tcPr>
          <w:p>
            <w:pPr>
              <w:snapToGrid w:val="0"/>
              <w:jc w:val="center"/>
              <w:rPr>
                <w:rFonts w:ascii="Times New Roman" w:hAnsi="Times New Roman" w:cs="Times New Roman"/>
                <w:b/>
                <w:bCs/>
                <w:color w:val="000000"/>
                <w:highlight w:val="none"/>
              </w:rPr>
            </w:pPr>
          </w:p>
        </w:tc>
        <w:tc>
          <w:tcPr>
            <w:tcW w:w="4650"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color w:val="000000"/>
                <w:sz w:val="21"/>
                <w:szCs w:val="21"/>
                <w:highlight w:val="none"/>
              </w:rPr>
              <w:t>Ⅰ</w:t>
            </w:r>
            <w:r>
              <w:rPr>
                <w:rFonts w:hint="eastAsia" w:ascii="Times New Roman" w:hAnsi="Times New Roman" w:eastAsia="仿宋_GB2312" w:cs="仿宋_GB2312"/>
                <w:color w:val="000000"/>
                <w:sz w:val="21"/>
                <w:szCs w:val="21"/>
                <w:highlight w:val="none"/>
              </w:rPr>
              <w:t>类、</w:t>
            </w:r>
            <w:r>
              <w:rPr>
                <w:rFonts w:hint="eastAsia"/>
                <w:color w:val="000000"/>
                <w:sz w:val="21"/>
                <w:szCs w:val="21"/>
                <w:highlight w:val="none"/>
              </w:rPr>
              <w:t>Ⅱ</w:t>
            </w:r>
            <w:r>
              <w:rPr>
                <w:rFonts w:hint="eastAsia" w:ascii="Times New Roman" w:hAnsi="Times New Roman" w:eastAsia="仿宋_GB2312" w:cs="仿宋_GB2312"/>
                <w:color w:val="000000"/>
                <w:sz w:val="21"/>
                <w:szCs w:val="21"/>
                <w:highlight w:val="none"/>
              </w:rPr>
              <w:t>类放射源</w:t>
            </w:r>
          </w:p>
        </w:tc>
        <w:tc>
          <w:tcPr>
            <w:tcW w:w="2262"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非密封放射性物质工作场所分类</w:t>
            </w:r>
          </w:p>
        </w:tc>
        <w:tc>
          <w:tcPr>
            <w:tcW w:w="4650"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丙级工作场所</w:t>
            </w:r>
          </w:p>
        </w:tc>
        <w:tc>
          <w:tcPr>
            <w:tcW w:w="2262"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Merge w:val="continue"/>
            <w:vAlign w:val="center"/>
          </w:tcPr>
          <w:p>
            <w:pPr>
              <w:snapToGrid w:val="0"/>
              <w:jc w:val="center"/>
              <w:rPr>
                <w:rFonts w:ascii="Times New Roman" w:hAnsi="Times New Roman" w:cs="Times New Roman"/>
                <w:b/>
                <w:bCs/>
                <w:color w:val="000000"/>
                <w:highlight w:val="none"/>
              </w:rPr>
            </w:pPr>
          </w:p>
        </w:tc>
        <w:tc>
          <w:tcPr>
            <w:tcW w:w="4650" w:type="dxa"/>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仿宋_GB2312"/>
                <w:color w:val="000000"/>
                <w:highlight w:val="none"/>
              </w:rPr>
              <w:t>乙级工作场所</w:t>
            </w:r>
          </w:p>
        </w:tc>
        <w:tc>
          <w:tcPr>
            <w:tcW w:w="2262"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Merge w:val="continue"/>
            <w:vAlign w:val="center"/>
          </w:tcPr>
          <w:p>
            <w:pPr>
              <w:snapToGrid w:val="0"/>
              <w:jc w:val="center"/>
              <w:rPr>
                <w:rFonts w:ascii="Times New Roman" w:hAnsi="Times New Roman" w:cs="Times New Roman"/>
                <w:b/>
                <w:bCs/>
                <w:color w:val="000000"/>
                <w:highlight w:val="none"/>
              </w:rPr>
            </w:pPr>
          </w:p>
        </w:tc>
        <w:tc>
          <w:tcPr>
            <w:tcW w:w="4650" w:type="dxa"/>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仿宋_GB2312"/>
                <w:color w:val="000000"/>
                <w:highlight w:val="none"/>
              </w:rPr>
              <w:t>甲级工作场所</w:t>
            </w:r>
          </w:p>
        </w:tc>
        <w:tc>
          <w:tcPr>
            <w:tcW w:w="2262"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超过限期</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改正时间</w:t>
            </w:r>
          </w:p>
        </w:tc>
        <w:tc>
          <w:tcPr>
            <w:tcW w:w="4650"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w:t>
            </w:r>
          </w:p>
        </w:tc>
        <w:tc>
          <w:tcPr>
            <w:tcW w:w="2262"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Merge w:val="continue"/>
            <w:vAlign w:val="center"/>
          </w:tcPr>
          <w:p>
            <w:pPr>
              <w:snapToGrid w:val="0"/>
              <w:jc w:val="center"/>
              <w:rPr>
                <w:rFonts w:ascii="Times New Roman" w:hAnsi="Times New Roman" w:cs="Times New Roman"/>
                <w:b/>
                <w:bCs/>
                <w:color w:val="000000"/>
                <w:highlight w:val="none"/>
              </w:rPr>
            </w:pPr>
          </w:p>
        </w:tc>
        <w:tc>
          <w:tcPr>
            <w:tcW w:w="4650"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天</w:t>
            </w:r>
          </w:p>
        </w:tc>
        <w:tc>
          <w:tcPr>
            <w:tcW w:w="2262"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Merge w:val="continue"/>
            <w:vAlign w:val="center"/>
          </w:tcPr>
          <w:p>
            <w:pPr>
              <w:snapToGrid w:val="0"/>
              <w:jc w:val="center"/>
              <w:rPr>
                <w:rFonts w:ascii="Times New Roman" w:hAnsi="Times New Roman" w:cs="Times New Roman"/>
                <w:b/>
                <w:bCs/>
                <w:color w:val="000000"/>
                <w:highlight w:val="none"/>
              </w:rPr>
            </w:pPr>
          </w:p>
        </w:tc>
        <w:tc>
          <w:tcPr>
            <w:tcW w:w="4650"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天</w:t>
            </w:r>
          </w:p>
        </w:tc>
        <w:tc>
          <w:tcPr>
            <w:tcW w:w="2262"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Merge w:val="continue"/>
            <w:vAlign w:val="center"/>
          </w:tcPr>
          <w:p>
            <w:pPr>
              <w:snapToGrid w:val="0"/>
              <w:jc w:val="center"/>
              <w:rPr>
                <w:rFonts w:ascii="Times New Roman" w:hAnsi="Times New Roman" w:cs="Times New Roman"/>
                <w:b/>
                <w:bCs/>
                <w:color w:val="000000"/>
                <w:highlight w:val="none"/>
              </w:rPr>
            </w:pPr>
          </w:p>
        </w:tc>
        <w:tc>
          <w:tcPr>
            <w:tcW w:w="4650"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w:t>
            </w:r>
          </w:p>
        </w:tc>
        <w:tc>
          <w:tcPr>
            <w:tcW w:w="2262"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Merge w:val="continue"/>
            <w:vAlign w:val="center"/>
          </w:tcPr>
          <w:p>
            <w:pPr>
              <w:snapToGrid w:val="0"/>
              <w:jc w:val="center"/>
              <w:rPr>
                <w:rFonts w:ascii="Times New Roman" w:hAnsi="Times New Roman" w:cs="Times New Roman"/>
                <w:b/>
                <w:bCs/>
                <w:color w:val="000000"/>
                <w:highlight w:val="none"/>
              </w:rPr>
            </w:pPr>
          </w:p>
        </w:tc>
        <w:tc>
          <w:tcPr>
            <w:tcW w:w="4650"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个月以上</w:t>
            </w:r>
          </w:p>
        </w:tc>
        <w:tc>
          <w:tcPr>
            <w:tcW w:w="2262"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6912" w:type="dxa"/>
            <w:gridSpan w:val="2"/>
            <w:vAlign w:val="center"/>
          </w:tcPr>
          <w:p>
            <w:pPr>
              <w:snapToGrid w:val="0"/>
              <w:ind w:firstLine="420"/>
              <w:jc w:val="center"/>
              <w:rPr>
                <w:rFonts w:ascii="Times New Roman" w:hAnsi="Times New Roman" w:eastAsia="仿宋_GB2312" w:cs="Times New Roman"/>
                <w:color w:val="000000"/>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9"/>
        <w:gridCol w:w="5250"/>
        <w:gridCol w:w="2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3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569"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3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569" w:type="dxa"/>
            <w:gridSpan w:val="2"/>
          </w:tcPr>
          <w:p>
            <w:pPr>
              <w:pStyle w:val="11"/>
              <w:snapToGrid w:val="0"/>
              <w:spacing w:before="62" w:beforeLines="20"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生产、销售、使用放射性同位素和射线装置的单位未按照规定对废旧放射源进行处理，责令限期改正逾期不改正的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3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569" w:type="dxa"/>
            <w:gridSpan w:val="2"/>
          </w:tcPr>
          <w:p>
            <w:pPr>
              <w:pStyle w:val="11"/>
              <w:snapToGrid w:val="0"/>
              <w:spacing w:before="62" w:beforeLines="20"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《放射性同位素与射线装置安全和防护条例》第三十二条</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生产、进口放射源的单位销售</w:t>
            </w:r>
            <w:r>
              <w:rPr>
                <w:rFonts w:hint="eastAsia"/>
                <w:sz w:val="21"/>
                <w:szCs w:val="21"/>
                <w:highlight w:val="none"/>
              </w:rPr>
              <w:t>Ⅰ</w:t>
            </w:r>
            <w:r>
              <w:rPr>
                <w:rFonts w:hint="eastAsia" w:ascii="Times New Roman" w:hAnsi="Times New Roman" w:eastAsia="仿宋_GB2312" w:cs="仿宋_GB2312"/>
                <w:sz w:val="21"/>
                <w:szCs w:val="21"/>
                <w:highlight w:val="none"/>
              </w:rPr>
              <w:t>类、</w:t>
            </w:r>
            <w:r>
              <w:rPr>
                <w:rFonts w:hint="eastAsia"/>
                <w:sz w:val="21"/>
                <w:szCs w:val="21"/>
                <w:highlight w:val="none"/>
              </w:rPr>
              <w:t>Ⅱ</w:t>
            </w:r>
            <w:r>
              <w:rPr>
                <w:rFonts w:hint="eastAsia" w:ascii="Times New Roman" w:hAnsi="Times New Roman" w:eastAsia="仿宋_GB2312" w:cs="仿宋_GB2312"/>
                <w:sz w:val="21"/>
                <w:szCs w:val="21"/>
                <w:highlight w:val="none"/>
              </w:rPr>
              <w:t>类、</w:t>
            </w:r>
            <w:r>
              <w:rPr>
                <w:rFonts w:hint="eastAsia"/>
                <w:sz w:val="21"/>
                <w:szCs w:val="21"/>
                <w:highlight w:val="none"/>
              </w:rPr>
              <w:t>Ⅲ</w:t>
            </w:r>
            <w:r>
              <w:rPr>
                <w:rFonts w:hint="eastAsia" w:ascii="Times New Roman" w:hAnsi="Times New Roman" w:eastAsia="仿宋_GB2312" w:cs="仿宋_GB2312"/>
                <w:sz w:val="21"/>
                <w:szCs w:val="21"/>
                <w:highlight w:val="none"/>
              </w:rPr>
              <w:t>类放射源给其他单位使用的，应当与使用放射源的单位签订废旧放射源返回协议；使用放射源的单位应当按照废旧放射源返回协议规定将废旧放射源交回生产单位或者返回原出口方。确实无法交回生产单位或者返回原出口方的，送交有相应资质的放射性废物集中贮存单位贮存。</w:t>
            </w:r>
          </w:p>
          <w:p>
            <w:pPr>
              <w:pStyle w:val="11"/>
              <w:snapToGrid w:val="0"/>
              <w:spacing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使用放射源的单位应当按照国务院环境保护主管部门的规定，将</w:t>
            </w:r>
            <w:r>
              <w:rPr>
                <w:rFonts w:hint="eastAsia"/>
                <w:sz w:val="21"/>
                <w:szCs w:val="21"/>
                <w:highlight w:val="none"/>
              </w:rPr>
              <w:t>Ⅳ</w:t>
            </w:r>
            <w:r>
              <w:rPr>
                <w:rFonts w:hint="eastAsia" w:ascii="Times New Roman" w:hAnsi="Times New Roman" w:eastAsia="仿宋_GB2312" w:cs="仿宋_GB2312"/>
                <w:sz w:val="21"/>
                <w:szCs w:val="21"/>
                <w:highlight w:val="none"/>
              </w:rPr>
              <w:t>类、</w:t>
            </w:r>
            <w:r>
              <w:rPr>
                <w:rFonts w:hint="eastAsia"/>
                <w:sz w:val="21"/>
                <w:szCs w:val="21"/>
                <w:highlight w:val="none"/>
              </w:rPr>
              <w:t>Ⅴ</w:t>
            </w:r>
            <w:r>
              <w:rPr>
                <w:rFonts w:hint="eastAsia" w:ascii="Times New Roman" w:hAnsi="Times New Roman" w:eastAsia="仿宋_GB2312" w:cs="仿宋_GB2312"/>
                <w:sz w:val="21"/>
                <w:szCs w:val="21"/>
                <w:highlight w:val="none"/>
              </w:rPr>
              <w:t>类废旧放射源进行包装整备后送交有相应资质的放射性废物集中贮存单位贮存。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3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569" w:type="dxa"/>
            <w:gridSpan w:val="2"/>
          </w:tcPr>
          <w:p>
            <w:pPr>
              <w:pStyle w:val="11"/>
              <w:snapToGrid w:val="0"/>
              <w:spacing w:before="62" w:beforeLines="20"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《放射性同位素与射线装置安全和防护条例》第五十九条第（一）项</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违反本条例规定，生产、销售、使用放射性同位素和射线装置的单位有下列行为之一的，由县级以上人民政府生态环境主管部门责令停止违法行为，限期改正；逾期不改正的，由原发证机关指定有处理能力的单位代为处理或者实施退役，费用由生产、销售、使用放射性同位素和射线装置的单位承担，并处</w:t>
            </w:r>
            <w:r>
              <w:rPr>
                <w:rFonts w:ascii="Times New Roman" w:hAnsi="Times New Roman" w:eastAsia="仿宋_GB2312" w:cs="Times New Roman"/>
                <w:sz w:val="21"/>
                <w:szCs w:val="21"/>
                <w:highlight w:val="none"/>
              </w:rPr>
              <w:t>1</w:t>
            </w:r>
            <w:r>
              <w:rPr>
                <w:rFonts w:hint="eastAsia" w:ascii="Times New Roman" w:hAnsi="Times New Roman" w:eastAsia="仿宋_GB2312" w:cs="仿宋_GB2312"/>
                <w:sz w:val="21"/>
                <w:szCs w:val="21"/>
                <w:highlight w:val="none"/>
              </w:rPr>
              <w:t>万元以上</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万元以下的罚款：</w:t>
            </w:r>
          </w:p>
          <w:p>
            <w:pPr>
              <w:pStyle w:val="11"/>
              <w:snapToGrid w:val="0"/>
              <w:spacing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（一）未按照规定对废旧放射源进行处理的。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39"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250"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319"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39"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50"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未规范对废旧放射源进行处理的</w:t>
            </w:r>
          </w:p>
        </w:tc>
        <w:tc>
          <w:tcPr>
            <w:tcW w:w="231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39" w:type="dxa"/>
            <w:vMerge w:val="continue"/>
            <w:vAlign w:val="center"/>
          </w:tcPr>
          <w:p>
            <w:pPr>
              <w:snapToGrid w:val="0"/>
              <w:jc w:val="center"/>
              <w:rPr>
                <w:rFonts w:ascii="Times New Roman" w:hAnsi="Times New Roman" w:cs="Times New Roman"/>
                <w:b/>
                <w:bCs/>
                <w:color w:val="000000"/>
                <w:highlight w:val="none"/>
              </w:rPr>
            </w:pPr>
          </w:p>
        </w:tc>
        <w:tc>
          <w:tcPr>
            <w:tcW w:w="5250"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只对部分废旧放射源进行处理的</w:t>
            </w:r>
          </w:p>
        </w:tc>
        <w:tc>
          <w:tcPr>
            <w:tcW w:w="231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39" w:type="dxa"/>
            <w:vMerge w:val="continue"/>
            <w:vAlign w:val="center"/>
          </w:tcPr>
          <w:p>
            <w:pPr>
              <w:snapToGrid w:val="0"/>
              <w:jc w:val="center"/>
              <w:rPr>
                <w:rFonts w:ascii="Times New Roman" w:hAnsi="Times New Roman" w:cs="Times New Roman"/>
                <w:b/>
                <w:bCs/>
                <w:color w:val="000000"/>
                <w:highlight w:val="none"/>
              </w:rPr>
            </w:pPr>
          </w:p>
        </w:tc>
        <w:tc>
          <w:tcPr>
            <w:tcW w:w="5250"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未对废旧放射源进行处理的</w:t>
            </w:r>
          </w:p>
        </w:tc>
        <w:tc>
          <w:tcPr>
            <w:tcW w:w="231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39"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涉及放射类型</w:t>
            </w:r>
          </w:p>
        </w:tc>
        <w:tc>
          <w:tcPr>
            <w:tcW w:w="5250"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color w:val="000000"/>
                <w:highlight w:val="none"/>
              </w:rPr>
              <w:t>Ⅳ</w:t>
            </w:r>
            <w:r>
              <w:rPr>
                <w:rFonts w:hint="eastAsia" w:ascii="Times New Roman" w:hAnsi="Times New Roman" w:eastAsia="仿宋_GB2312" w:cs="仿宋_GB2312"/>
                <w:color w:val="000000"/>
                <w:highlight w:val="none"/>
              </w:rPr>
              <w:t>类、</w:t>
            </w:r>
            <w:r>
              <w:rPr>
                <w:rFonts w:hint="eastAsia" w:ascii="宋体" w:hAnsi="宋体" w:cs="宋体"/>
                <w:color w:val="000000"/>
                <w:highlight w:val="none"/>
              </w:rPr>
              <w:t>Ⅴ</w:t>
            </w:r>
            <w:r>
              <w:rPr>
                <w:rFonts w:hint="eastAsia" w:ascii="Times New Roman" w:hAnsi="Times New Roman" w:eastAsia="仿宋_GB2312" w:cs="仿宋_GB2312"/>
                <w:color w:val="000000"/>
                <w:highlight w:val="none"/>
              </w:rPr>
              <w:t>类放射源</w:t>
            </w:r>
          </w:p>
        </w:tc>
        <w:tc>
          <w:tcPr>
            <w:tcW w:w="231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39" w:type="dxa"/>
            <w:vMerge w:val="continue"/>
            <w:vAlign w:val="center"/>
          </w:tcPr>
          <w:p>
            <w:pPr>
              <w:snapToGrid w:val="0"/>
              <w:jc w:val="center"/>
              <w:rPr>
                <w:rFonts w:ascii="Times New Roman" w:hAnsi="Times New Roman" w:cs="Times New Roman"/>
                <w:b/>
                <w:bCs/>
                <w:color w:val="000000"/>
                <w:highlight w:val="none"/>
              </w:rPr>
            </w:pPr>
          </w:p>
        </w:tc>
        <w:tc>
          <w:tcPr>
            <w:tcW w:w="5250"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color w:val="000000"/>
                <w:sz w:val="21"/>
                <w:szCs w:val="21"/>
                <w:highlight w:val="none"/>
              </w:rPr>
              <w:t>Ⅲ</w:t>
            </w:r>
            <w:r>
              <w:rPr>
                <w:rFonts w:hint="eastAsia" w:ascii="Times New Roman" w:hAnsi="Times New Roman" w:eastAsia="仿宋_GB2312" w:cs="仿宋_GB2312"/>
                <w:color w:val="000000"/>
                <w:sz w:val="21"/>
                <w:szCs w:val="21"/>
                <w:highlight w:val="none"/>
              </w:rPr>
              <w:t>类放射源</w:t>
            </w:r>
          </w:p>
        </w:tc>
        <w:tc>
          <w:tcPr>
            <w:tcW w:w="231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39" w:type="dxa"/>
            <w:vMerge w:val="continue"/>
            <w:vAlign w:val="center"/>
          </w:tcPr>
          <w:p>
            <w:pPr>
              <w:snapToGrid w:val="0"/>
              <w:jc w:val="center"/>
              <w:rPr>
                <w:rFonts w:ascii="Times New Roman" w:hAnsi="Times New Roman" w:cs="Times New Roman"/>
                <w:b/>
                <w:bCs/>
                <w:color w:val="000000"/>
                <w:highlight w:val="none"/>
              </w:rPr>
            </w:pPr>
          </w:p>
        </w:tc>
        <w:tc>
          <w:tcPr>
            <w:tcW w:w="5250"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color w:val="000000"/>
                <w:sz w:val="21"/>
                <w:szCs w:val="21"/>
                <w:highlight w:val="none"/>
              </w:rPr>
              <w:t>Ⅰ</w:t>
            </w:r>
            <w:r>
              <w:rPr>
                <w:rFonts w:hint="eastAsia" w:ascii="Times New Roman" w:hAnsi="Times New Roman" w:eastAsia="仿宋_GB2312" w:cs="仿宋_GB2312"/>
                <w:color w:val="000000"/>
                <w:sz w:val="21"/>
                <w:szCs w:val="21"/>
                <w:highlight w:val="none"/>
              </w:rPr>
              <w:t>类、</w:t>
            </w:r>
            <w:r>
              <w:rPr>
                <w:rFonts w:hint="eastAsia"/>
                <w:color w:val="000000"/>
                <w:sz w:val="21"/>
                <w:szCs w:val="21"/>
                <w:highlight w:val="none"/>
              </w:rPr>
              <w:t>Ⅱ</w:t>
            </w:r>
            <w:r>
              <w:rPr>
                <w:rFonts w:hint="eastAsia" w:ascii="Times New Roman" w:hAnsi="Times New Roman" w:eastAsia="仿宋_GB2312" w:cs="仿宋_GB2312"/>
                <w:color w:val="000000"/>
                <w:sz w:val="21"/>
                <w:szCs w:val="21"/>
                <w:highlight w:val="none"/>
              </w:rPr>
              <w:t>类放射源</w:t>
            </w:r>
          </w:p>
        </w:tc>
        <w:tc>
          <w:tcPr>
            <w:tcW w:w="231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39"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超过限期</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改正时间</w:t>
            </w:r>
          </w:p>
        </w:tc>
        <w:tc>
          <w:tcPr>
            <w:tcW w:w="5250"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w:t>
            </w:r>
          </w:p>
        </w:tc>
        <w:tc>
          <w:tcPr>
            <w:tcW w:w="231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39" w:type="dxa"/>
            <w:vMerge w:val="continue"/>
            <w:vAlign w:val="center"/>
          </w:tcPr>
          <w:p>
            <w:pPr>
              <w:snapToGrid w:val="0"/>
              <w:jc w:val="center"/>
              <w:rPr>
                <w:rFonts w:ascii="Times New Roman" w:hAnsi="Times New Roman" w:cs="Times New Roman"/>
                <w:b/>
                <w:bCs/>
                <w:color w:val="000000"/>
                <w:highlight w:val="none"/>
              </w:rPr>
            </w:pPr>
          </w:p>
        </w:tc>
        <w:tc>
          <w:tcPr>
            <w:tcW w:w="5250" w:type="dxa"/>
            <w:vAlign w:val="center"/>
          </w:tcPr>
          <w:p>
            <w:pPr>
              <w:snapToGrid w:val="0"/>
              <w:jc w:val="center"/>
              <w:rPr>
                <w:rFonts w:ascii="Times New Roman" w:hAnsi="Times New Roman" w:eastAsia="仿宋_GB2312" w:cs="Times New Roman"/>
                <w:color w:val="000000"/>
                <w:kern w:val="0"/>
                <w:highlight w:val="none"/>
              </w:rPr>
            </w:pP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天</w:t>
            </w:r>
          </w:p>
        </w:tc>
        <w:tc>
          <w:tcPr>
            <w:tcW w:w="231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39" w:type="dxa"/>
            <w:vMerge w:val="continue"/>
            <w:vAlign w:val="center"/>
          </w:tcPr>
          <w:p>
            <w:pPr>
              <w:snapToGrid w:val="0"/>
              <w:jc w:val="center"/>
              <w:rPr>
                <w:rFonts w:ascii="Times New Roman" w:hAnsi="Times New Roman" w:cs="Times New Roman"/>
                <w:b/>
                <w:bCs/>
                <w:color w:val="000000"/>
                <w:highlight w:val="none"/>
              </w:rPr>
            </w:pPr>
          </w:p>
        </w:tc>
        <w:tc>
          <w:tcPr>
            <w:tcW w:w="5250" w:type="dxa"/>
            <w:vAlign w:val="center"/>
          </w:tcPr>
          <w:p>
            <w:pPr>
              <w:snapToGrid w:val="0"/>
              <w:jc w:val="center"/>
              <w:rPr>
                <w:rFonts w:ascii="Times New Roman" w:hAnsi="Times New Roman" w:eastAsia="仿宋_GB2312" w:cs="Times New Roman"/>
                <w:color w:val="000000"/>
                <w:kern w:val="0"/>
                <w:highlight w:val="none"/>
              </w:rPr>
            </w:pP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天</w:t>
            </w:r>
          </w:p>
        </w:tc>
        <w:tc>
          <w:tcPr>
            <w:tcW w:w="231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39" w:type="dxa"/>
            <w:vMerge w:val="continue"/>
            <w:vAlign w:val="center"/>
          </w:tcPr>
          <w:p>
            <w:pPr>
              <w:snapToGrid w:val="0"/>
              <w:jc w:val="center"/>
              <w:rPr>
                <w:rFonts w:ascii="Times New Roman" w:hAnsi="Times New Roman" w:cs="Times New Roman"/>
                <w:b/>
                <w:bCs/>
                <w:color w:val="000000"/>
                <w:highlight w:val="none"/>
              </w:rPr>
            </w:pPr>
          </w:p>
        </w:tc>
        <w:tc>
          <w:tcPr>
            <w:tcW w:w="5250" w:type="dxa"/>
            <w:vAlign w:val="center"/>
          </w:tcPr>
          <w:p>
            <w:pPr>
              <w:snapToGrid w:val="0"/>
              <w:jc w:val="center"/>
              <w:rPr>
                <w:rFonts w:ascii="Times New Roman" w:hAnsi="Times New Roman" w:eastAsia="仿宋_GB2312" w:cs="Times New Roman"/>
                <w:color w:val="000000"/>
                <w:kern w:val="0"/>
                <w:highlight w:val="none"/>
              </w:rPr>
            </w:pP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w:t>
            </w:r>
          </w:p>
        </w:tc>
        <w:tc>
          <w:tcPr>
            <w:tcW w:w="231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39" w:type="dxa"/>
            <w:vMerge w:val="continue"/>
            <w:vAlign w:val="center"/>
          </w:tcPr>
          <w:p>
            <w:pPr>
              <w:snapToGrid w:val="0"/>
              <w:jc w:val="center"/>
              <w:rPr>
                <w:rFonts w:ascii="Times New Roman" w:hAnsi="Times New Roman" w:cs="Times New Roman"/>
                <w:b/>
                <w:bCs/>
                <w:color w:val="000000"/>
                <w:highlight w:val="none"/>
              </w:rPr>
            </w:pPr>
          </w:p>
        </w:tc>
        <w:tc>
          <w:tcPr>
            <w:tcW w:w="5250" w:type="dxa"/>
            <w:vAlign w:val="center"/>
          </w:tcPr>
          <w:p>
            <w:pPr>
              <w:snapToGrid w:val="0"/>
              <w:jc w:val="center"/>
              <w:rPr>
                <w:rFonts w:ascii="Times New Roman" w:hAnsi="Times New Roman" w:eastAsia="仿宋_GB2312" w:cs="Times New Roman"/>
                <w:color w:val="000000"/>
                <w:kern w:val="0"/>
                <w:highlight w:val="none"/>
              </w:rPr>
            </w:pP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个月以上</w:t>
            </w:r>
          </w:p>
        </w:tc>
        <w:tc>
          <w:tcPr>
            <w:tcW w:w="231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39"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569" w:type="dxa"/>
            <w:gridSpan w:val="2"/>
            <w:vAlign w:val="center"/>
          </w:tcPr>
          <w:p>
            <w:pPr>
              <w:snapToGrid w:val="0"/>
              <w:ind w:firstLine="420"/>
              <w:jc w:val="center"/>
              <w:rPr>
                <w:rFonts w:ascii="Times New Roman" w:hAnsi="Times New Roman" w:cs="Times New Roman"/>
                <w:color w:val="000000"/>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5305"/>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14"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94"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14"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94" w:type="dxa"/>
            <w:gridSpan w:val="2"/>
          </w:tcPr>
          <w:p>
            <w:pPr>
              <w:pStyle w:val="11"/>
              <w:snapToGrid w:val="0"/>
              <w:spacing w:before="62" w:beforeLines="20"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生产、销售、使用放射性同位素和射线装置的单位未按照规定对使用</w:t>
            </w:r>
            <w:r>
              <w:rPr>
                <w:rFonts w:hint="eastAsia"/>
                <w:sz w:val="21"/>
                <w:szCs w:val="21"/>
                <w:highlight w:val="none"/>
              </w:rPr>
              <w:t>Ⅰ</w:t>
            </w:r>
            <w:r>
              <w:rPr>
                <w:rFonts w:hint="eastAsia" w:ascii="Times New Roman" w:hAnsi="Times New Roman" w:eastAsia="仿宋_GB2312" w:cs="仿宋_GB2312"/>
                <w:sz w:val="21"/>
                <w:szCs w:val="21"/>
                <w:highlight w:val="none"/>
              </w:rPr>
              <w:t>类、</w:t>
            </w:r>
            <w:r>
              <w:rPr>
                <w:rFonts w:hint="eastAsia"/>
                <w:sz w:val="21"/>
                <w:szCs w:val="21"/>
                <w:highlight w:val="none"/>
              </w:rPr>
              <w:t>Ⅱ</w:t>
            </w:r>
            <w:r>
              <w:rPr>
                <w:rFonts w:hint="eastAsia" w:ascii="Times New Roman" w:hAnsi="Times New Roman" w:eastAsia="仿宋_GB2312" w:cs="仿宋_GB2312"/>
                <w:sz w:val="21"/>
                <w:szCs w:val="21"/>
                <w:highlight w:val="none"/>
              </w:rPr>
              <w:t>类、</w:t>
            </w:r>
            <w:r>
              <w:rPr>
                <w:rFonts w:hint="eastAsia"/>
                <w:sz w:val="21"/>
                <w:szCs w:val="21"/>
                <w:highlight w:val="none"/>
              </w:rPr>
              <w:t>Ⅲ</w:t>
            </w:r>
            <w:r>
              <w:rPr>
                <w:rFonts w:hint="eastAsia" w:ascii="Times New Roman" w:hAnsi="Times New Roman" w:eastAsia="仿宋_GB2312" w:cs="仿宋_GB2312"/>
                <w:sz w:val="21"/>
                <w:szCs w:val="21"/>
                <w:highlight w:val="none"/>
              </w:rPr>
              <w:t>类放射源的场所和生产放射性同位素的场所，以及终结运行后产生放射性污染的射线装置实施退役，责令限期改正逾期不改正的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94" w:type="dxa"/>
            <w:gridSpan w:val="2"/>
          </w:tcPr>
          <w:p>
            <w:pPr>
              <w:pStyle w:val="11"/>
              <w:snapToGrid w:val="0"/>
              <w:spacing w:before="62" w:beforeLines="20"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《放射性同位素与射线装置安全和防护条例》第三十三条</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使用</w:t>
            </w:r>
            <w:r>
              <w:rPr>
                <w:rFonts w:hint="eastAsia"/>
                <w:sz w:val="21"/>
                <w:szCs w:val="21"/>
                <w:highlight w:val="none"/>
              </w:rPr>
              <w:t>Ⅰ</w:t>
            </w:r>
            <w:r>
              <w:rPr>
                <w:rFonts w:hint="eastAsia" w:ascii="Times New Roman" w:hAnsi="Times New Roman" w:eastAsia="仿宋_GB2312" w:cs="仿宋_GB2312"/>
                <w:sz w:val="21"/>
                <w:szCs w:val="21"/>
                <w:highlight w:val="none"/>
              </w:rPr>
              <w:t>类、</w:t>
            </w:r>
            <w:r>
              <w:rPr>
                <w:rFonts w:hint="eastAsia"/>
                <w:sz w:val="21"/>
                <w:szCs w:val="21"/>
                <w:highlight w:val="none"/>
              </w:rPr>
              <w:t>Ⅱ</w:t>
            </w:r>
            <w:r>
              <w:rPr>
                <w:rFonts w:hint="eastAsia" w:ascii="Times New Roman" w:hAnsi="Times New Roman" w:eastAsia="仿宋_GB2312" w:cs="仿宋_GB2312"/>
                <w:sz w:val="21"/>
                <w:szCs w:val="21"/>
                <w:highlight w:val="none"/>
              </w:rPr>
              <w:t>类、</w:t>
            </w:r>
            <w:r>
              <w:rPr>
                <w:rFonts w:hint="eastAsia"/>
                <w:sz w:val="21"/>
                <w:szCs w:val="21"/>
                <w:highlight w:val="none"/>
              </w:rPr>
              <w:t>Ⅲ</w:t>
            </w:r>
            <w:r>
              <w:rPr>
                <w:rFonts w:hint="eastAsia" w:ascii="Times New Roman" w:hAnsi="Times New Roman" w:eastAsia="仿宋_GB2312" w:cs="仿宋_GB2312"/>
                <w:sz w:val="21"/>
                <w:szCs w:val="21"/>
                <w:highlight w:val="none"/>
              </w:rPr>
              <w:t>类放射源的场所和生产放射性同位素的场所，以及终结运行后产生放射性污染的射线装置，应当依法实施退役。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94" w:type="dxa"/>
            <w:gridSpan w:val="2"/>
          </w:tcPr>
          <w:p>
            <w:pPr>
              <w:pStyle w:val="11"/>
              <w:snapToGrid w:val="0"/>
              <w:spacing w:before="62" w:beforeLines="20"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《放射性同位素与射线装置安全和防护条例》第五十九条第（二）项</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违反本条例规定，生产、销售、使用放射性同位素和射线装置的单位有下列行为之一的，由县级以上人民政府生态环境主管部门责令停止违法行为，限期改正；逾期不改正的，由原发证机关指定有处理能力的单位代为处理或者实施退役，费用由生产、销售、使用放射性同位素和射线装置的单位承担，并处</w:t>
            </w:r>
            <w:r>
              <w:rPr>
                <w:rFonts w:ascii="Times New Roman" w:hAnsi="Times New Roman" w:eastAsia="仿宋_GB2312" w:cs="Times New Roman"/>
                <w:sz w:val="21"/>
                <w:szCs w:val="21"/>
                <w:highlight w:val="none"/>
              </w:rPr>
              <w:t>1</w:t>
            </w:r>
            <w:r>
              <w:rPr>
                <w:rFonts w:hint="eastAsia" w:ascii="Times New Roman" w:hAnsi="Times New Roman" w:eastAsia="仿宋_GB2312" w:cs="仿宋_GB2312"/>
                <w:sz w:val="21"/>
                <w:szCs w:val="21"/>
                <w:highlight w:val="none"/>
              </w:rPr>
              <w:t>万元以上</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万元以下的罚款：</w:t>
            </w:r>
          </w:p>
          <w:p>
            <w:pPr>
              <w:pStyle w:val="11"/>
              <w:snapToGrid w:val="0"/>
              <w:spacing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（二）未按照规定对使用</w:t>
            </w:r>
            <w:r>
              <w:rPr>
                <w:rFonts w:hint="eastAsia"/>
                <w:sz w:val="21"/>
                <w:szCs w:val="21"/>
                <w:highlight w:val="none"/>
              </w:rPr>
              <w:t>Ⅰ</w:t>
            </w:r>
            <w:r>
              <w:rPr>
                <w:rFonts w:hint="eastAsia" w:ascii="Times New Roman" w:hAnsi="Times New Roman" w:eastAsia="仿宋_GB2312" w:cs="仿宋_GB2312"/>
                <w:sz w:val="21"/>
                <w:szCs w:val="21"/>
                <w:highlight w:val="none"/>
              </w:rPr>
              <w:t>类、</w:t>
            </w:r>
            <w:r>
              <w:rPr>
                <w:rFonts w:hint="eastAsia"/>
                <w:sz w:val="21"/>
                <w:szCs w:val="21"/>
                <w:highlight w:val="none"/>
              </w:rPr>
              <w:t>Ⅱ</w:t>
            </w:r>
            <w:r>
              <w:rPr>
                <w:rFonts w:hint="eastAsia" w:ascii="Times New Roman" w:hAnsi="Times New Roman" w:eastAsia="仿宋_GB2312" w:cs="仿宋_GB2312"/>
                <w:sz w:val="21"/>
                <w:szCs w:val="21"/>
                <w:highlight w:val="none"/>
              </w:rPr>
              <w:t>类、</w:t>
            </w:r>
            <w:r>
              <w:rPr>
                <w:rFonts w:hint="eastAsia"/>
                <w:sz w:val="21"/>
                <w:szCs w:val="21"/>
                <w:highlight w:val="none"/>
              </w:rPr>
              <w:t>Ⅲ</w:t>
            </w:r>
            <w:r>
              <w:rPr>
                <w:rFonts w:hint="eastAsia" w:ascii="Times New Roman" w:hAnsi="Times New Roman" w:eastAsia="仿宋_GB2312" w:cs="仿宋_GB2312"/>
                <w:sz w:val="21"/>
                <w:szCs w:val="21"/>
                <w:highlight w:val="none"/>
              </w:rPr>
              <w:t>类放射源的场所和生产放射性同位素的场所，以及终结运行后产生放射性污染的射线装置实施退役的。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14"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305"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89"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14"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涉及放射类型★</w:t>
            </w:r>
          </w:p>
        </w:tc>
        <w:tc>
          <w:tcPr>
            <w:tcW w:w="5305"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color w:val="000000"/>
                <w:highlight w:val="none"/>
              </w:rPr>
              <w:t>Ⅲ</w:t>
            </w:r>
            <w:r>
              <w:rPr>
                <w:rFonts w:hint="eastAsia" w:ascii="Times New Roman" w:hAnsi="Times New Roman" w:eastAsia="仿宋_GB2312" w:cs="仿宋_GB2312"/>
                <w:color w:val="000000"/>
                <w:highlight w:val="none"/>
              </w:rPr>
              <w:t>类射线装置的</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14" w:type="dxa"/>
            <w:vMerge w:val="continue"/>
            <w:vAlign w:val="center"/>
          </w:tcPr>
          <w:p>
            <w:pPr>
              <w:snapToGrid w:val="0"/>
              <w:jc w:val="center"/>
              <w:rPr>
                <w:rFonts w:ascii="Times New Roman" w:hAnsi="Times New Roman" w:cs="Times New Roman"/>
                <w:b/>
                <w:bCs/>
                <w:color w:val="000000"/>
                <w:highlight w:val="none"/>
              </w:rPr>
            </w:pPr>
          </w:p>
        </w:tc>
        <w:tc>
          <w:tcPr>
            <w:tcW w:w="5305"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color w:val="000000"/>
                <w:sz w:val="21"/>
                <w:szCs w:val="21"/>
                <w:highlight w:val="none"/>
              </w:rPr>
              <w:t>Ⅲ</w:t>
            </w:r>
            <w:r>
              <w:rPr>
                <w:rFonts w:hint="eastAsia" w:ascii="Times New Roman" w:hAnsi="Times New Roman" w:eastAsia="仿宋_GB2312" w:cs="仿宋_GB2312"/>
                <w:color w:val="000000"/>
                <w:sz w:val="21"/>
                <w:szCs w:val="21"/>
                <w:highlight w:val="none"/>
              </w:rPr>
              <w:t>类放射源或</w:t>
            </w:r>
            <w:r>
              <w:rPr>
                <w:rFonts w:hint="eastAsia"/>
                <w:color w:val="000000"/>
                <w:sz w:val="21"/>
                <w:szCs w:val="21"/>
                <w:highlight w:val="none"/>
              </w:rPr>
              <w:t>Ⅱ</w:t>
            </w:r>
            <w:r>
              <w:rPr>
                <w:rFonts w:hint="eastAsia" w:ascii="Times New Roman" w:hAnsi="Times New Roman" w:eastAsia="仿宋_GB2312" w:cs="仿宋_GB2312"/>
                <w:color w:val="000000"/>
                <w:sz w:val="21"/>
                <w:szCs w:val="21"/>
                <w:highlight w:val="none"/>
              </w:rPr>
              <w:t>类射线装置的</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14" w:type="dxa"/>
            <w:vMerge w:val="continue"/>
            <w:vAlign w:val="center"/>
          </w:tcPr>
          <w:p>
            <w:pPr>
              <w:snapToGrid w:val="0"/>
              <w:jc w:val="center"/>
              <w:rPr>
                <w:rFonts w:ascii="Times New Roman" w:hAnsi="Times New Roman" w:cs="Times New Roman"/>
                <w:b/>
                <w:bCs/>
                <w:color w:val="000000"/>
                <w:highlight w:val="none"/>
              </w:rPr>
            </w:pPr>
          </w:p>
        </w:tc>
        <w:tc>
          <w:tcPr>
            <w:tcW w:w="5305"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color w:val="000000"/>
                <w:sz w:val="21"/>
                <w:szCs w:val="21"/>
                <w:highlight w:val="none"/>
              </w:rPr>
              <w:t>Ⅰ</w:t>
            </w:r>
            <w:r>
              <w:rPr>
                <w:rFonts w:hint="eastAsia" w:ascii="Times New Roman" w:hAnsi="Times New Roman" w:eastAsia="仿宋_GB2312" w:cs="仿宋_GB2312"/>
                <w:color w:val="000000"/>
                <w:sz w:val="21"/>
                <w:szCs w:val="21"/>
                <w:highlight w:val="none"/>
              </w:rPr>
              <w:t>类、</w:t>
            </w:r>
            <w:r>
              <w:rPr>
                <w:rFonts w:hint="eastAsia"/>
                <w:color w:val="000000"/>
                <w:sz w:val="21"/>
                <w:szCs w:val="21"/>
                <w:highlight w:val="none"/>
              </w:rPr>
              <w:t>Ⅱ</w:t>
            </w:r>
            <w:r>
              <w:rPr>
                <w:rFonts w:hint="eastAsia" w:ascii="Times New Roman" w:hAnsi="Times New Roman" w:eastAsia="仿宋_GB2312" w:cs="仿宋_GB2312"/>
                <w:color w:val="000000"/>
                <w:sz w:val="21"/>
                <w:szCs w:val="21"/>
                <w:highlight w:val="none"/>
              </w:rPr>
              <w:t>类放射源或</w:t>
            </w:r>
            <w:r>
              <w:rPr>
                <w:rFonts w:hint="eastAsia"/>
                <w:color w:val="000000"/>
                <w:sz w:val="21"/>
                <w:szCs w:val="21"/>
                <w:highlight w:val="none"/>
              </w:rPr>
              <w:t>Ⅰ</w:t>
            </w:r>
            <w:r>
              <w:rPr>
                <w:rFonts w:hint="eastAsia" w:ascii="Times New Roman" w:hAnsi="Times New Roman" w:eastAsia="仿宋_GB2312" w:cs="仿宋_GB2312"/>
                <w:color w:val="000000"/>
                <w:sz w:val="21"/>
                <w:szCs w:val="21"/>
                <w:highlight w:val="none"/>
              </w:rPr>
              <w:t>类射线装置的</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14"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非密封放射性物质工作场所分类★</w:t>
            </w:r>
          </w:p>
        </w:tc>
        <w:tc>
          <w:tcPr>
            <w:tcW w:w="530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丙级工作场所</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14" w:type="dxa"/>
            <w:vMerge w:val="continue"/>
            <w:vAlign w:val="center"/>
          </w:tcPr>
          <w:p>
            <w:pPr>
              <w:snapToGrid w:val="0"/>
              <w:jc w:val="center"/>
              <w:rPr>
                <w:rFonts w:ascii="Times New Roman" w:hAnsi="Times New Roman" w:cs="Times New Roman"/>
                <w:b/>
                <w:bCs/>
                <w:color w:val="000000"/>
                <w:highlight w:val="none"/>
              </w:rPr>
            </w:pPr>
          </w:p>
        </w:tc>
        <w:tc>
          <w:tcPr>
            <w:tcW w:w="530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乙级工作场所</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14" w:type="dxa"/>
            <w:vMerge w:val="continue"/>
            <w:vAlign w:val="center"/>
          </w:tcPr>
          <w:p>
            <w:pPr>
              <w:snapToGrid w:val="0"/>
              <w:jc w:val="center"/>
              <w:rPr>
                <w:rFonts w:ascii="Times New Roman" w:hAnsi="Times New Roman" w:cs="Times New Roman"/>
                <w:b/>
                <w:bCs/>
                <w:color w:val="000000"/>
                <w:highlight w:val="none"/>
              </w:rPr>
            </w:pPr>
          </w:p>
        </w:tc>
        <w:tc>
          <w:tcPr>
            <w:tcW w:w="530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甲级工作场所</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14"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超过限期</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改正时间</w:t>
            </w:r>
          </w:p>
        </w:tc>
        <w:tc>
          <w:tcPr>
            <w:tcW w:w="5305"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14" w:type="dxa"/>
            <w:vMerge w:val="continue"/>
            <w:vAlign w:val="center"/>
          </w:tcPr>
          <w:p>
            <w:pPr>
              <w:snapToGrid w:val="0"/>
              <w:jc w:val="center"/>
              <w:rPr>
                <w:rFonts w:ascii="Times New Roman" w:hAnsi="Times New Roman" w:cs="Times New Roman"/>
                <w:b/>
                <w:bCs/>
                <w:color w:val="000000"/>
                <w:highlight w:val="none"/>
              </w:rPr>
            </w:pPr>
          </w:p>
        </w:tc>
        <w:tc>
          <w:tcPr>
            <w:tcW w:w="530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天</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14" w:type="dxa"/>
            <w:vMerge w:val="continue"/>
            <w:vAlign w:val="center"/>
          </w:tcPr>
          <w:p>
            <w:pPr>
              <w:snapToGrid w:val="0"/>
              <w:jc w:val="center"/>
              <w:rPr>
                <w:rFonts w:ascii="Times New Roman" w:hAnsi="Times New Roman" w:cs="Times New Roman"/>
                <w:b/>
                <w:bCs/>
                <w:color w:val="000000"/>
                <w:highlight w:val="none"/>
              </w:rPr>
            </w:pPr>
          </w:p>
        </w:tc>
        <w:tc>
          <w:tcPr>
            <w:tcW w:w="530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天</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14" w:type="dxa"/>
            <w:vMerge w:val="continue"/>
            <w:vAlign w:val="center"/>
          </w:tcPr>
          <w:p>
            <w:pPr>
              <w:snapToGrid w:val="0"/>
              <w:jc w:val="center"/>
              <w:rPr>
                <w:rFonts w:ascii="Times New Roman" w:hAnsi="Times New Roman" w:cs="Times New Roman"/>
                <w:b/>
                <w:bCs/>
                <w:color w:val="000000"/>
                <w:highlight w:val="none"/>
              </w:rPr>
            </w:pPr>
          </w:p>
        </w:tc>
        <w:tc>
          <w:tcPr>
            <w:tcW w:w="530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14" w:type="dxa"/>
            <w:vMerge w:val="continue"/>
            <w:vAlign w:val="center"/>
          </w:tcPr>
          <w:p>
            <w:pPr>
              <w:snapToGrid w:val="0"/>
              <w:jc w:val="center"/>
              <w:rPr>
                <w:rFonts w:ascii="Times New Roman" w:hAnsi="Times New Roman" w:cs="Times New Roman"/>
                <w:b/>
                <w:bCs/>
                <w:color w:val="000000"/>
                <w:highlight w:val="none"/>
              </w:rPr>
            </w:pPr>
          </w:p>
        </w:tc>
        <w:tc>
          <w:tcPr>
            <w:tcW w:w="5305"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个月以上</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14"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994" w:type="dxa"/>
            <w:gridSpan w:val="2"/>
            <w:vAlign w:val="center"/>
          </w:tcPr>
          <w:p>
            <w:pPr>
              <w:snapToGrid w:val="0"/>
              <w:ind w:firstLine="420"/>
              <w:jc w:val="center"/>
              <w:rPr>
                <w:rFonts w:ascii="Times New Roman" w:hAnsi="Times New Roman" w:cs="Times New Roman"/>
                <w:color w:val="000000"/>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tcPr>
          <w:p>
            <w:pPr>
              <w:pStyle w:val="11"/>
              <w:snapToGrid w:val="0"/>
              <w:spacing w:before="62" w:beforeLines="20"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生产、销售、使用放射性同位素和射线装置的单位未按照规定对本单位的放射性同位素、射线装置安全和防护状况进行评估或者发现安全隐患不及时整改，责令限期改正逾期不改正的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Pr>
          <w:p>
            <w:pPr>
              <w:pStyle w:val="11"/>
              <w:snapToGrid w:val="0"/>
              <w:spacing w:before="62" w:beforeLines="20"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《放射性同位素与射线装置安全和防护条例》第三十条</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生产、销售、使用放射性同位素和射线装置的单位，应当对本单位的放射性同位素、射线装置的安全和防护状况进行年度评估。发现安全隐患的，应当立即进行整改。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Pr>
          <w:p>
            <w:pPr>
              <w:pStyle w:val="11"/>
              <w:snapToGrid w:val="0"/>
              <w:spacing w:before="62" w:beforeLines="20"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《放射性同位素与射线装置安全和防护条例》第六十条第（一）项</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违反本条例规定，生产、销售、使用放射性同位素和射线装置的单位有下列行为之一的，由县级以上人民政府生态环境主管部门责令停止违法行为，限期改正；逾期不改正的，责令停产停业，并处</w:t>
            </w:r>
            <w:r>
              <w:rPr>
                <w:rFonts w:ascii="Times New Roman" w:hAnsi="Times New Roman" w:eastAsia="仿宋_GB2312" w:cs="Times New Roman"/>
                <w:sz w:val="21"/>
                <w:szCs w:val="21"/>
                <w:highlight w:val="none"/>
              </w:rPr>
              <w:t>2</w:t>
            </w:r>
            <w:r>
              <w:rPr>
                <w:rFonts w:hint="eastAsia" w:ascii="Times New Roman" w:hAnsi="Times New Roman" w:eastAsia="仿宋_GB2312" w:cs="仿宋_GB2312"/>
                <w:sz w:val="21"/>
                <w:szCs w:val="21"/>
                <w:highlight w:val="none"/>
              </w:rPr>
              <w:t>万元以上</w:t>
            </w:r>
            <w:r>
              <w:rPr>
                <w:rFonts w:ascii="Times New Roman" w:hAnsi="Times New Roman" w:eastAsia="仿宋_GB2312" w:cs="Times New Roman"/>
                <w:sz w:val="21"/>
                <w:szCs w:val="21"/>
                <w:highlight w:val="none"/>
              </w:rPr>
              <w:t>20</w:t>
            </w:r>
            <w:r>
              <w:rPr>
                <w:rFonts w:hint="eastAsia" w:ascii="Times New Roman" w:hAnsi="Times New Roman" w:eastAsia="仿宋_GB2312" w:cs="仿宋_GB2312"/>
                <w:sz w:val="21"/>
                <w:szCs w:val="21"/>
                <w:highlight w:val="none"/>
              </w:rPr>
              <w:t>万元以下的罚款；构成犯罪的，依法追究刑事责任：</w:t>
            </w:r>
          </w:p>
          <w:p>
            <w:pPr>
              <w:pStyle w:val="11"/>
              <w:snapToGrid w:val="0"/>
              <w:spacing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（一）未按照规定对本单位的放射性同位素、射线装置安全和防护状况进行评估或者发现安全隐患不及时整改的。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2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89"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未规范进行评估工作的</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未进行评估工作的</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发现安全隐患未立即进行整改的</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涉及放射</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类型</w:t>
            </w: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color w:val="000000"/>
                <w:highlight w:val="none"/>
              </w:rPr>
              <w:t>Ⅳ</w:t>
            </w:r>
            <w:r>
              <w:rPr>
                <w:rFonts w:hint="eastAsia" w:ascii="Times New Roman" w:hAnsi="Times New Roman" w:eastAsia="仿宋_GB2312" w:cs="仿宋_GB2312"/>
                <w:color w:val="000000"/>
                <w:highlight w:val="none"/>
              </w:rPr>
              <w:t>类、</w:t>
            </w:r>
            <w:r>
              <w:rPr>
                <w:rFonts w:hint="eastAsia" w:ascii="宋体" w:hAnsi="宋体" w:cs="宋体"/>
                <w:color w:val="000000"/>
                <w:highlight w:val="none"/>
              </w:rPr>
              <w:t>Ⅴ</w:t>
            </w:r>
            <w:r>
              <w:rPr>
                <w:rFonts w:hint="eastAsia" w:ascii="Times New Roman" w:hAnsi="Times New Roman" w:eastAsia="仿宋_GB2312" w:cs="仿宋_GB2312"/>
                <w:color w:val="000000"/>
                <w:highlight w:val="none"/>
              </w:rPr>
              <w:t>类放射源或</w:t>
            </w:r>
            <w:r>
              <w:rPr>
                <w:rFonts w:hint="eastAsia" w:ascii="宋体" w:hAnsi="宋体" w:cs="宋体"/>
                <w:color w:val="000000"/>
                <w:highlight w:val="none"/>
              </w:rPr>
              <w:t>Ⅲ</w:t>
            </w:r>
            <w:r>
              <w:rPr>
                <w:rFonts w:hint="eastAsia" w:ascii="Times New Roman" w:hAnsi="Times New Roman" w:eastAsia="仿宋_GB2312" w:cs="仿宋_GB2312"/>
                <w:color w:val="000000"/>
                <w:highlight w:val="none"/>
              </w:rPr>
              <w:t>类射线装置的</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color w:val="000000"/>
                <w:highlight w:val="none"/>
              </w:rPr>
              <w:t>Ⅲ</w:t>
            </w:r>
            <w:r>
              <w:rPr>
                <w:rFonts w:hint="eastAsia" w:ascii="Times New Roman" w:hAnsi="Times New Roman" w:eastAsia="仿宋_GB2312" w:cs="仿宋_GB2312"/>
                <w:color w:val="000000"/>
                <w:highlight w:val="none"/>
              </w:rPr>
              <w:t>类放射源或</w:t>
            </w:r>
            <w:r>
              <w:rPr>
                <w:rFonts w:hint="eastAsia" w:ascii="宋体" w:hAnsi="宋体" w:cs="宋体"/>
                <w:color w:val="000000"/>
                <w:highlight w:val="none"/>
              </w:rPr>
              <w:t>Ⅱ</w:t>
            </w:r>
            <w:r>
              <w:rPr>
                <w:rFonts w:hint="eastAsia" w:ascii="Times New Roman" w:hAnsi="Times New Roman" w:eastAsia="仿宋_GB2312" w:cs="仿宋_GB2312"/>
                <w:color w:val="000000"/>
                <w:highlight w:val="none"/>
              </w:rPr>
              <w:t>类射线装置的</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color w:val="000000"/>
                <w:highlight w:val="none"/>
              </w:rPr>
              <w:t>Ⅰ</w:t>
            </w:r>
            <w:r>
              <w:rPr>
                <w:rFonts w:hint="eastAsia" w:ascii="Times New Roman" w:hAnsi="Times New Roman" w:eastAsia="仿宋_GB2312" w:cs="仿宋_GB2312"/>
                <w:color w:val="000000"/>
                <w:highlight w:val="none"/>
              </w:rPr>
              <w:t>类、</w:t>
            </w:r>
            <w:r>
              <w:rPr>
                <w:rFonts w:hint="eastAsia" w:ascii="宋体" w:hAnsi="宋体" w:cs="宋体"/>
                <w:color w:val="000000"/>
                <w:highlight w:val="none"/>
              </w:rPr>
              <w:t>Ⅱ</w:t>
            </w:r>
            <w:r>
              <w:rPr>
                <w:rFonts w:hint="eastAsia" w:ascii="Times New Roman" w:hAnsi="Times New Roman" w:eastAsia="仿宋_GB2312" w:cs="仿宋_GB2312"/>
                <w:color w:val="000000"/>
                <w:highlight w:val="none"/>
              </w:rPr>
              <w:t>类放射源或</w:t>
            </w:r>
            <w:r>
              <w:rPr>
                <w:rFonts w:hint="eastAsia" w:ascii="宋体" w:hAnsi="宋体" w:cs="宋体"/>
                <w:color w:val="000000"/>
                <w:highlight w:val="none"/>
              </w:rPr>
              <w:t>Ⅰ</w:t>
            </w:r>
            <w:r>
              <w:rPr>
                <w:rFonts w:hint="eastAsia" w:ascii="Times New Roman" w:hAnsi="Times New Roman" w:eastAsia="仿宋_GB2312" w:cs="仿宋_GB2312"/>
                <w:color w:val="000000"/>
                <w:highlight w:val="none"/>
              </w:rPr>
              <w:t>类射线装置的</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非密封放射性物质工作场所分类</w:t>
            </w: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丙级工作场所</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乙级工作场所</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甲级工作场所</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超过限期</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改正时间</w:t>
            </w: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天</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天</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个月以上</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902" w:type="dxa"/>
            <w:gridSpan w:val="2"/>
            <w:vAlign w:val="center"/>
          </w:tcPr>
          <w:p>
            <w:pPr>
              <w:snapToGrid w:val="0"/>
              <w:ind w:firstLine="420"/>
              <w:jc w:val="center"/>
              <w:rPr>
                <w:rFonts w:ascii="Times New Roman" w:hAnsi="Times New Roman" w:cs="Times New Roman"/>
                <w:color w:val="000000"/>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tcPr>
          <w:p>
            <w:pPr>
              <w:pStyle w:val="11"/>
              <w:snapToGrid w:val="0"/>
              <w:spacing w:before="62" w:beforeLines="20"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生产、销售、使用放射性同位素和射线装置的单位生产、销售、使用、贮存放射性同位素和射线装置的场所未按照规定设置安全和防护设施以及放射性标志，责令限期改正逾期不改正的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Pr>
          <w:p>
            <w:pPr>
              <w:pStyle w:val="11"/>
              <w:snapToGrid w:val="0"/>
              <w:spacing w:before="62" w:beforeLines="20"/>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《放射性同位素与射线装置安全和防护条例》第三十四条第一款</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生产、销售、使用、贮存放射性同位素和射线装置的场所，应当按照国家有关规定设置明显的放射性标志，其入口处应当按照国家有关安全和防护标准的要求，设置安全和防护设施以及必要的防护安全联锁、报警装置或者工作信号。射线装置的生产调试和使用场所，应当具有防止误操作、防止工作人员和公众受到意外照射的安全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Pr>
          <w:p>
            <w:pPr>
              <w:pStyle w:val="11"/>
              <w:snapToGrid w:val="0"/>
              <w:spacing w:before="62" w:beforeLines="20"/>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《放射性同位素与射线装置安全和防护条例》第六十条第（二）项</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违反本条例规定，生产、销售、使用放射性同位素和射线装置的单位有下列行为之一的，由县级以上人民政府生态环境主管部门责令停止违法行为，限期改正；逾期不改正的，责令停产停业，并处</w:t>
            </w:r>
            <w:r>
              <w:rPr>
                <w:rFonts w:ascii="Times New Roman" w:hAnsi="Times New Roman" w:eastAsia="仿宋_GB2312" w:cs="Times New Roman"/>
                <w:sz w:val="21"/>
                <w:szCs w:val="21"/>
                <w:highlight w:val="none"/>
              </w:rPr>
              <w:t>2</w:t>
            </w:r>
            <w:r>
              <w:rPr>
                <w:rFonts w:hint="eastAsia" w:ascii="Times New Roman" w:hAnsi="Times New Roman" w:eastAsia="仿宋_GB2312" w:cs="仿宋_GB2312"/>
                <w:sz w:val="21"/>
                <w:szCs w:val="21"/>
                <w:highlight w:val="none"/>
              </w:rPr>
              <w:t>万元以上</w:t>
            </w:r>
            <w:r>
              <w:rPr>
                <w:rFonts w:ascii="Times New Roman" w:hAnsi="Times New Roman" w:eastAsia="仿宋_GB2312" w:cs="Times New Roman"/>
                <w:sz w:val="21"/>
                <w:szCs w:val="21"/>
                <w:highlight w:val="none"/>
              </w:rPr>
              <w:t>20</w:t>
            </w:r>
            <w:r>
              <w:rPr>
                <w:rFonts w:hint="eastAsia" w:ascii="Times New Roman" w:hAnsi="Times New Roman" w:eastAsia="仿宋_GB2312" w:cs="仿宋_GB2312"/>
                <w:sz w:val="21"/>
                <w:szCs w:val="21"/>
                <w:highlight w:val="none"/>
              </w:rPr>
              <w:t>万元以下的罚款；构成犯罪的，依法追究刑事责任：</w:t>
            </w:r>
          </w:p>
          <w:p>
            <w:pPr>
              <w:pStyle w:val="11"/>
              <w:snapToGrid w:val="0"/>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（二）生产、销售、使用、贮存放射性同位素和射线装置的场所未按照规定设置安全和防护设施以及放射性标志的。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8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color w:val="000000"/>
                <w:highlight w:val="none"/>
              </w:rPr>
              <w:t>违法事实★</w:t>
            </w: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有安全和防护措施但不完备不规范的或者放射性标志设置不规范的</w:t>
            </w:r>
          </w:p>
        </w:tc>
        <w:tc>
          <w:tcPr>
            <w:tcW w:w="2689" w:type="dxa"/>
            <w:vAlign w:val="center"/>
          </w:tcPr>
          <w:p>
            <w:pPr>
              <w:pStyle w:val="11"/>
              <w:snapToGrid w:val="0"/>
              <w:jc w:val="center"/>
              <w:rPr>
                <w:rFonts w:ascii="Times New Roman" w:hAnsi="Times New Roman" w:cs="Times New Roman"/>
                <w:color w:val="000000"/>
                <w:sz w:val="21"/>
                <w:szCs w:val="21"/>
                <w:highlight w:val="none"/>
              </w:rPr>
            </w:pPr>
            <w:r>
              <w:rPr>
                <w:rFonts w:ascii="Times New Roman" w:hAnsi="Times New Roman" w:cs="Times New Roman"/>
                <w:color w:val="000000"/>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有安全和防护措施但不完备不规范的并且放射性标志设置不规范的</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未设置放射性标志的或者</w:t>
            </w:r>
            <w:r>
              <w:rPr>
                <w:rFonts w:hint="eastAsia" w:ascii="Times New Roman" w:hAnsi="Times New Roman" w:eastAsia="仿宋_GB2312" w:cs="仿宋_GB2312"/>
                <w:highlight w:val="none"/>
              </w:rPr>
              <w:t>无安全和防护措施的</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未设置放射性标志的并且</w:t>
            </w:r>
            <w:r>
              <w:rPr>
                <w:rFonts w:hint="eastAsia" w:ascii="Times New Roman" w:hAnsi="Times New Roman" w:eastAsia="仿宋_GB2312" w:cs="仿宋_GB2312"/>
                <w:highlight w:val="none"/>
              </w:rPr>
              <w:t>无安全和防护措施的</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涉及放射</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类型</w:t>
            </w:r>
          </w:p>
        </w:tc>
        <w:tc>
          <w:tcPr>
            <w:tcW w:w="5213"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Ⅳ</w:t>
            </w:r>
            <w:r>
              <w:rPr>
                <w:rFonts w:hint="eastAsia" w:ascii="Times New Roman" w:hAnsi="Times New Roman" w:eastAsia="仿宋_GB2312" w:cs="仿宋_GB2312"/>
                <w:highlight w:val="none"/>
              </w:rPr>
              <w:t>类、</w:t>
            </w:r>
            <w:r>
              <w:rPr>
                <w:rFonts w:hint="eastAsia" w:ascii="宋体" w:hAnsi="宋体" w:cs="宋体"/>
                <w:highlight w:val="none"/>
              </w:rPr>
              <w:t>Ⅴ</w:t>
            </w:r>
            <w:r>
              <w:rPr>
                <w:rFonts w:hint="eastAsia" w:ascii="Times New Roman" w:hAnsi="Times New Roman" w:eastAsia="仿宋_GB2312" w:cs="仿宋_GB2312"/>
                <w:highlight w:val="none"/>
              </w:rPr>
              <w:t>类放射源或</w:t>
            </w:r>
            <w:r>
              <w:rPr>
                <w:rFonts w:hint="eastAsia" w:ascii="宋体" w:hAnsi="宋体" w:cs="宋体"/>
                <w:highlight w:val="none"/>
              </w:rPr>
              <w:t>Ⅲ</w:t>
            </w:r>
            <w:r>
              <w:rPr>
                <w:rFonts w:hint="eastAsia" w:ascii="Times New Roman" w:hAnsi="Times New Roman" w:eastAsia="仿宋_GB2312" w:cs="仿宋_GB2312"/>
                <w:highlight w:val="none"/>
              </w:rPr>
              <w:t>类射线装置的</w:t>
            </w:r>
          </w:p>
        </w:tc>
        <w:tc>
          <w:tcPr>
            <w:tcW w:w="2689"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Ⅲ</w:t>
            </w:r>
            <w:r>
              <w:rPr>
                <w:rFonts w:hint="eastAsia" w:ascii="Times New Roman" w:hAnsi="Times New Roman" w:eastAsia="仿宋_GB2312" w:cs="仿宋_GB2312"/>
                <w:highlight w:val="none"/>
              </w:rPr>
              <w:t>类放射源或</w:t>
            </w:r>
            <w:r>
              <w:rPr>
                <w:rFonts w:hint="eastAsia" w:ascii="宋体" w:hAnsi="宋体" w:cs="宋体"/>
                <w:highlight w:val="none"/>
              </w:rPr>
              <w:t>Ⅱ</w:t>
            </w:r>
            <w:r>
              <w:rPr>
                <w:rFonts w:hint="eastAsia" w:ascii="Times New Roman" w:hAnsi="Times New Roman" w:eastAsia="仿宋_GB2312" w:cs="仿宋_GB2312"/>
                <w:highlight w:val="none"/>
              </w:rPr>
              <w:t>类射线装置的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宋体" w:hAnsi="宋体" w:cs="宋体"/>
                <w:highlight w:val="none"/>
              </w:rPr>
              <w:t>Ⅰ</w:t>
            </w:r>
            <w:r>
              <w:rPr>
                <w:rFonts w:hint="eastAsia" w:ascii="Times New Roman" w:hAnsi="Times New Roman" w:eastAsia="仿宋_GB2312" w:cs="仿宋_GB2312"/>
                <w:highlight w:val="none"/>
              </w:rPr>
              <w:t>类、</w:t>
            </w:r>
            <w:r>
              <w:rPr>
                <w:rFonts w:hint="eastAsia" w:ascii="宋体" w:hAnsi="宋体" w:cs="宋体"/>
                <w:highlight w:val="none"/>
              </w:rPr>
              <w:t>Ⅱ</w:t>
            </w:r>
            <w:r>
              <w:rPr>
                <w:rFonts w:hint="eastAsia" w:ascii="Times New Roman" w:hAnsi="Times New Roman" w:eastAsia="仿宋_GB2312" w:cs="仿宋_GB2312"/>
                <w:highlight w:val="none"/>
              </w:rPr>
              <w:t>类放射源或</w:t>
            </w:r>
            <w:r>
              <w:rPr>
                <w:rFonts w:hint="eastAsia" w:ascii="宋体" w:hAnsi="宋体" w:cs="宋体"/>
                <w:highlight w:val="none"/>
              </w:rPr>
              <w:t>Ⅰ</w:t>
            </w:r>
            <w:r>
              <w:rPr>
                <w:rFonts w:hint="eastAsia" w:ascii="Times New Roman" w:hAnsi="Times New Roman" w:eastAsia="仿宋_GB2312" w:cs="仿宋_GB2312"/>
                <w:highlight w:val="none"/>
              </w:rPr>
              <w:t>类射线装置的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非密封放射性物质工作场所分类</w:t>
            </w: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丙级工作场所</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乙级工作场所</w:t>
            </w:r>
          </w:p>
        </w:tc>
        <w:tc>
          <w:tcPr>
            <w:tcW w:w="2689"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甲级工作场所</w:t>
            </w:r>
          </w:p>
        </w:tc>
        <w:tc>
          <w:tcPr>
            <w:tcW w:w="2689"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超过限期</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改正时间</w:t>
            </w: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不足</w:t>
            </w:r>
            <w:r>
              <w:rPr>
                <w:rFonts w:ascii="Times New Roman" w:hAnsi="Times New Roman" w:eastAsia="仿宋_GB2312" w:cs="Times New Roman"/>
                <w:highlight w:val="none"/>
              </w:rPr>
              <w:t>5</w:t>
            </w:r>
            <w:r>
              <w:rPr>
                <w:rFonts w:hint="eastAsia" w:ascii="Times New Roman" w:hAnsi="Times New Roman" w:eastAsia="仿宋_GB2312" w:cs="仿宋_GB2312"/>
                <w:highlight w:val="none"/>
              </w:rPr>
              <w:t>天</w:t>
            </w:r>
          </w:p>
        </w:tc>
        <w:tc>
          <w:tcPr>
            <w:tcW w:w="268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highlight w:val="none"/>
              </w:rPr>
              <w:t>5</w:t>
            </w:r>
            <w:r>
              <w:rPr>
                <w:rFonts w:hint="eastAsia" w:ascii="Times New Roman" w:hAnsi="Times New Roman" w:eastAsia="仿宋_GB2312" w:cs="仿宋_GB2312"/>
                <w:highlight w:val="none"/>
              </w:rPr>
              <w:t>天以上不足</w:t>
            </w:r>
            <w:r>
              <w:rPr>
                <w:rFonts w:ascii="Times New Roman" w:hAnsi="Times New Roman" w:eastAsia="仿宋_GB2312" w:cs="Times New Roman"/>
                <w:highlight w:val="none"/>
              </w:rPr>
              <w:t>10</w:t>
            </w:r>
            <w:r>
              <w:rPr>
                <w:rFonts w:hint="eastAsia" w:ascii="Times New Roman" w:hAnsi="Times New Roman" w:eastAsia="仿宋_GB2312" w:cs="仿宋_GB2312"/>
                <w:highlight w:val="none"/>
              </w:rPr>
              <w:t>天</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highlight w:val="none"/>
              </w:rPr>
              <w:t>10</w:t>
            </w:r>
            <w:r>
              <w:rPr>
                <w:rFonts w:hint="eastAsia" w:ascii="Times New Roman" w:hAnsi="Times New Roman" w:eastAsia="仿宋_GB2312" w:cs="仿宋_GB2312"/>
                <w:highlight w:val="none"/>
              </w:rPr>
              <w:t>天以上不足</w:t>
            </w:r>
            <w:r>
              <w:rPr>
                <w:rFonts w:ascii="Times New Roman" w:hAnsi="Times New Roman" w:eastAsia="仿宋_GB2312" w:cs="Times New Roman"/>
                <w:highlight w:val="none"/>
              </w:rPr>
              <w:t>20</w:t>
            </w:r>
            <w:r>
              <w:rPr>
                <w:rFonts w:hint="eastAsia" w:ascii="Times New Roman" w:hAnsi="Times New Roman" w:eastAsia="仿宋_GB2312" w:cs="仿宋_GB2312"/>
                <w:highlight w:val="none"/>
              </w:rPr>
              <w:t>天</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highlight w:val="none"/>
              </w:rPr>
              <w:t>20</w:t>
            </w:r>
            <w:r>
              <w:rPr>
                <w:rFonts w:hint="eastAsia" w:ascii="Times New Roman" w:hAnsi="Times New Roman" w:eastAsia="仿宋_GB2312" w:cs="仿宋_GB2312"/>
                <w:highlight w:val="none"/>
              </w:rPr>
              <w:t>天以上不足</w:t>
            </w:r>
            <w:r>
              <w:rPr>
                <w:rFonts w:ascii="Times New Roman" w:hAnsi="Times New Roman" w:eastAsia="仿宋_GB2312" w:cs="Times New Roman"/>
                <w:highlight w:val="none"/>
              </w:rPr>
              <w:t>1</w:t>
            </w:r>
            <w:r>
              <w:rPr>
                <w:rFonts w:hint="eastAsia" w:ascii="Times New Roman" w:hAnsi="Times New Roman" w:eastAsia="仿宋_GB2312" w:cs="仿宋_GB2312"/>
                <w:highlight w:val="none"/>
              </w:rPr>
              <w:t>个月</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highlight w:val="none"/>
              </w:rPr>
              <w:t>1</w:t>
            </w:r>
            <w:r>
              <w:rPr>
                <w:rFonts w:hint="eastAsia" w:ascii="Times New Roman" w:hAnsi="Times New Roman" w:eastAsia="仿宋_GB2312" w:cs="仿宋_GB2312"/>
                <w:highlight w:val="none"/>
              </w:rPr>
              <w:t>个月以上</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0"/>
        <w:gridCol w:w="5176"/>
        <w:gridCol w:w="2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60"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84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60"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848" w:type="dxa"/>
            <w:gridSpan w:val="2"/>
          </w:tcPr>
          <w:p>
            <w:pPr>
              <w:pStyle w:val="11"/>
              <w:snapToGrid w:val="0"/>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核设施营运单位未按照规定，将其产生的废旧放射源送交贮存、处置，或者将其产生的其他放射性固体废物送交处置，责令限期改正逾期不改正的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848" w:type="dxa"/>
            <w:gridSpan w:val="2"/>
          </w:tcPr>
          <w:p>
            <w:pPr>
              <w:pStyle w:val="11"/>
              <w:snapToGrid w:val="0"/>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《放射性废物安全管理条例》第十条</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核设施营运单位应当将其产生的不能回收利用并不能返回原生产单位或者出口方的废旧放射源（以下简称废旧放射源），送交取得相应许可证的放射性固体废物贮存单位集中贮存，或者直接送交取得相应许可证的放射性固体废物处置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848" w:type="dxa"/>
            <w:gridSpan w:val="2"/>
          </w:tcPr>
          <w:p>
            <w:pPr>
              <w:pStyle w:val="11"/>
              <w:snapToGrid w:val="0"/>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《放射性废物安全管理条例》第三十六条第（一）项</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违反本条例规定，核设施营运单位、核技术利用单位有下列行为之一的，由审批该单位立项环境影响评价文件的环境保护主管部门责令停止违法行为，限期改正；逾期不改正的，指定有相应许可证的单位代为贮存或者处置，所需费用由核设施营运单位、核技术利用单位承担，可以处</w:t>
            </w:r>
            <w:r>
              <w:rPr>
                <w:rFonts w:ascii="Times New Roman" w:hAnsi="Times New Roman" w:eastAsia="仿宋_GB2312" w:cs="Times New Roman"/>
                <w:sz w:val="21"/>
                <w:szCs w:val="21"/>
                <w:highlight w:val="none"/>
              </w:rPr>
              <w:t>20</w:t>
            </w:r>
            <w:r>
              <w:rPr>
                <w:rFonts w:hint="eastAsia" w:ascii="Times New Roman" w:hAnsi="Times New Roman" w:eastAsia="仿宋_GB2312" w:cs="仿宋_GB2312"/>
                <w:sz w:val="21"/>
                <w:szCs w:val="21"/>
                <w:highlight w:val="none"/>
              </w:rPr>
              <w:t>万元以下的罚款；构成犯罪的，依法追究刑事责任：</w:t>
            </w:r>
          </w:p>
          <w:p>
            <w:pPr>
              <w:pStyle w:val="11"/>
              <w:snapToGrid w:val="0"/>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（一）核设施营运单位未按照规定，将其产生的废旧放射源送交贮存、处置，或者将其产生的其他放射性固体废物送交处置的。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60"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17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72"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60"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放射性废物数量</w:t>
            </w:r>
            <w:r>
              <w:rPr>
                <w:rFonts w:hint="eastAsia" w:ascii="Times New Roman" w:hAnsi="Times New Roman" w:cs="宋体"/>
                <w:b/>
                <w:bCs/>
                <w:color w:val="000000"/>
                <w:highlight w:val="none"/>
              </w:rPr>
              <w:t>★</w:t>
            </w:r>
          </w:p>
        </w:tc>
        <w:tc>
          <w:tcPr>
            <w:tcW w:w="5176"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不足</w:t>
            </w: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千克</w:t>
            </w:r>
          </w:p>
        </w:tc>
        <w:tc>
          <w:tcPr>
            <w:tcW w:w="2672"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Times New Roman"/>
                <w:color w:val="000000"/>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60" w:type="dxa"/>
            <w:vMerge w:val="continue"/>
            <w:vAlign w:val="center"/>
          </w:tcPr>
          <w:p>
            <w:pPr>
              <w:snapToGrid w:val="0"/>
              <w:jc w:val="center"/>
              <w:rPr>
                <w:rFonts w:ascii="Times New Roman" w:hAnsi="Times New Roman" w:cs="Times New Roman"/>
                <w:b/>
                <w:bCs/>
                <w:highlight w:val="none"/>
              </w:rPr>
            </w:pPr>
          </w:p>
        </w:tc>
        <w:tc>
          <w:tcPr>
            <w:tcW w:w="5176"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千克以上不足</w:t>
            </w:r>
            <w:r>
              <w:rPr>
                <w:rFonts w:ascii="Times New Roman" w:hAnsi="Times New Roman" w:eastAsia="仿宋_GB2312" w:cs="Times New Roman"/>
                <w:color w:val="000000"/>
                <w:sz w:val="21"/>
                <w:szCs w:val="21"/>
                <w:highlight w:val="none"/>
              </w:rPr>
              <w:t>100</w:t>
            </w:r>
            <w:r>
              <w:rPr>
                <w:rFonts w:hint="eastAsia" w:ascii="Times New Roman" w:hAnsi="Times New Roman" w:eastAsia="仿宋_GB2312" w:cs="仿宋_GB2312"/>
                <w:color w:val="000000"/>
                <w:sz w:val="21"/>
                <w:szCs w:val="21"/>
                <w:highlight w:val="none"/>
              </w:rPr>
              <w:t>千克</w:t>
            </w:r>
          </w:p>
        </w:tc>
        <w:tc>
          <w:tcPr>
            <w:tcW w:w="2672"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60" w:type="dxa"/>
            <w:vMerge w:val="continue"/>
            <w:vAlign w:val="center"/>
          </w:tcPr>
          <w:p>
            <w:pPr>
              <w:snapToGrid w:val="0"/>
              <w:jc w:val="center"/>
              <w:rPr>
                <w:rFonts w:ascii="Times New Roman" w:hAnsi="Times New Roman" w:cs="Times New Roman"/>
                <w:b/>
                <w:bCs/>
                <w:highlight w:val="none"/>
              </w:rPr>
            </w:pPr>
          </w:p>
        </w:tc>
        <w:tc>
          <w:tcPr>
            <w:tcW w:w="5176"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ascii="Times New Roman" w:hAnsi="Times New Roman" w:eastAsia="仿宋_GB2312" w:cs="Times New Roman"/>
                <w:color w:val="000000"/>
                <w:sz w:val="21"/>
                <w:szCs w:val="21"/>
                <w:highlight w:val="none"/>
              </w:rPr>
              <w:t>100</w:t>
            </w:r>
            <w:r>
              <w:rPr>
                <w:rFonts w:hint="eastAsia" w:ascii="Times New Roman" w:hAnsi="Times New Roman" w:eastAsia="仿宋_GB2312" w:cs="仿宋_GB2312"/>
                <w:color w:val="000000"/>
                <w:sz w:val="21"/>
                <w:szCs w:val="21"/>
                <w:highlight w:val="none"/>
              </w:rPr>
              <w:t>千克以上</w:t>
            </w:r>
          </w:p>
        </w:tc>
        <w:tc>
          <w:tcPr>
            <w:tcW w:w="2672"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60"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放射性废物类型</w:t>
            </w:r>
            <w:r>
              <w:rPr>
                <w:rFonts w:hint="eastAsia" w:ascii="Times New Roman" w:hAnsi="Times New Roman" w:cs="宋体"/>
                <w:b/>
                <w:bCs/>
                <w:color w:val="000000"/>
                <w:highlight w:val="none"/>
              </w:rPr>
              <w:t>★</w:t>
            </w:r>
          </w:p>
        </w:tc>
        <w:tc>
          <w:tcPr>
            <w:tcW w:w="5176" w:type="dxa"/>
            <w:vAlign w:val="center"/>
          </w:tcPr>
          <w:p>
            <w:pPr>
              <w:snapToGrid w:val="0"/>
              <w:jc w:val="center"/>
              <w:rPr>
                <w:rFonts w:ascii="Times New Roman" w:hAnsi="Times New Roman" w:eastAsia="仿宋_GB2312" w:cs="Times New Roman"/>
                <w:color w:val="000000"/>
                <w:kern w:val="0"/>
                <w:highlight w:val="none"/>
              </w:rPr>
            </w:pPr>
            <w:r>
              <w:rPr>
                <w:rFonts w:hint="eastAsia" w:ascii="Times New Roman" w:hAnsi="Times New Roman" w:eastAsia="仿宋_GB2312" w:cs="仿宋_GB2312"/>
                <w:color w:val="000000"/>
                <w:kern w:val="0"/>
                <w:highlight w:val="none"/>
              </w:rPr>
              <w:t>极短寿命放射性废物</w:t>
            </w:r>
          </w:p>
        </w:tc>
        <w:tc>
          <w:tcPr>
            <w:tcW w:w="2672"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60" w:type="dxa"/>
            <w:vMerge w:val="continue"/>
            <w:vAlign w:val="center"/>
          </w:tcPr>
          <w:p>
            <w:pPr>
              <w:snapToGrid w:val="0"/>
              <w:jc w:val="center"/>
              <w:rPr>
                <w:rFonts w:ascii="Times New Roman" w:hAnsi="Times New Roman" w:cs="Times New Roman"/>
                <w:b/>
                <w:bCs/>
                <w:highlight w:val="none"/>
              </w:rPr>
            </w:pPr>
          </w:p>
        </w:tc>
        <w:tc>
          <w:tcPr>
            <w:tcW w:w="517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极低水平放射性废物</w:t>
            </w:r>
          </w:p>
        </w:tc>
        <w:tc>
          <w:tcPr>
            <w:tcW w:w="2672"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60" w:type="dxa"/>
            <w:vMerge w:val="continue"/>
            <w:vAlign w:val="center"/>
          </w:tcPr>
          <w:p>
            <w:pPr>
              <w:snapToGrid w:val="0"/>
              <w:jc w:val="center"/>
              <w:rPr>
                <w:rFonts w:ascii="Times New Roman" w:hAnsi="Times New Roman" w:cs="Times New Roman"/>
                <w:b/>
                <w:bCs/>
                <w:highlight w:val="none"/>
              </w:rPr>
            </w:pPr>
          </w:p>
        </w:tc>
        <w:tc>
          <w:tcPr>
            <w:tcW w:w="517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低水平放射性废物</w:t>
            </w:r>
          </w:p>
        </w:tc>
        <w:tc>
          <w:tcPr>
            <w:tcW w:w="2672"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60" w:type="dxa"/>
            <w:vMerge w:val="continue"/>
            <w:vAlign w:val="center"/>
          </w:tcPr>
          <w:p>
            <w:pPr>
              <w:snapToGrid w:val="0"/>
              <w:jc w:val="center"/>
              <w:rPr>
                <w:rFonts w:ascii="Times New Roman" w:hAnsi="Times New Roman" w:cs="Times New Roman"/>
                <w:b/>
                <w:bCs/>
                <w:highlight w:val="none"/>
              </w:rPr>
            </w:pPr>
          </w:p>
        </w:tc>
        <w:tc>
          <w:tcPr>
            <w:tcW w:w="517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中水平放射性废物</w:t>
            </w:r>
          </w:p>
        </w:tc>
        <w:tc>
          <w:tcPr>
            <w:tcW w:w="2672"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60" w:type="dxa"/>
            <w:vMerge w:val="continue"/>
            <w:vAlign w:val="center"/>
          </w:tcPr>
          <w:p>
            <w:pPr>
              <w:snapToGrid w:val="0"/>
              <w:jc w:val="center"/>
              <w:rPr>
                <w:rFonts w:ascii="Times New Roman" w:hAnsi="Times New Roman" w:cs="Times New Roman"/>
                <w:b/>
                <w:bCs/>
                <w:highlight w:val="none"/>
              </w:rPr>
            </w:pPr>
          </w:p>
        </w:tc>
        <w:tc>
          <w:tcPr>
            <w:tcW w:w="517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高水平放射性废物</w:t>
            </w:r>
          </w:p>
        </w:tc>
        <w:tc>
          <w:tcPr>
            <w:tcW w:w="2672"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60"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涉及放射</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类型</w:t>
            </w:r>
          </w:p>
        </w:tc>
        <w:tc>
          <w:tcPr>
            <w:tcW w:w="5176"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color w:val="000000"/>
                <w:highlight w:val="none"/>
              </w:rPr>
              <w:t>Ⅳ</w:t>
            </w:r>
            <w:r>
              <w:rPr>
                <w:rFonts w:hint="eastAsia" w:ascii="Times New Roman" w:hAnsi="Times New Roman" w:eastAsia="仿宋_GB2312" w:cs="仿宋_GB2312"/>
                <w:color w:val="000000"/>
                <w:highlight w:val="none"/>
              </w:rPr>
              <w:t>类、</w:t>
            </w:r>
            <w:r>
              <w:rPr>
                <w:rFonts w:hint="eastAsia" w:ascii="宋体" w:hAnsi="宋体" w:cs="宋体"/>
                <w:color w:val="000000"/>
                <w:highlight w:val="none"/>
              </w:rPr>
              <w:t>Ⅴ</w:t>
            </w:r>
            <w:r>
              <w:rPr>
                <w:rFonts w:hint="eastAsia" w:ascii="Times New Roman" w:hAnsi="Times New Roman" w:eastAsia="仿宋_GB2312" w:cs="仿宋_GB2312"/>
                <w:color w:val="000000"/>
                <w:highlight w:val="none"/>
              </w:rPr>
              <w:t>类放射源</w:t>
            </w:r>
          </w:p>
        </w:tc>
        <w:tc>
          <w:tcPr>
            <w:tcW w:w="2672"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60" w:type="dxa"/>
            <w:vMerge w:val="continue"/>
            <w:vAlign w:val="center"/>
          </w:tcPr>
          <w:p>
            <w:pPr>
              <w:snapToGrid w:val="0"/>
              <w:jc w:val="center"/>
              <w:rPr>
                <w:rFonts w:ascii="Times New Roman" w:hAnsi="Times New Roman" w:cs="Times New Roman"/>
                <w:b/>
                <w:bCs/>
                <w:color w:val="000000"/>
                <w:highlight w:val="none"/>
              </w:rPr>
            </w:pPr>
          </w:p>
        </w:tc>
        <w:tc>
          <w:tcPr>
            <w:tcW w:w="5176"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color w:val="000000"/>
                <w:highlight w:val="none"/>
              </w:rPr>
              <w:t>Ⅲ</w:t>
            </w:r>
            <w:r>
              <w:rPr>
                <w:rFonts w:hint="eastAsia" w:ascii="Times New Roman" w:hAnsi="Times New Roman" w:eastAsia="仿宋_GB2312" w:cs="仿宋_GB2312"/>
                <w:color w:val="000000"/>
                <w:highlight w:val="none"/>
              </w:rPr>
              <w:t>类放射源</w:t>
            </w:r>
          </w:p>
        </w:tc>
        <w:tc>
          <w:tcPr>
            <w:tcW w:w="2672"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60" w:type="dxa"/>
            <w:vMerge w:val="continue"/>
            <w:vAlign w:val="center"/>
          </w:tcPr>
          <w:p>
            <w:pPr>
              <w:snapToGrid w:val="0"/>
              <w:jc w:val="center"/>
              <w:rPr>
                <w:rFonts w:ascii="Times New Roman" w:hAnsi="Times New Roman" w:cs="Times New Roman"/>
                <w:b/>
                <w:bCs/>
                <w:color w:val="000000"/>
                <w:highlight w:val="none"/>
              </w:rPr>
            </w:pPr>
          </w:p>
        </w:tc>
        <w:tc>
          <w:tcPr>
            <w:tcW w:w="5176"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color w:val="000000"/>
                <w:highlight w:val="none"/>
              </w:rPr>
              <w:t>Ⅰ</w:t>
            </w:r>
            <w:r>
              <w:rPr>
                <w:rFonts w:hint="eastAsia" w:ascii="Times New Roman" w:hAnsi="Times New Roman" w:eastAsia="仿宋_GB2312" w:cs="仿宋_GB2312"/>
                <w:color w:val="000000"/>
                <w:highlight w:val="none"/>
              </w:rPr>
              <w:t>类、</w:t>
            </w:r>
            <w:r>
              <w:rPr>
                <w:rFonts w:hint="eastAsia" w:ascii="宋体" w:hAnsi="宋体" w:cs="宋体"/>
                <w:color w:val="000000"/>
                <w:highlight w:val="none"/>
              </w:rPr>
              <w:t>Ⅱ</w:t>
            </w:r>
            <w:r>
              <w:rPr>
                <w:rFonts w:hint="eastAsia" w:ascii="Times New Roman" w:hAnsi="Times New Roman" w:eastAsia="仿宋_GB2312" w:cs="仿宋_GB2312"/>
                <w:color w:val="000000"/>
                <w:highlight w:val="none"/>
              </w:rPr>
              <w:t>类放射源</w:t>
            </w:r>
          </w:p>
        </w:tc>
        <w:tc>
          <w:tcPr>
            <w:tcW w:w="2672"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60"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超过限期</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改正时间</w:t>
            </w:r>
          </w:p>
        </w:tc>
        <w:tc>
          <w:tcPr>
            <w:tcW w:w="517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w:t>
            </w:r>
          </w:p>
        </w:tc>
        <w:tc>
          <w:tcPr>
            <w:tcW w:w="2672"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60" w:type="dxa"/>
            <w:vMerge w:val="continue"/>
            <w:vAlign w:val="center"/>
          </w:tcPr>
          <w:p>
            <w:pPr>
              <w:snapToGrid w:val="0"/>
              <w:jc w:val="center"/>
              <w:rPr>
                <w:rFonts w:ascii="Times New Roman" w:hAnsi="Times New Roman" w:cs="Times New Roman"/>
                <w:b/>
                <w:bCs/>
                <w:color w:val="000000"/>
                <w:highlight w:val="none"/>
              </w:rPr>
            </w:pPr>
          </w:p>
        </w:tc>
        <w:tc>
          <w:tcPr>
            <w:tcW w:w="5176"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天</w:t>
            </w:r>
          </w:p>
        </w:tc>
        <w:tc>
          <w:tcPr>
            <w:tcW w:w="2672"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60" w:type="dxa"/>
            <w:vMerge w:val="continue"/>
            <w:vAlign w:val="center"/>
          </w:tcPr>
          <w:p>
            <w:pPr>
              <w:snapToGrid w:val="0"/>
              <w:jc w:val="center"/>
              <w:rPr>
                <w:rFonts w:ascii="Times New Roman" w:hAnsi="Times New Roman" w:cs="Times New Roman"/>
                <w:b/>
                <w:bCs/>
                <w:color w:val="000000"/>
                <w:highlight w:val="none"/>
              </w:rPr>
            </w:pPr>
          </w:p>
        </w:tc>
        <w:tc>
          <w:tcPr>
            <w:tcW w:w="5176"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天</w:t>
            </w:r>
          </w:p>
        </w:tc>
        <w:tc>
          <w:tcPr>
            <w:tcW w:w="2672"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60" w:type="dxa"/>
            <w:vMerge w:val="continue"/>
            <w:vAlign w:val="center"/>
          </w:tcPr>
          <w:p>
            <w:pPr>
              <w:snapToGrid w:val="0"/>
              <w:jc w:val="center"/>
              <w:rPr>
                <w:rFonts w:ascii="Times New Roman" w:hAnsi="Times New Roman" w:cs="Times New Roman"/>
                <w:b/>
                <w:bCs/>
                <w:color w:val="000000"/>
                <w:highlight w:val="none"/>
              </w:rPr>
            </w:pPr>
          </w:p>
        </w:tc>
        <w:tc>
          <w:tcPr>
            <w:tcW w:w="5176"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w:t>
            </w:r>
          </w:p>
        </w:tc>
        <w:tc>
          <w:tcPr>
            <w:tcW w:w="2672"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60" w:type="dxa"/>
            <w:vMerge w:val="continue"/>
            <w:vAlign w:val="center"/>
          </w:tcPr>
          <w:p>
            <w:pPr>
              <w:snapToGrid w:val="0"/>
              <w:jc w:val="center"/>
              <w:rPr>
                <w:rFonts w:ascii="Times New Roman" w:hAnsi="Times New Roman" w:cs="Times New Roman"/>
                <w:b/>
                <w:bCs/>
                <w:color w:val="000000"/>
                <w:highlight w:val="none"/>
              </w:rPr>
            </w:pPr>
          </w:p>
        </w:tc>
        <w:tc>
          <w:tcPr>
            <w:tcW w:w="5176"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个月以上</w:t>
            </w:r>
          </w:p>
        </w:tc>
        <w:tc>
          <w:tcPr>
            <w:tcW w:w="2672"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60"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违法行为持续时间或</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发生频次</w:t>
            </w:r>
          </w:p>
        </w:tc>
        <w:tc>
          <w:tcPr>
            <w:tcW w:w="5176"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个月以内或</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次以下</w:t>
            </w:r>
          </w:p>
        </w:tc>
        <w:tc>
          <w:tcPr>
            <w:tcW w:w="2672"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60" w:type="dxa"/>
            <w:vMerge w:val="continue"/>
            <w:vAlign w:val="center"/>
          </w:tcPr>
          <w:p>
            <w:pPr>
              <w:snapToGrid w:val="0"/>
              <w:jc w:val="center"/>
              <w:rPr>
                <w:rFonts w:ascii="Times New Roman" w:hAnsi="Times New Roman" w:cs="Times New Roman"/>
                <w:b/>
                <w:bCs/>
                <w:color w:val="000000"/>
                <w:highlight w:val="none"/>
              </w:rPr>
            </w:pPr>
          </w:p>
        </w:tc>
        <w:tc>
          <w:tcPr>
            <w:tcW w:w="5176"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个月以上</w:t>
            </w: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个月以内或</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次</w:t>
            </w:r>
          </w:p>
        </w:tc>
        <w:tc>
          <w:tcPr>
            <w:tcW w:w="2672"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60" w:type="dxa"/>
            <w:vMerge w:val="continue"/>
            <w:vAlign w:val="center"/>
          </w:tcPr>
          <w:p>
            <w:pPr>
              <w:snapToGrid w:val="0"/>
              <w:jc w:val="center"/>
              <w:rPr>
                <w:rFonts w:ascii="Times New Roman" w:hAnsi="Times New Roman" w:cs="Times New Roman"/>
                <w:b/>
                <w:bCs/>
                <w:color w:val="000000"/>
                <w:highlight w:val="none"/>
              </w:rPr>
            </w:pPr>
          </w:p>
        </w:tc>
        <w:tc>
          <w:tcPr>
            <w:tcW w:w="5176"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个月以上或</w:t>
            </w: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次以上</w:t>
            </w:r>
          </w:p>
        </w:tc>
        <w:tc>
          <w:tcPr>
            <w:tcW w:w="2672"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60"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848"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核技术利用单位未按照规定，将其产生的废旧放射源或者其他放射性固体废物送交贮存、处置，责令限期改正逾期不改正的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《放射性废物安全管理条例》第十一条第二款</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核技术利用单位应当及时将其产生的废旧放射源和其他放射性固体废物，送交取得相应许可证的放射性固体废物贮存单位集中贮存，或者直接送交取得相应许可证的放射性固体废物处置单位处置。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《放射性废物安全管理条例》第三十六条第（二）项</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违反本条例规定，核设施营运单位、核技术利用单位有下列行为之一的，由审批该单位立项环境影响评价文件的环境保护主管部门责令停止违法行为，限期改正；逾期不改正的，指定有相应许可证的单位代为贮存或者处置，所需费用由核设施营运单位、核技术利用单位承担，可以处</w:t>
            </w:r>
            <w:r>
              <w:rPr>
                <w:rFonts w:ascii="Times New Roman" w:hAnsi="Times New Roman" w:eastAsia="仿宋_GB2312" w:cs="Times New Roman"/>
                <w:sz w:val="21"/>
                <w:szCs w:val="21"/>
                <w:highlight w:val="none"/>
              </w:rPr>
              <w:t>20</w:t>
            </w:r>
            <w:r>
              <w:rPr>
                <w:rFonts w:hint="eastAsia" w:ascii="Times New Roman" w:hAnsi="Times New Roman" w:eastAsia="仿宋_GB2312" w:cs="仿宋_GB2312"/>
                <w:sz w:val="21"/>
                <w:szCs w:val="21"/>
                <w:highlight w:val="none"/>
              </w:rPr>
              <w:t>万元以下的罚款；构成犯罪的，依法追究刑事责任：</w:t>
            </w:r>
          </w:p>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（二）核技术利用单位未按照规定，将其产生的废旧放射源或者其他放射性固体废物送交贮存、处置的。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2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89"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restart"/>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放射性废物数量★</w:t>
            </w:r>
          </w:p>
        </w:tc>
        <w:tc>
          <w:tcPr>
            <w:tcW w:w="521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不足</w:t>
            </w: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千克</w:t>
            </w:r>
          </w:p>
        </w:tc>
        <w:tc>
          <w:tcPr>
            <w:tcW w:w="2689"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千克以上不足</w:t>
            </w:r>
            <w:r>
              <w:rPr>
                <w:rFonts w:ascii="Times New Roman" w:hAnsi="Times New Roman" w:eastAsia="仿宋_GB2312" w:cs="Times New Roman"/>
                <w:color w:val="000000"/>
                <w:sz w:val="21"/>
                <w:szCs w:val="21"/>
                <w:highlight w:val="none"/>
              </w:rPr>
              <w:t>100</w:t>
            </w:r>
            <w:r>
              <w:rPr>
                <w:rFonts w:hint="eastAsia" w:ascii="Times New Roman" w:hAnsi="Times New Roman" w:eastAsia="仿宋_GB2312" w:cs="仿宋_GB2312"/>
                <w:color w:val="000000"/>
                <w:sz w:val="21"/>
                <w:szCs w:val="21"/>
                <w:highlight w:val="none"/>
              </w:rPr>
              <w:t>千克</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100</w:t>
            </w:r>
            <w:r>
              <w:rPr>
                <w:rFonts w:hint="eastAsia" w:ascii="Times New Roman" w:hAnsi="Times New Roman" w:eastAsia="仿宋_GB2312" w:cs="仿宋_GB2312"/>
                <w:color w:val="000000"/>
                <w:sz w:val="21"/>
                <w:szCs w:val="21"/>
                <w:highlight w:val="none"/>
              </w:rPr>
              <w:t>千克以上</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放射性废物类型★</w:t>
            </w:r>
          </w:p>
        </w:tc>
        <w:tc>
          <w:tcPr>
            <w:tcW w:w="5213" w:type="dxa"/>
            <w:vAlign w:val="center"/>
          </w:tcPr>
          <w:p>
            <w:pPr>
              <w:snapToGrid w:val="0"/>
              <w:jc w:val="center"/>
              <w:rPr>
                <w:rFonts w:ascii="Times New Roman" w:hAnsi="Times New Roman" w:eastAsia="仿宋_GB2312" w:cs="Times New Roman"/>
                <w:color w:val="000000"/>
                <w:kern w:val="0"/>
                <w:highlight w:val="none"/>
              </w:rPr>
            </w:pPr>
            <w:r>
              <w:rPr>
                <w:rFonts w:hint="eastAsia" w:ascii="Times New Roman" w:hAnsi="Times New Roman" w:eastAsia="仿宋_GB2312" w:cs="仿宋_GB2312"/>
                <w:color w:val="000000"/>
                <w:kern w:val="0"/>
                <w:highlight w:val="none"/>
              </w:rPr>
              <w:t>极短寿命放射性废物</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极低水平放射性废物</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低水平放射性废物</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中水平放射性废物</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高水平放射性废物</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涉及放射</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类型</w:t>
            </w: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color w:val="000000"/>
                <w:highlight w:val="none"/>
              </w:rPr>
              <w:t>Ⅳ</w:t>
            </w:r>
            <w:r>
              <w:rPr>
                <w:rFonts w:hint="eastAsia" w:ascii="Times New Roman" w:hAnsi="Times New Roman" w:eastAsia="仿宋_GB2312" w:cs="仿宋_GB2312"/>
                <w:color w:val="000000"/>
                <w:highlight w:val="none"/>
              </w:rPr>
              <w:t>类、</w:t>
            </w:r>
            <w:r>
              <w:rPr>
                <w:rFonts w:hint="eastAsia" w:ascii="宋体" w:hAnsi="宋体" w:cs="宋体"/>
                <w:color w:val="000000"/>
                <w:highlight w:val="none"/>
              </w:rPr>
              <w:t>Ⅴ</w:t>
            </w:r>
            <w:r>
              <w:rPr>
                <w:rFonts w:hint="eastAsia" w:ascii="Times New Roman" w:hAnsi="Times New Roman" w:eastAsia="仿宋_GB2312" w:cs="仿宋_GB2312"/>
                <w:color w:val="000000"/>
                <w:highlight w:val="none"/>
              </w:rPr>
              <w:t>类放射源</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color w:val="000000"/>
                <w:highlight w:val="none"/>
              </w:rPr>
              <w:t>Ⅲ</w:t>
            </w:r>
            <w:r>
              <w:rPr>
                <w:rFonts w:hint="eastAsia" w:ascii="Times New Roman" w:hAnsi="Times New Roman" w:eastAsia="仿宋_GB2312" w:cs="仿宋_GB2312"/>
                <w:color w:val="000000"/>
                <w:highlight w:val="none"/>
              </w:rPr>
              <w:t>类放射源</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color w:val="000000"/>
                <w:highlight w:val="none"/>
              </w:rPr>
              <w:t>Ⅰ</w:t>
            </w:r>
            <w:r>
              <w:rPr>
                <w:rFonts w:hint="eastAsia" w:ascii="Times New Roman" w:hAnsi="Times New Roman" w:eastAsia="仿宋_GB2312" w:cs="仿宋_GB2312"/>
                <w:color w:val="000000"/>
                <w:highlight w:val="none"/>
              </w:rPr>
              <w:t>类、</w:t>
            </w:r>
            <w:r>
              <w:rPr>
                <w:rFonts w:hint="eastAsia" w:ascii="宋体" w:hAnsi="宋体" w:cs="宋体"/>
                <w:color w:val="000000"/>
                <w:highlight w:val="none"/>
              </w:rPr>
              <w:t>Ⅱ</w:t>
            </w:r>
            <w:r>
              <w:rPr>
                <w:rFonts w:hint="eastAsia" w:ascii="Times New Roman" w:hAnsi="Times New Roman" w:eastAsia="仿宋_GB2312" w:cs="仿宋_GB2312"/>
                <w:color w:val="000000"/>
                <w:highlight w:val="none"/>
              </w:rPr>
              <w:t>类放射源</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超过限期</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改正时间</w:t>
            </w: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天</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天</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个月以上</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restart"/>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违法行为持续时间或</w:t>
            </w:r>
          </w:p>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发生频次</w:t>
            </w:r>
          </w:p>
        </w:tc>
        <w:tc>
          <w:tcPr>
            <w:tcW w:w="5213" w:type="dxa"/>
            <w:vAlign w:val="center"/>
          </w:tcPr>
          <w:p>
            <w:pPr>
              <w:snapToGrid w:val="0"/>
              <w:spacing w:line="312" w:lineRule="auto"/>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个月以内或</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次以下</w:t>
            </w:r>
          </w:p>
        </w:tc>
        <w:tc>
          <w:tcPr>
            <w:tcW w:w="2689" w:type="dxa"/>
            <w:vAlign w:val="center"/>
          </w:tcPr>
          <w:p>
            <w:pPr>
              <w:snapToGrid w:val="0"/>
              <w:spacing w:line="312" w:lineRule="auto"/>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个月以上</w:t>
            </w: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个月以内或</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次</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个月以上或</w:t>
            </w: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次以上</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902" w:type="dxa"/>
            <w:gridSpan w:val="2"/>
            <w:vAlign w:val="center"/>
          </w:tcPr>
          <w:p>
            <w:pPr>
              <w:snapToGrid w:val="0"/>
              <w:ind w:firstLine="420"/>
              <w:jc w:val="center"/>
              <w:rPr>
                <w:rFonts w:ascii="Times New Roman" w:hAnsi="Times New Roman" w:cs="Times New Roman"/>
                <w:color w:val="000000"/>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0"/>
        <w:gridCol w:w="5176"/>
        <w:gridCol w:w="2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60"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848"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60"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848" w:type="dxa"/>
            <w:gridSpan w:val="2"/>
          </w:tcPr>
          <w:p>
            <w:pPr>
              <w:pStyle w:val="11"/>
              <w:snapToGrid w:val="0"/>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放射性固体废物贮存、处置单位未按照国家有关放射性污染防治标准和国务院环境保护主管部门的规定贮存、处置废旧放射源或者其他放射性固体废物的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848" w:type="dxa"/>
            <w:gridSpan w:val="2"/>
          </w:tcPr>
          <w:p>
            <w:pPr>
              <w:pStyle w:val="11"/>
              <w:snapToGrid w:val="0"/>
              <w:spacing w:before="62" w:beforeLines="20"/>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《放射性废物安全管理条例》第十七条第一款</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放射性固体废物贮存单位应当按照国家有关放射性污染防治标准和国务院环境保护主管部门的规定，对其接收的废旧放射源和其他放射性固体废物进行分类存放和清理，及时予以清洁解控或者送交取得相应许可证的放射性固体废物处置单位处置。</w:t>
            </w:r>
          </w:p>
          <w:p>
            <w:pPr>
              <w:pStyle w:val="11"/>
              <w:snapToGrid w:val="0"/>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第二十五条第一款</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放射性固体废物处置单位应当按照国家有关放射性污染防治标准和国务院环境保护主管部门的规定，对其接收的放射性固体废物进行处置。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848" w:type="dxa"/>
            <w:gridSpan w:val="2"/>
          </w:tcPr>
          <w:p>
            <w:pPr>
              <w:pStyle w:val="11"/>
              <w:snapToGrid w:val="0"/>
              <w:spacing w:before="62" w:beforeLines="20"/>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《放射性废物安全管理条例》第三十八条第（三）项</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违反本条例规定，有下列行为之一的，由省级以上人民政府环境保护主管部门责令停产停业或者吊销许可证；有违法所得的，没收违法所得；违法所得</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万元以上的，并处违法所得</w:t>
            </w:r>
            <w:r>
              <w:rPr>
                <w:rFonts w:ascii="Times New Roman" w:hAnsi="Times New Roman" w:eastAsia="仿宋_GB2312" w:cs="Times New Roman"/>
                <w:sz w:val="21"/>
                <w:szCs w:val="21"/>
                <w:highlight w:val="none"/>
              </w:rPr>
              <w:t>1</w:t>
            </w:r>
            <w:r>
              <w:rPr>
                <w:rFonts w:hint="eastAsia" w:ascii="Times New Roman" w:hAnsi="Times New Roman" w:eastAsia="仿宋_GB2312" w:cs="仿宋_GB2312"/>
                <w:sz w:val="21"/>
                <w:szCs w:val="21"/>
                <w:highlight w:val="none"/>
              </w:rPr>
              <w:t>倍以上</w:t>
            </w:r>
            <w:r>
              <w:rPr>
                <w:rFonts w:ascii="Times New Roman" w:hAnsi="Times New Roman" w:eastAsia="仿宋_GB2312" w:cs="Times New Roman"/>
                <w:sz w:val="21"/>
                <w:szCs w:val="21"/>
                <w:highlight w:val="none"/>
              </w:rPr>
              <w:t>5</w:t>
            </w:r>
            <w:r>
              <w:rPr>
                <w:rFonts w:hint="eastAsia" w:ascii="Times New Roman" w:hAnsi="Times New Roman" w:eastAsia="仿宋_GB2312" w:cs="仿宋_GB2312"/>
                <w:sz w:val="21"/>
                <w:szCs w:val="21"/>
                <w:highlight w:val="none"/>
              </w:rPr>
              <w:t>倍以下的罚款；没有违法所得或者违法所得不足</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万元的，并处</w:t>
            </w:r>
            <w:r>
              <w:rPr>
                <w:rFonts w:ascii="Times New Roman" w:hAnsi="Times New Roman" w:eastAsia="仿宋_GB2312" w:cs="Times New Roman"/>
                <w:sz w:val="21"/>
                <w:szCs w:val="21"/>
                <w:highlight w:val="none"/>
              </w:rPr>
              <w:t>5</w:t>
            </w:r>
            <w:r>
              <w:rPr>
                <w:rFonts w:hint="eastAsia" w:ascii="Times New Roman" w:hAnsi="Times New Roman" w:eastAsia="仿宋_GB2312" w:cs="仿宋_GB2312"/>
                <w:sz w:val="21"/>
                <w:szCs w:val="21"/>
                <w:highlight w:val="none"/>
              </w:rPr>
              <w:t>万元以上</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万元以下的罚款；造成环境污染的，责令限期采取治理措施消除污染，逾期不采取治理措施，经催告仍不治理的，可以指定有治理能力的单位代为治理，所需费用由违法者承担；构成犯罪的，依法追究刑事责任：</w:t>
            </w:r>
          </w:p>
          <w:p>
            <w:pPr>
              <w:pStyle w:val="11"/>
              <w:snapToGrid w:val="0"/>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（三）放射性固体废物贮存、处置单位未按照国家有关放射性污染防治标准和国务院环境保护主管部门的规定贮存、处置废旧放射源或者其他放射性固体废物的。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0"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17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72"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0"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放射性废物数量★</w:t>
            </w:r>
          </w:p>
        </w:tc>
        <w:tc>
          <w:tcPr>
            <w:tcW w:w="5176"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不足</w:t>
            </w: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千克</w:t>
            </w:r>
          </w:p>
        </w:tc>
        <w:tc>
          <w:tcPr>
            <w:tcW w:w="2672"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0" w:type="dxa"/>
            <w:vMerge w:val="continue"/>
            <w:vAlign w:val="center"/>
          </w:tcPr>
          <w:p>
            <w:pPr>
              <w:snapToGrid w:val="0"/>
              <w:jc w:val="center"/>
              <w:rPr>
                <w:rFonts w:ascii="Times New Roman" w:hAnsi="Times New Roman" w:cs="Times New Roman"/>
                <w:b/>
                <w:bCs/>
                <w:color w:val="000000"/>
                <w:highlight w:val="none"/>
              </w:rPr>
            </w:pPr>
          </w:p>
        </w:tc>
        <w:tc>
          <w:tcPr>
            <w:tcW w:w="5176"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千克以上不足</w:t>
            </w:r>
            <w:r>
              <w:rPr>
                <w:rFonts w:ascii="Times New Roman" w:hAnsi="Times New Roman" w:eastAsia="仿宋_GB2312" w:cs="Times New Roman"/>
                <w:color w:val="000000"/>
                <w:highlight w:val="none"/>
              </w:rPr>
              <w:t>100</w:t>
            </w:r>
            <w:r>
              <w:rPr>
                <w:rFonts w:hint="eastAsia" w:ascii="Times New Roman" w:hAnsi="Times New Roman" w:eastAsia="仿宋_GB2312" w:cs="仿宋_GB2312"/>
                <w:color w:val="000000"/>
                <w:highlight w:val="none"/>
              </w:rPr>
              <w:t>千克</w:t>
            </w:r>
          </w:p>
        </w:tc>
        <w:tc>
          <w:tcPr>
            <w:tcW w:w="2672"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0" w:type="dxa"/>
            <w:vMerge w:val="continue"/>
            <w:vAlign w:val="center"/>
          </w:tcPr>
          <w:p>
            <w:pPr>
              <w:snapToGrid w:val="0"/>
              <w:jc w:val="center"/>
              <w:rPr>
                <w:rFonts w:ascii="Times New Roman" w:hAnsi="Times New Roman" w:cs="Times New Roman"/>
                <w:b/>
                <w:bCs/>
                <w:color w:val="000000"/>
                <w:highlight w:val="none"/>
              </w:rPr>
            </w:pPr>
          </w:p>
        </w:tc>
        <w:tc>
          <w:tcPr>
            <w:tcW w:w="5176"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100</w:t>
            </w:r>
            <w:r>
              <w:rPr>
                <w:rFonts w:hint="eastAsia" w:ascii="Times New Roman" w:hAnsi="Times New Roman" w:eastAsia="仿宋_GB2312" w:cs="仿宋_GB2312"/>
                <w:color w:val="000000"/>
                <w:highlight w:val="none"/>
              </w:rPr>
              <w:t>千克以上</w:t>
            </w:r>
          </w:p>
        </w:tc>
        <w:tc>
          <w:tcPr>
            <w:tcW w:w="2672"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0"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放射性废物类型★</w:t>
            </w:r>
          </w:p>
        </w:tc>
        <w:tc>
          <w:tcPr>
            <w:tcW w:w="5176" w:type="dxa"/>
            <w:vAlign w:val="center"/>
          </w:tcPr>
          <w:p>
            <w:pPr>
              <w:snapToGrid w:val="0"/>
              <w:jc w:val="center"/>
              <w:rPr>
                <w:rFonts w:ascii="Times New Roman" w:hAnsi="Times New Roman" w:eastAsia="仿宋_GB2312" w:cs="Times New Roman"/>
                <w:color w:val="000000"/>
                <w:kern w:val="0"/>
                <w:highlight w:val="none"/>
              </w:rPr>
            </w:pPr>
            <w:r>
              <w:rPr>
                <w:rFonts w:hint="eastAsia" w:ascii="Times New Roman" w:hAnsi="Times New Roman" w:eastAsia="仿宋_GB2312" w:cs="仿宋_GB2312"/>
                <w:color w:val="000000"/>
                <w:kern w:val="0"/>
                <w:highlight w:val="none"/>
              </w:rPr>
              <w:t>极短寿命放射性废物</w:t>
            </w:r>
          </w:p>
        </w:tc>
        <w:tc>
          <w:tcPr>
            <w:tcW w:w="2672"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0" w:type="dxa"/>
            <w:vMerge w:val="continue"/>
            <w:vAlign w:val="center"/>
          </w:tcPr>
          <w:p>
            <w:pPr>
              <w:snapToGrid w:val="0"/>
              <w:jc w:val="center"/>
              <w:rPr>
                <w:rFonts w:ascii="Times New Roman" w:hAnsi="Times New Roman" w:cs="Times New Roman"/>
                <w:b/>
                <w:bCs/>
                <w:color w:val="000000"/>
                <w:highlight w:val="none"/>
              </w:rPr>
            </w:pPr>
          </w:p>
        </w:tc>
        <w:tc>
          <w:tcPr>
            <w:tcW w:w="517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极低水平放射性废物</w:t>
            </w:r>
          </w:p>
        </w:tc>
        <w:tc>
          <w:tcPr>
            <w:tcW w:w="2672"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0" w:type="dxa"/>
            <w:vMerge w:val="continue"/>
            <w:vAlign w:val="center"/>
          </w:tcPr>
          <w:p>
            <w:pPr>
              <w:snapToGrid w:val="0"/>
              <w:jc w:val="center"/>
              <w:rPr>
                <w:rFonts w:ascii="Times New Roman" w:hAnsi="Times New Roman" w:cs="Times New Roman"/>
                <w:b/>
                <w:bCs/>
                <w:color w:val="000000"/>
                <w:highlight w:val="none"/>
              </w:rPr>
            </w:pPr>
          </w:p>
        </w:tc>
        <w:tc>
          <w:tcPr>
            <w:tcW w:w="517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低水平放射性废物</w:t>
            </w:r>
          </w:p>
        </w:tc>
        <w:tc>
          <w:tcPr>
            <w:tcW w:w="2672"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0" w:type="dxa"/>
            <w:vMerge w:val="continue"/>
            <w:vAlign w:val="center"/>
          </w:tcPr>
          <w:p>
            <w:pPr>
              <w:snapToGrid w:val="0"/>
              <w:jc w:val="center"/>
              <w:rPr>
                <w:rFonts w:ascii="Times New Roman" w:hAnsi="Times New Roman" w:cs="Times New Roman"/>
                <w:b/>
                <w:bCs/>
                <w:color w:val="000000"/>
                <w:highlight w:val="none"/>
              </w:rPr>
            </w:pPr>
          </w:p>
        </w:tc>
        <w:tc>
          <w:tcPr>
            <w:tcW w:w="517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中水平放射性废物</w:t>
            </w:r>
          </w:p>
        </w:tc>
        <w:tc>
          <w:tcPr>
            <w:tcW w:w="2672"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0" w:type="dxa"/>
            <w:vMerge w:val="continue"/>
            <w:vAlign w:val="center"/>
          </w:tcPr>
          <w:p>
            <w:pPr>
              <w:snapToGrid w:val="0"/>
              <w:jc w:val="center"/>
              <w:rPr>
                <w:rFonts w:ascii="Times New Roman" w:hAnsi="Times New Roman" w:cs="Times New Roman"/>
                <w:b/>
                <w:bCs/>
                <w:color w:val="000000"/>
                <w:highlight w:val="none"/>
              </w:rPr>
            </w:pPr>
          </w:p>
        </w:tc>
        <w:tc>
          <w:tcPr>
            <w:tcW w:w="517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高水平放射性废物</w:t>
            </w:r>
          </w:p>
        </w:tc>
        <w:tc>
          <w:tcPr>
            <w:tcW w:w="2672"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0"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涉及放射</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类型</w:t>
            </w:r>
          </w:p>
        </w:tc>
        <w:tc>
          <w:tcPr>
            <w:tcW w:w="5176"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color w:val="000000"/>
                <w:highlight w:val="none"/>
              </w:rPr>
              <w:t>Ⅳ</w:t>
            </w:r>
            <w:r>
              <w:rPr>
                <w:rFonts w:hint="eastAsia" w:ascii="Times New Roman" w:hAnsi="Times New Roman" w:eastAsia="仿宋_GB2312" w:cs="仿宋_GB2312"/>
                <w:color w:val="000000"/>
                <w:highlight w:val="none"/>
              </w:rPr>
              <w:t>类、</w:t>
            </w:r>
            <w:r>
              <w:rPr>
                <w:rFonts w:hint="eastAsia" w:ascii="宋体" w:hAnsi="宋体" w:cs="宋体"/>
                <w:color w:val="000000"/>
                <w:highlight w:val="none"/>
              </w:rPr>
              <w:t>Ⅴ</w:t>
            </w:r>
            <w:r>
              <w:rPr>
                <w:rFonts w:hint="eastAsia" w:ascii="Times New Roman" w:hAnsi="Times New Roman" w:eastAsia="仿宋_GB2312" w:cs="仿宋_GB2312"/>
                <w:color w:val="000000"/>
                <w:highlight w:val="none"/>
              </w:rPr>
              <w:t>类放射源</w:t>
            </w:r>
          </w:p>
        </w:tc>
        <w:tc>
          <w:tcPr>
            <w:tcW w:w="2672"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0" w:type="dxa"/>
            <w:vMerge w:val="continue"/>
            <w:vAlign w:val="center"/>
          </w:tcPr>
          <w:p>
            <w:pPr>
              <w:snapToGrid w:val="0"/>
              <w:jc w:val="center"/>
              <w:rPr>
                <w:rFonts w:ascii="Times New Roman" w:hAnsi="Times New Roman" w:cs="Times New Roman"/>
                <w:b/>
                <w:bCs/>
                <w:color w:val="000000"/>
                <w:highlight w:val="none"/>
              </w:rPr>
            </w:pPr>
          </w:p>
        </w:tc>
        <w:tc>
          <w:tcPr>
            <w:tcW w:w="5176"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color w:val="000000"/>
                <w:highlight w:val="none"/>
              </w:rPr>
              <w:t>Ⅲ</w:t>
            </w:r>
            <w:r>
              <w:rPr>
                <w:rFonts w:hint="eastAsia" w:ascii="Times New Roman" w:hAnsi="Times New Roman" w:eastAsia="仿宋_GB2312" w:cs="仿宋_GB2312"/>
                <w:color w:val="000000"/>
                <w:highlight w:val="none"/>
              </w:rPr>
              <w:t>类放射源</w:t>
            </w:r>
          </w:p>
        </w:tc>
        <w:tc>
          <w:tcPr>
            <w:tcW w:w="2672"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0" w:type="dxa"/>
            <w:vMerge w:val="continue"/>
            <w:vAlign w:val="center"/>
          </w:tcPr>
          <w:p>
            <w:pPr>
              <w:snapToGrid w:val="0"/>
              <w:jc w:val="center"/>
              <w:rPr>
                <w:rFonts w:ascii="Times New Roman" w:hAnsi="Times New Roman" w:cs="Times New Roman"/>
                <w:b/>
                <w:bCs/>
                <w:color w:val="000000"/>
                <w:highlight w:val="none"/>
              </w:rPr>
            </w:pPr>
          </w:p>
        </w:tc>
        <w:tc>
          <w:tcPr>
            <w:tcW w:w="5176"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color w:val="000000"/>
                <w:highlight w:val="none"/>
              </w:rPr>
              <w:t>Ⅰ</w:t>
            </w:r>
            <w:r>
              <w:rPr>
                <w:rFonts w:hint="eastAsia" w:ascii="Times New Roman" w:hAnsi="Times New Roman" w:eastAsia="仿宋_GB2312" w:cs="仿宋_GB2312"/>
                <w:color w:val="000000"/>
                <w:highlight w:val="none"/>
              </w:rPr>
              <w:t>类、</w:t>
            </w:r>
            <w:r>
              <w:rPr>
                <w:rFonts w:hint="eastAsia" w:ascii="宋体" w:hAnsi="宋体" w:cs="宋体"/>
                <w:color w:val="000000"/>
                <w:highlight w:val="none"/>
              </w:rPr>
              <w:t>Ⅱ</w:t>
            </w:r>
            <w:r>
              <w:rPr>
                <w:rFonts w:hint="eastAsia" w:ascii="Times New Roman" w:hAnsi="Times New Roman" w:eastAsia="仿宋_GB2312" w:cs="仿宋_GB2312"/>
                <w:color w:val="000000"/>
                <w:highlight w:val="none"/>
              </w:rPr>
              <w:t>类放射源</w:t>
            </w:r>
          </w:p>
        </w:tc>
        <w:tc>
          <w:tcPr>
            <w:tcW w:w="2672"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0"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违法所得不足</w:t>
            </w:r>
            <w:r>
              <w:rPr>
                <w:rFonts w:ascii="Times New Roman" w:hAnsi="Times New Roman" w:cs="Times New Roman"/>
                <w:b/>
                <w:bCs/>
                <w:color w:val="000000"/>
                <w:highlight w:val="none"/>
              </w:rPr>
              <w:t>10</w:t>
            </w:r>
            <w:r>
              <w:rPr>
                <w:rFonts w:hint="eastAsia" w:ascii="Times New Roman" w:hAnsi="Times New Roman" w:cs="宋体"/>
                <w:b/>
                <w:bCs/>
                <w:color w:val="000000"/>
                <w:highlight w:val="none"/>
              </w:rPr>
              <w:t>万元</w:t>
            </w:r>
          </w:p>
        </w:tc>
        <w:tc>
          <w:tcPr>
            <w:tcW w:w="5176" w:type="dxa"/>
            <w:vAlign w:val="center"/>
          </w:tcPr>
          <w:p>
            <w:pPr>
              <w:widowControl/>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无违法所得</w:t>
            </w:r>
          </w:p>
        </w:tc>
        <w:tc>
          <w:tcPr>
            <w:tcW w:w="2672"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0" w:type="dxa"/>
            <w:vMerge w:val="continue"/>
            <w:vAlign w:val="center"/>
          </w:tcPr>
          <w:p>
            <w:pPr>
              <w:snapToGrid w:val="0"/>
              <w:jc w:val="center"/>
              <w:rPr>
                <w:rFonts w:ascii="Times New Roman" w:hAnsi="Times New Roman" w:cs="Times New Roman"/>
                <w:b/>
                <w:bCs/>
                <w:color w:val="000000"/>
                <w:highlight w:val="none"/>
              </w:rPr>
            </w:pPr>
          </w:p>
        </w:tc>
        <w:tc>
          <w:tcPr>
            <w:tcW w:w="517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违法所得不足</w:t>
            </w:r>
            <w:r>
              <w:rPr>
                <w:rFonts w:ascii="Times New Roman" w:hAnsi="Times New Roman" w:eastAsia="仿宋_GB2312" w:cs="Times New Roman"/>
                <w:color w:val="000000"/>
                <w:kern w:val="0"/>
                <w:highlight w:val="none"/>
              </w:rPr>
              <w:t>5</w:t>
            </w:r>
            <w:r>
              <w:rPr>
                <w:rFonts w:hint="eastAsia" w:ascii="Times New Roman" w:hAnsi="Times New Roman" w:eastAsia="仿宋_GB2312" w:cs="仿宋_GB2312"/>
                <w:color w:val="000000"/>
                <w:kern w:val="0"/>
                <w:highlight w:val="none"/>
              </w:rPr>
              <w:t>万元</w:t>
            </w:r>
          </w:p>
        </w:tc>
        <w:tc>
          <w:tcPr>
            <w:tcW w:w="2672"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0" w:type="dxa"/>
            <w:vMerge w:val="continue"/>
            <w:vAlign w:val="center"/>
          </w:tcPr>
          <w:p>
            <w:pPr>
              <w:snapToGrid w:val="0"/>
              <w:jc w:val="center"/>
              <w:rPr>
                <w:rFonts w:ascii="Times New Roman" w:hAnsi="Times New Roman" w:cs="Times New Roman"/>
                <w:b/>
                <w:bCs/>
                <w:color w:val="000000"/>
                <w:highlight w:val="none"/>
              </w:rPr>
            </w:pPr>
          </w:p>
        </w:tc>
        <w:tc>
          <w:tcPr>
            <w:tcW w:w="517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违法所得</w:t>
            </w:r>
            <w:r>
              <w:rPr>
                <w:rFonts w:ascii="Times New Roman" w:hAnsi="Times New Roman" w:eastAsia="仿宋_GB2312" w:cs="Times New Roman"/>
                <w:color w:val="000000"/>
                <w:kern w:val="0"/>
                <w:highlight w:val="none"/>
              </w:rPr>
              <w:t>5-10</w:t>
            </w:r>
            <w:r>
              <w:rPr>
                <w:rFonts w:hint="eastAsia" w:ascii="Times New Roman" w:hAnsi="Times New Roman" w:eastAsia="仿宋_GB2312" w:cs="仿宋_GB2312"/>
                <w:color w:val="000000"/>
                <w:kern w:val="0"/>
                <w:highlight w:val="none"/>
              </w:rPr>
              <w:t>万元</w:t>
            </w:r>
          </w:p>
        </w:tc>
        <w:tc>
          <w:tcPr>
            <w:tcW w:w="2672"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0"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违法所得</w:t>
            </w:r>
            <w:r>
              <w:rPr>
                <w:rFonts w:ascii="Times New Roman" w:hAnsi="Times New Roman" w:cs="Times New Roman"/>
                <w:b/>
                <w:bCs/>
                <w:color w:val="000000"/>
                <w:highlight w:val="none"/>
              </w:rPr>
              <w:t>10</w:t>
            </w:r>
            <w:r>
              <w:rPr>
                <w:rFonts w:hint="eastAsia" w:ascii="Times New Roman" w:hAnsi="Times New Roman" w:cs="宋体"/>
                <w:b/>
                <w:bCs/>
                <w:color w:val="000000"/>
                <w:highlight w:val="none"/>
              </w:rPr>
              <w:t>万元以上</w:t>
            </w:r>
          </w:p>
        </w:tc>
        <w:tc>
          <w:tcPr>
            <w:tcW w:w="5176" w:type="dxa"/>
            <w:vAlign w:val="center"/>
          </w:tcPr>
          <w:p>
            <w:pPr>
              <w:widowControl/>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违法所得</w:t>
            </w:r>
            <w:r>
              <w:rPr>
                <w:rFonts w:ascii="Times New Roman" w:hAnsi="Times New Roman" w:eastAsia="仿宋_GB2312" w:cs="Times New Roman"/>
                <w:color w:val="000000"/>
                <w:kern w:val="0"/>
                <w:highlight w:val="none"/>
              </w:rPr>
              <w:t>10-20</w:t>
            </w:r>
            <w:r>
              <w:rPr>
                <w:rFonts w:hint="eastAsia" w:ascii="Times New Roman" w:hAnsi="Times New Roman" w:eastAsia="仿宋_GB2312" w:cs="仿宋_GB2312"/>
                <w:color w:val="000000"/>
                <w:kern w:val="0"/>
                <w:highlight w:val="none"/>
              </w:rPr>
              <w:t>万元</w:t>
            </w:r>
          </w:p>
        </w:tc>
        <w:tc>
          <w:tcPr>
            <w:tcW w:w="2672"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0" w:type="dxa"/>
            <w:vMerge w:val="continue"/>
            <w:vAlign w:val="center"/>
          </w:tcPr>
          <w:p>
            <w:pPr>
              <w:snapToGrid w:val="0"/>
              <w:jc w:val="center"/>
              <w:rPr>
                <w:rFonts w:ascii="Times New Roman" w:hAnsi="Times New Roman" w:cs="Times New Roman"/>
                <w:b/>
                <w:bCs/>
                <w:color w:val="000000"/>
                <w:highlight w:val="none"/>
              </w:rPr>
            </w:pPr>
          </w:p>
        </w:tc>
        <w:tc>
          <w:tcPr>
            <w:tcW w:w="517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违法所得</w:t>
            </w:r>
            <w:r>
              <w:rPr>
                <w:rFonts w:ascii="Times New Roman" w:hAnsi="Times New Roman" w:eastAsia="仿宋_GB2312" w:cs="Times New Roman"/>
                <w:color w:val="000000"/>
                <w:kern w:val="0"/>
                <w:highlight w:val="none"/>
              </w:rPr>
              <w:t>20-40</w:t>
            </w:r>
            <w:r>
              <w:rPr>
                <w:rFonts w:hint="eastAsia" w:ascii="Times New Roman" w:hAnsi="Times New Roman" w:eastAsia="仿宋_GB2312" w:cs="仿宋_GB2312"/>
                <w:color w:val="000000"/>
                <w:kern w:val="0"/>
                <w:highlight w:val="none"/>
              </w:rPr>
              <w:t>万元</w:t>
            </w:r>
          </w:p>
        </w:tc>
        <w:tc>
          <w:tcPr>
            <w:tcW w:w="2672"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0" w:type="dxa"/>
            <w:vMerge w:val="continue"/>
            <w:vAlign w:val="center"/>
          </w:tcPr>
          <w:p>
            <w:pPr>
              <w:snapToGrid w:val="0"/>
              <w:jc w:val="center"/>
              <w:rPr>
                <w:rFonts w:ascii="Times New Roman" w:hAnsi="Times New Roman" w:cs="Times New Roman"/>
                <w:b/>
                <w:bCs/>
                <w:color w:val="000000"/>
                <w:highlight w:val="none"/>
              </w:rPr>
            </w:pPr>
          </w:p>
        </w:tc>
        <w:tc>
          <w:tcPr>
            <w:tcW w:w="5176"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违法所得</w:t>
            </w:r>
            <w:r>
              <w:rPr>
                <w:rFonts w:ascii="Times New Roman" w:hAnsi="Times New Roman" w:eastAsia="仿宋_GB2312" w:cs="Times New Roman"/>
                <w:color w:val="000000"/>
                <w:highlight w:val="none"/>
              </w:rPr>
              <w:t>40</w:t>
            </w:r>
            <w:r>
              <w:rPr>
                <w:rFonts w:hint="eastAsia" w:ascii="Times New Roman" w:hAnsi="Times New Roman" w:eastAsia="仿宋_GB2312" w:cs="仿宋_GB2312"/>
                <w:color w:val="000000"/>
                <w:highlight w:val="none"/>
              </w:rPr>
              <w:t>万元以上</w:t>
            </w:r>
          </w:p>
        </w:tc>
        <w:tc>
          <w:tcPr>
            <w:tcW w:w="2672"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0"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848" w:type="dxa"/>
            <w:gridSpan w:val="2"/>
            <w:vAlign w:val="center"/>
          </w:tcPr>
          <w:p>
            <w:pPr>
              <w:snapToGrid w:val="0"/>
              <w:ind w:firstLine="420"/>
              <w:jc w:val="center"/>
              <w:rPr>
                <w:rFonts w:ascii="Times New Roman" w:hAnsi="Times New Roman" w:cs="Times New Roman"/>
                <w:color w:val="000000"/>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02" w:type="dxa"/>
            <w:gridSpan w:val="2"/>
          </w:tcPr>
          <w:p>
            <w:pPr>
              <w:pStyle w:val="11"/>
              <w:ind w:firstLine="420"/>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放射性固体废物贮存、处置单位未按照规定建立情况记录档案，或者未按照规定进行如实记录的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《放射性废物安全管理条例》第十七条第二款</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放射性固体废物贮存单位应当建立放射性固体废物贮存情况记录档案，如实完整地记录贮存的放射性固体废物的来源、数量、特征、贮存位置、清洁解控、送交处置等与贮存活动有关的事项。</w:t>
            </w:r>
          </w:p>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第二十五条第二款</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放射性固体废物处置单位应当建立放射性固体废物处置情况记录档案，如实记录处置的放射性固体废物的来源、数量、特征、存放位置等与处置活动有关的事项。放射性固体废物处置情况记录档案应当永久保存。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《放射性废物安全管理条例》第三十九条</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放射性固体废物贮存、处置单位未按照规定建立情况记录档案，或者未按照规定进行如实记录的，由省级以上人民政府环境保护主管部门责令限期改正，处</w:t>
            </w:r>
            <w:r>
              <w:rPr>
                <w:rFonts w:ascii="Times New Roman" w:hAnsi="Times New Roman" w:eastAsia="仿宋_GB2312" w:cs="Times New Roman"/>
                <w:sz w:val="21"/>
                <w:szCs w:val="21"/>
                <w:highlight w:val="none"/>
              </w:rPr>
              <w:t>1</w:t>
            </w:r>
            <w:r>
              <w:rPr>
                <w:rFonts w:hint="eastAsia" w:ascii="Times New Roman" w:hAnsi="Times New Roman" w:eastAsia="仿宋_GB2312" w:cs="仿宋_GB2312"/>
                <w:sz w:val="21"/>
                <w:szCs w:val="21"/>
                <w:highlight w:val="none"/>
              </w:rPr>
              <w:t>万元以上</w:t>
            </w:r>
            <w:r>
              <w:rPr>
                <w:rFonts w:ascii="Times New Roman" w:hAnsi="Times New Roman" w:eastAsia="仿宋_GB2312" w:cs="Times New Roman"/>
                <w:sz w:val="21"/>
                <w:szCs w:val="21"/>
                <w:highlight w:val="none"/>
              </w:rPr>
              <w:t>5</w:t>
            </w:r>
            <w:r>
              <w:rPr>
                <w:rFonts w:hint="eastAsia" w:ascii="Times New Roman" w:hAnsi="Times New Roman" w:eastAsia="仿宋_GB2312" w:cs="仿宋_GB2312"/>
                <w:sz w:val="21"/>
                <w:szCs w:val="21"/>
                <w:highlight w:val="none"/>
              </w:rPr>
              <w:t>万元以下的罚款；逾期不改正的，处</w:t>
            </w:r>
            <w:r>
              <w:rPr>
                <w:rFonts w:ascii="Times New Roman" w:hAnsi="Times New Roman" w:eastAsia="仿宋_GB2312" w:cs="Times New Roman"/>
                <w:sz w:val="21"/>
                <w:szCs w:val="21"/>
                <w:highlight w:val="none"/>
              </w:rPr>
              <w:t>5</w:t>
            </w:r>
            <w:r>
              <w:rPr>
                <w:rFonts w:hint="eastAsia" w:ascii="Times New Roman" w:hAnsi="Times New Roman" w:eastAsia="仿宋_GB2312" w:cs="仿宋_GB2312"/>
                <w:sz w:val="21"/>
                <w:szCs w:val="21"/>
                <w:highlight w:val="none"/>
              </w:rPr>
              <w:t>万元以上</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2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89"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52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eastAsia="仿宋_GB2312" w:cs="仿宋_GB2312"/>
                <w:color w:val="000000"/>
                <w:highlight w:val="none"/>
              </w:rPr>
              <w:t>建立情况记录档案，但记录不属实、不完整的</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continue"/>
            <w:vAlign w:val="center"/>
          </w:tcPr>
          <w:p>
            <w:pPr>
              <w:snapToGrid w:val="0"/>
              <w:spacing w:line="288" w:lineRule="auto"/>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kern w:val="0"/>
                <w:highlight w:val="none"/>
              </w:rPr>
            </w:pPr>
            <w:r>
              <w:rPr>
                <w:rFonts w:hint="eastAsia" w:ascii="Times New Roman" w:hAnsi="Times New Roman" w:eastAsia="仿宋_GB2312" w:cs="仿宋_GB2312"/>
                <w:color w:val="000000"/>
                <w:highlight w:val="none"/>
              </w:rPr>
              <w:t>未建立情况记录档案</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restart"/>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放射性废物类型</w:t>
            </w:r>
          </w:p>
        </w:tc>
        <w:tc>
          <w:tcPr>
            <w:tcW w:w="5213" w:type="dxa"/>
            <w:vAlign w:val="center"/>
          </w:tcPr>
          <w:p>
            <w:pPr>
              <w:snapToGrid w:val="0"/>
              <w:jc w:val="center"/>
              <w:rPr>
                <w:rFonts w:ascii="Times New Roman" w:hAnsi="Times New Roman" w:eastAsia="仿宋_GB2312" w:cs="Times New Roman"/>
                <w:color w:val="000000"/>
                <w:kern w:val="0"/>
                <w:highlight w:val="none"/>
              </w:rPr>
            </w:pPr>
            <w:r>
              <w:rPr>
                <w:rFonts w:hint="eastAsia" w:ascii="Times New Roman" w:hAnsi="Times New Roman" w:eastAsia="仿宋_GB2312" w:cs="仿宋_GB2312"/>
                <w:color w:val="000000"/>
                <w:kern w:val="0"/>
                <w:highlight w:val="none"/>
              </w:rPr>
              <w:t>极短寿命放射性废物</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极低水平放射性废物</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低水平放射性废物</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中水平放射性废物</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高水平放射性废物</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restart"/>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放射性废物数量</w:t>
            </w:r>
          </w:p>
        </w:tc>
        <w:tc>
          <w:tcPr>
            <w:tcW w:w="521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不足</w:t>
            </w: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千克</w:t>
            </w:r>
          </w:p>
        </w:tc>
        <w:tc>
          <w:tcPr>
            <w:tcW w:w="2689"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千克以上不足</w:t>
            </w:r>
            <w:r>
              <w:rPr>
                <w:rFonts w:ascii="Times New Roman" w:hAnsi="Times New Roman" w:eastAsia="仿宋_GB2312" w:cs="Times New Roman"/>
                <w:color w:val="000000"/>
                <w:highlight w:val="none"/>
              </w:rPr>
              <w:t>100</w:t>
            </w:r>
            <w:r>
              <w:rPr>
                <w:rFonts w:hint="eastAsia" w:ascii="Times New Roman" w:hAnsi="Times New Roman" w:eastAsia="仿宋_GB2312" w:cs="仿宋_GB2312"/>
                <w:color w:val="000000"/>
                <w:highlight w:val="none"/>
              </w:rPr>
              <w:t>千克</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100</w:t>
            </w:r>
            <w:r>
              <w:rPr>
                <w:rFonts w:hint="eastAsia" w:ascii="Times New Roman" w:hAnsi="Times New Roman" w:eastAsia="仿宋_GB2312" w:cs="仿宋_GB2312"/>
                <w:color w:val="000000"/>
                <w:highlight w:val="none"/>
              </w:rPr>
              <w:t>千克以上</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超过限期</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改正时间（仅适用于</w:t>
            </w:r>
            <w:r>
              <w:rPr>
                <w:rFonts w:ascii="Times New Roman" w:hAnsi="Times New Roman" w:cs="宋体"/>
                <w:b/>
                <w:bCs/>
                <w:color w:val="000000"/>
                <w:highlight w:val="none"/>
              </w:rPr>
              <w:t>逾期不改正情形</w:t>
            </w:r>
            <w:r>
              <w:rPr>
                <w:rFonts w:hint="eastAsia" w:ascii="Times New Roman" w:hAnsi="Times New Roman" w:cs="宋体"/>
                <w:b/>
                <w:bCs/>
                <w:color w:val="000000"/>
                <w:highlight w:val="none"/>
              </w:rPr>
              <w:t>）</w:t>
            </w: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天</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天</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个月以上</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02" w:type="dxa"/>
            <w:gridSpan w:val="2"/>
          </w:tcPr>
          <w:p>
            <w:pPr>
              <w:pStyle w:val="11"/>
              <w:snapToGrid w:val="0"/>
              <w:spacing w:before="62" w:beforeLines="20" w:line="288" w:lineRule="auto"/>
              <w:ind w:firstLine="420"/>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核设施营运单位、核技术利用单位或者放射性固体废物贮存、处置单位未按照规定如实报告有关情况的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Pr>
          <w:p>
            <w:pPr>
              <w:pStyle w:val="11"/>
              <w:snapToGrid w:val="0"/>
              <w:spacing w:before="62" w:beforeLines="20" w:line="288" w:lineRule="auto"/>
              <w:ind w:firstLine="420"/>
              <w:jc w:val="both"/>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《放射性废物安全管理条例》第三十二条</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核设施营运单位、核技术利用单位和放射性固体废物贮存单位应当按照国务院环境保护主管部门的规定定期如实报告放射性废物产生、排放、处理、贮存、清洁解控和送交处置等情况。</w:t>
            </w:r>
          </w:p>
          <w:p>
            <w:pPr>
              <w:pStyle w:val="11"/>
              <w:snapToGrid w:val="0"/>
              <w:spacing w:line="288" w:lineRule="auto"/>
              <w:ind w:firstLine="420"/>
              <w:jc w:val="both"/>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放射性固体废物处置单位应当于每年</w:t>
            </w:r>
            <w:r>
              <w:rPr>
                <w:rFonts w:ascii="Times New Roman" w:hAnsi="Times New Roman" w:eastAsia="仿宋_GB2312" w:cs="Times New Roman"/>
                <w:sz w:val="21"/>
                <w:szCs w:val="21"/>
                <w:highlight w:val="none"/>
              </w:rPr>
              <w:t>3</w:t>
            </w:r>
            <w:r>
              <w:rPr>
                <w:rFonts w:hint="eastAsia" w:ascii="Times New Roman" w:hAnsi="Times New Roman" w:eastAsia="仿宋_GB2312" w:cs="仿宋_GB2312"/>
                <w:sz w:val="21"/>
                <w:szCs w:val="21"/>
                <w:highlight w:val="none"/>
              </w:rPr>
              <w:t>月</w:t>
            </w:r>
            <w:r>
              <w:rPr>
                <w:rFonts w:ascii="Times New Roman" w:hAnsi="Times New Roman" w:eastAsia="仿宋_GB2312" w:cs="Times New Roman"/>
                <w:sz w:val="21"/>
                <w:szCs w:val="21"/>
                <w:highlight w:val="none"/>
              </w:rPr>
              <w:t>31</w:t>
            </w:r>
            <w:r>
              <w:rPr>
                <w:rFonts w:hint="eastAsia" w:ascii="Times New Roman" w:hAnsi="Times New Roman" w:eastAsia="仿宋_GB2312" w:cs="仿宋_GB2312"/>
                <w:sz w:val="21"/>
                <w:szCs w:val="21"/>
                <w:highlight w:val="none"/>
              </w:rPr>
              <w:t>日前，向国务院环境保护主管部门和核工业行业主管部门如实报告上一年度放射性固体废物接收、处置和设施运行等情况。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Pr>
          <w:p>
            <w:pPr>
              <w:pStyle w:val="11"/>
              <w:snapToGrid w:val="0"/>
              <w:spacing w:before="62" w:beforeLines="20" w:line="288" w:lineRule="auto"/>
              <w:ind w:firstLine="420"/>
              <w:jc w:val="both"/>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《放射性废物安全管理条例》第四十条</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核设施营运单位、核技术利用单位或者放射性固体废物贮存、处置单位未按照本条例第三十二条的规定如实报告有关情况的，由县级以上人民政府环境保护主管部门责令限期改正，处</w:t>
            </w:r>
            <w:r>
              <w:rPr>
                <w:rFonts w:ascii="Times New Roman" w:hAnsi="Times New Roman" w:eastAsia="仿宋_GB2312" w:cs="Times New Roman"/>
                <w:sz w:val="21"/>
                <w:szCs w:val="21"/>
                <w:highlight w:val="none"/>
              </w:rPr>
              <w:t>1</w:t>
            </w:r>
            <w:r>
              <w:rPr>
                <w:rFonts w:hint="eastAsia" w:ascii="Times New Roman" w:hAnsi="Times New Roman" w:eastAsia="仿宋_GB2312" w:cs="仿宋_GB2312"/>
                <w:sz w:val="21"/>
                <w:szCs w:val="21"/>
                <w:highlight w:val="none"/>
              </w:rPr>
              <w:t>万元以上</w:t>
            </w:r>
            <w:r>
              <w:rPr>
                <w:rFonts w:ascii="Times New Roman" w:hAnsi="Times New Roman" w:eastAsia="仿宋_GB2312" w:cs="Times New Roman"/>
                <w:sz w:val="21"/>
                <w:szCs w:val="21"/>
                <w:highlight w:val="none"/>
              </w:rPr>
              <w:t>5</w:t>
            </w:r>
            <w:r>
              <w:rPr>
                <w:rFonts w:hint="eastAsia" w:ascii="Times New Roman" w:hAnsi="Times New Roman" w:eastAsia="仿宋_GB2312" w:cs="仿宋_GB2312"/>
                <w:sz w:val="21"/>
                <w:szCs w:val="21"/>
                <w:highlight w:val="none"/>
              </w:rPr>
              <w:t>万元以下的罚款；逾期不改正的，处</w:t>
            </w:r>
            <w:r>
              <w:rPr>
                <w:rFonts w:ascii="Times New Roman" w:hAnsi="Times New Roman" w:eastAsia="仿宋_GB2312" w:cs="Times New Roman"/>
                <w:sz w:val="21"/>
                <w:szCs w:val="21"/>
                <w:highlight w:val="none"/>
              </w:rPr>
              <w:t>5</w:t>
            </w:r>
            <w:r>
              <w:rPr>
                <w:rFonts w:hint="eastAsia" w:ascii="Times New Roman" w:hAnsi="Times New Roman" w:eastAsia="仿宋_GB2312" w:cs="仿宋_GB2312"/>
                <w:sz w:val="21"/>
                <w:szCs w:val="21"/>
                <w:highlight w:val="none"/>
              </w:rPr>
              <w:t>万元以上</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2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89"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已报告有关情况，但不完整或不规范的</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未报告有关情况的</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核设施</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分类</w:t>
            </w:r>
          </w:p>
        </w:tc>
        <w:tc>
          <w:tcPr>
            <w:tcW w:w="5213"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放射性废物处理和处置设施</w:t>
            </w:r>
          </w:p>
        </w:tc>
        <w:tc>
          <w:tcPr>
            <w:tcW w:w="2689"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核燃料生产、加工、贮存和后处理设施</w:t>
            </w:r>
          </w:p>
        </w:tc>
        <w:tc>
          <w:tcPr>
            <w:tcW w:w="2689"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研究堆、实验堆、临界装置等反应堆</w:t>
            </w:r>
          </w:p>
        </w:tc>
        <w:tc>
          <w:tcPr>
            <w:tcW w:w="2689"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核电厂、核热电厂、核供汽供热厂等核动力厂</w:t>
            </w:r>
          </w:p>
        </w:tc>
        <w:tc>
          <w:tcPr>
            <w:tcW w:w="2689"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涉及放射</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类型</w:t>
            </w:r>
          </w:p>
        </w:tc>
        <w:tc>
          <w:tcPr>
            <w:tcW w:w="5213"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Ⅳ类、Ⅴ类放射源或Ⅲ类射线装置的</w:t>
            </w:r>
          </w:p>
        </w:tc>
        <w:tc>
          <w:tcPr>
            <w:tcW w:w="2689"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Ⅲ类放射源或Ⅱ类射线装置的</w:t>
            </w:r>
          </w:p>
        </w:tc>
        <w:tc>
          <w:tcPr>
            <w:tcW w:w="2689"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Ⅰ类、Ⅱ类放射源或Ⅰ类射线装置的</w:t>
            </w:r>
          </w:p>
        </w:tc>
        <w:tc>
          <w:tcPr>
            <w:tcW w:w="2689"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非密封放射性物质工作场所分类</w:t>
            </w: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丙级工作场所</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乙级工作场所</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甲级工作场所</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放射性废物类型</w:t>
            </w:r>
          </w:p>
        </w:tc>
        <w:tc>
          <w:tcPr>
            <w:tcW w:w="5213" w:type="dxa"/>
            <w:vAlign w:val="center"/>
          </w:tcPr>
          <w:p>
            <w:pPr>
              <w:snapToGrid w:val="0"/>
              <w:jc w:val="center"/>
              <w:rPr>
                <w:rFonts w:ascii="Times New Roman" w:hAnsi="Times New Roman" w:eastAsia="仿宋_GB2312" w:cs="Times New Roman"/>
                <w:color w:val="000000"/>
                <w:kern w:val="0"/>
                <w:highlight w:val="none"/>
              </w:rPr>
            </w:pPr>
            <w:r>
              <w:rPr>
                <w:rFonts w:hint="eastAsia" w:ascii="Times New Roman" w:hAnsi="Times New Roman" w:eastAsia="仿宋_GB2312" w:cs="仿宋_GB2312"/>
                <w:color w:val="000000"/>
                <w:kern w:val="0"/>
                <w:highlight w:val="none"/>
              </w:rPr>
              <w:t>极短寿命放射性废物</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极低水平放射性废物</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低水平放射性废物</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中水平放射性废物</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高水平放射性废物</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超过限期</w:t>
            </w:r>
          </w:p>
          <w:p>
            <w:pPr>
              <w:snapToGrid w:val="0"/>
              <w:jc w:val="center"/>
              <w:rPr>
                <w:rFonts w:ascii="Times New Roman" w:hAnsi="Times New Roman" w:cs="宋体"/>
                <w:b/>
                <w:bCs/>
                <w:color w:val="000000"/>
                <w:highlight w:val="none"/>
              </w:rPr>
            </w:pPr>
            <w:r>
              <w:rPr>
                <w:rFonts w:hint="eastAsia" w:ascii="Times New Roman" w:hAnsi="Times New Roman" w:cs="宋体"/>
                <w:b/>
                <w:bCs/>
                <w:color w:val="000000"/>
                <w:highlight w:val="none"/>
              </w:rPr>
              <w:t>改正时间</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（仅适用于</w:t>
            </w:r>
            <w:r>
              <w:rPr>
                <w:rFonts w:ascii="Times New Roman" w:hAnsi="Times New Roman" w:cs="宋体"/>
                <w:b/>
                <w:bCs/>
                <w:color w:val="000000"/>
                <w:highlight w:val="none"/>
              </w:rPr>
              <w:t>逾期不改正情形</w:t>
            </w:r>
            <w:r>
              <w:rPr>
                <w:rFonts w:hint="eastAsia" w:ascii="Times New Roman" w:hAnsi="Times New Roman" w:cs="宋体"/>
                <w:b/>
                <w:bCs/>
                <w:color w:val="000000"/>
                <w:highlight w:val="none"/>
              </w:rPr>
              <w:t>）</w:t>
            </w: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天</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天</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个月以上</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放射性废物数量</w:t>
            </w:r>
          </w:p>
        </w:tc>
        <w:tc>
          <w:tcPr>
            <w:tcW w:w="521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不足</w:t>
            </w: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千克</w:t>
            </w:r>
          </w:p>
        </w:tc>
        <w:tc>
          <w:tcPr>
            <w:tcW w:w="2689"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千克以上不足</w:t>
            </w:r>
            <w:r>
              <w:rPr>
                <w:rFonts w:ascii="Times New Roman" w:hAnsi="Times New Roman" w:eastAsia="仿宋_GB2312" w:cs="Times New Roman"/>
                <w:color w:val="000000"/>
                <w:highlight w:val="none"/>
              </w:rPr>
              <w:t>100</w:t>
            </w:r>
            <w:r>
              <w:rPr>
                <w:rFonts w:hint="eastAsia" w:ascii="Times New Roman" w:hAnsi="Times New Roman" w:eastAsia="仿宋_GB2312" w:cs="仿宋_GB2312"/>
                <w:color w:val="000000"/>
                <w:highlight w:val="none"/>
              </w:rPr>
              <w:t>千克</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100</w:t>
            </w:r>
            <w:r>
              <w:rPr>
                <w:rFonts w:hint="eastAsia" w:ascii="Times New Roman" w:hAnsi="Times New Roman" w:eastAsia="仿宋_GB2312" w:cs="仿宋_GB2312"/>
                <w:color w:val="000000"/>
                <w:highlight w:val="none"/>
              </w:rPr>
              <w:t>千克以上</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902" w:type="dxa"/>
            <w:gridSpan w:val="2"/>
            <w:vAlign w:val="center"/>
          </w:tcPr>
          <w:p>
            <w:pPr>
              <w:snapToGrid w:val="0"/>
              <w:ind w:firstLine="420"/>
              <w:jc w:val="center"/>
              <w:rPr>
                <w:rFonts w:ascii="Times New Roman" w:hAnsi="Times New Roman" w:cs="Times New Roman"/>
                <w:color w:val="000000"/>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tcPr>
          <w:p>
            <w:pPr>
              <w:pStyle w:val="11"/>
              <w:snapToGrid w:val="0"/>
              <w:spacing w:before="62" w:beforeLines="20"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核设施营运单位、核技术利用单位或者放射性固体废物贮存、处置单位未按照规定对有关工作人员进行技术培训和考核的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Pr>
          <w:p>
            <w:pPr>
              <w:pStyle w:val="11"/>
              <w:snapToGrid w:val="0"/>
              <w:spacing w:before="62" w:beforeLines="20"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《放射性废物安全管理条例》第三十一条</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核设施营运单位、核技术利用单位和放射性固体废物贮存、处置单位，应当对其直接从事放射性废物处理、贮存和处置活动的工作人员进行核与辐射安全知识以及专业操作技术的培训，并进行考核；考核合格的，方可从事该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Pr>
          <w:p>
            <w:pPr>
              <w:pStyle w:val="11"/>
              <w:snapToGrid w:val="0"/>
              <w:spacing w:before="62" w:beforeLines="20"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《放射性废物安全管理条例》第四十二条</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核设施营运单位、核技术利用单位或者放射性固体废物贮存、处置单位未按照规定对有关工作人员进行技术培训和考核的，由县级以上人民政府环境保护主管部门责令限期改正，处</w:t>
            </w:r>
            <w:r>
              <w:rPr>
                <w:rFonts w:ascii="Times New Roman" w:hAnsi="Times New Roman" w:eastAsia="仿宋_GB2312" w:cs="Times New Roman"/>
                <w:sz w:val="21"/>
                <w:szCs w:val="21"/>
                <w:highlight w:val="none"/>
              </w:rPr>
              <w:t>1</w:t>
            </w:r>
            <w:r>
              <w:rPr>
                <w:rFonts w:hint="eastAsia" w:ascii="Times New Roman" w:hAnsi="Times New Roman" w:eastAsia="仿宋_GB2312" w:cs="仿宋_GB2312"/>
                <w:sz w:val="21"/>
                <w:szCs w:val="21"/>
                <w:highlight w:val="none"/>
              </w:rPr>
              <w:t>万元以上</w:t>
            </w:r>
            <w:r>
              <w:rPr>
                <w:rFonts w:ascii="Times New Roman" w:hAnsi="Times New Roman" w:eastAsia="仿宋_GB2312" w:cs="Times New Roman"/>
                <w:sz w:val="21"/>
                <w:szCs w:val="21"/>
                <w:highlight w:val="none"/>
              </w:rPr>
              <w:t>5</w:t>
            </w:r>
            <w:r>
              <w:rPr>
                <w:rFonts w:hint="eastAsia" w:ascii="Times New Roman" w:hAnsi="Times New Roman" w:eastAsia="仿宋_GB2312" w:cs="仿宋_GB2312"/>
                <w:sz w:val="21"/>
                <w:szCs w:val="21"/>
                <w:highlight w:val="none"/>
              </w:rPr>
              <w:t>万元以下的罚款；逾期不改正的，处</w:t>
            </w:r>
            <w:r>
              <w:rPr>
                <w:rFonts w:ascii="Times New Roman" w:hAnsi="Times New Roman" w:eastAsia="仿宋_GB2312" w:cs="Times New Roman"/>
                <w:sz w:val="21"/>
                <w:szCs w:val="21"/>
                <w:highlight w:val="none"/>
              </w:rPr>
              <w:t>5</w:t>
            </w:r>
            <w:r>
              <w:rPr>
                <w:rFonts w:hint="eastAsia" w:ascii="Times New Roman" w:hAnsi="Times New Roman" w:eastAsia="仿宋_GB2312" w:cs="仿宋_GB2312"/>
                <w:sz w:val="21"/>
                <w:szCs w:val="21"/>
                <w:highlight w:val="none"/>
              </w:rPr>
              <w:t>万元以上</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2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89"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宋体"/>
                <w:b/>
                <w:bCs/>
                <w:color w:val="000000"/>
                <w:highlight w:val="none"/>
              </w:rPr>
            </w:pPr>
            <w:r>
              <w:rPr>
                <w:rFonts w:hint="eastAsia" w:ascii="Times New Roman" w:hAnsi="Times New Roman" w:cs="宋体"/>
                <w:b/>
                <w:bCs/>
                <w:color w:val="000000"/>
                <w:highlight w:val="none"/>
              </w:rPr>
              <w:t>核设施</w:t>
            </w:r>
          </w:p>
          <w:p>
            <w:pPr>
              <w:jc w:val="center"/>
              <w:rPr>
                <w:rFonts w:ascii="Times New Roman" w:hAnsi="Times New Roman" w:eastAsia="仿宋_GB2312" w:cs="Times New Roman"/>
                <w:color w:val="000000"/>
                <w:highlight w:val="none"/>
              </w:rPr>
            </w:pPr>
            <w:r>
              <w:rPr>
                <w:rFonts w:hint="eastAsia" w:ascii="Times New Roman" w:hAnsi="Times New Roman" w:cs="宋体"/>
                <w:b/>
                <w:bCs/>
                <w:color w:val="000000"/>
                <w:highlight w:val="none"/>
              </w:rPr>
              <w:t>分类★</w:t>
            </w: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放射性废物处理和处置设施</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rPr>
                <w:rFonts w:ascii="Times New Roman" w:hAnsi="Times New Roman" w:eastAsia="仿宋_GB2312" w:cs="Times New Roman"/>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核燃料生产、加工、贮存和后处理设施</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eastAsia="仿宋_GB2312" w:cs="Times New Roman"/>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研究堆、实验堆、临界装置等反应堆</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eastAsia="仿宋_GB2312" w:cs="Times New Roman"/>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核电厂、核热电厂、核供汽供热厂等核动力厂</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宋体"/>
                <w:b/>
                <w:bCs/>
                <w:color w:val="000000"/>
                <w:highlight w:val="none"/>
              </w:rPr>
            </w:pPr>
            <w:r>
              <w:rPr>
                <w:rFonts w:hint="eastAsia" w:ascii="Times New Roman" w:hAnsi="Times New Roman" w:cs="宋体"/>
                <w:b/>
                <w:bCs/>
                <w:color w:val="000000"/>
                <w:highlight w:val="none"/>
              </w:rPr>
              <w:t>涉及放射</w:t>
            </w:r>
          </w:p>
          <w:p>
            <w:pPr>
              <w:jc w:val="center"/>
              <w:rPr>
                <w:rFonts w:ascii="Times New Roman" w:hAnsi="Times New Roman" w:eastAsia="仿宋_GB2312" w:cs="Times New Roman"/>
                <w:color w:val="000000"/>
                <w:highlight w:val="none"/>
              </w:rPr>
            </w:pPr>
            <w:r>
              <w:rPr>
                <w:rFonts w:hint="eastAsia" w:ascii="Times New Roman" w:hAnsi="Times New Roman" w:cs="宋体"/>
                <w:b/>
                <w:bCs/>
                <w:color w:val="000000"/>
                <w:highlight w:val="none"/>
              </w:rPr>
              <w:t>类型★</w:t>
            </w: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color w:val="000000"/>
                <w:highlight w:val="none"/>
              </w:rPr>
              <w:t>Ⅳ</w:t>
            </w:r>
            <w:r>
              <w:rPr>
                <w:rFonts w:hint="eastAsia" w:ascii="Times New Roman" w:hAnsi="Times New Roman" w:eastAsia="仿宋_GB2312" w:cs="仿宋_GB2312"/>
                <w:color w:val="000000"/>
                <w:highlight w:val="none"/>
              </w:rPr>
              <w:t>类、</w:t>
            </w:r>
            <w:r>
              <w:rPr>
                <w:rFonts w:hint="eastAsia" w:ascii="宋体" w:hAnsi="宋体" w:cs="宋体"/>
                <w:color w:val="000000"/>
                <w:highlight w:val="none"/>
              </w:rPr>
              <w:t>Ⅴ</w:t>
            </w:r>
            <w:r>
              <w:rPr>
                <w:rFonts w:hint="eastAsia" w:ascii="Times New Roman" w:hAnsi="Times New Roman" w:eastAsia="仿宋_GB2312" w:cs="仿宋_GB2312"/>
                <w:color w:val="000000"/>
                <w:highlight w:val="none"/>
              </w:rPr>
              <w:t>类放射源或</w:t>
            </w:r>
            <w:r>
              <w:rPr>
                <w:rFonts w:hint="eastAsia" w:ascii="宋体" w:hAnsi="宋体" w:cs="宋体"/>
                <w:color w:val="000000"/>
                <w:highlight w:val="none"/>
              </w:rPr>
              <w:t>Ⅲ</w:t>
            </w:r>
            <w:r>
              <w:rPr>
                <w:rFonts w:hint="eastAsia" w:ascii="Times New Roman" w:hAnsi="Times New Roman" w:eastAsia="仿宋_GB2312" w:cs="仿宋_GB2312"/>
                <w:color w:val="000000"/>
                <w:highlight w:val="none"/>
              </w:rPr>
              <w:t>类射线装置的</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color w:val="000000"/>
                <w:highlight w:val="none"/>
              </w:rPr>
              <w:t>Ⅲ</w:t>
            </w:r>
            <w:r>
              <w:rPr>
                <w:rFonts w:hint="eastAsia" w:ascii="Times New Roman" w:hAnsi="Times New Roman" w:eastAsia="仿宋_GB2312" w:cs="仿宋_GB2312"/>
                <w:color w:val="000000"/>
                <w:highlight w:val="none"/>
              </w:rPr>
              <w:t>类放射源或</w:t>
            </w:r>
            <w:r>
              <w:rPr>
                <w:rFonts w:hint="eastAsia" w:ascii="宋体" w:hAnsi="宋体" w:cs="宋体"/>
                <w:color w:val="000000"/>
                <w:highlight w:val="none"/>
              </w:rPr>
              <w:t>Ⅱ</w:t>
            </w:r>
            <w:r>
              <w:rPr>
                <w:rFonts w:hint="eastAsia" w:ascii="Times New Roman" w:hAnsi="Times New Roman" w:eastAsia="仿宋_GB2312" w:cs="仿宋_GB2312"/>
                <w:color w:val="000000"/>
                <w:highlight w:val="none"/>
              </w:rPr>
              <w:t>类射线装置的</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宋体" w:hAnsi="宋体" w:cs="宋体"/>
                <w:color w:val="000000"/>
                <w:highlight w:val="none"/>
              </w:rPr>
              <w:t>Ⅰ</w:t>
            </w:r>
            <w:r>
              <w:rPr>
                <w:rFonts w:hint="eastAsia" w:ascii="Times New Roman" w:hAnsi="Times New Roman" w:eastAsia="仿宋_GB2312" w:cs="仿宋_GB2312"/>
                <w:color w:val="000000"/>
                <w:highlight w:val="none"/>
              </w:rPr>
              <w:t>类、</w:t>
            </w:r>
            <w:r>
              <w:rPr>
                <w:rFonts w:hint="eastAsia" w:ascii="宋体" w:hAnsi="宋体" w:cs="宋体"/>
                <w:color w:val="000000"/>
                <w:highlight w:val="none"/>
              </w:rPr>
              <w:t>Ⅱ</w:t>
            </w:r>
            <w:r>
              <w:rPr>
                <w:rFonts w:hint="eastAsia" w:ascii="Times New Roman" w:hAnsi="Times New Roman" w:eastAsia="仿宋_GB2312" w:cs="仿宋_GB2312"/>
                <w:color w:val="000000"/>
                <w:highlight w:val="none"/>
              </w:rPr>
              <w:t>类放射源或</w:t>
            </w:r>
            <w:r>
              <w:rPr>
                <w:rFonts w:hint="eastAsia" w:ascii="宋体" w:hAnsi="宋体" w:cs="宋体"/>
                <w:color w:val="000000"/>
                <w:highlight w:val="none"/>
              </w:rPr>
              <w:t>Ⅰ</w:t>
            </w:r>
            <w:r>
              <w:rPr>
                <w:rFonts w:hint="eastAsia" w:ascii="Times New Roman" w:hAnsi="Times New Roman" w:eastAsia="仿宋_GB2312" w:cs="仿宋_GB2312"/>
                <w:color w:val="000000"/>
                <w:highlight w:val="none"/>
              </w:rPr>
              <w:t>类射线装置的</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非密封放射性物质工作场所分类</w:t>
            </w: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丙级工作场所</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乙级工作场所</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甲级工作场所</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放射性废物类型</w:t>
            </w:r>
          </w:p>
        </w:tc>
        <w:tc>
          <w:tcPr>
            <w:tcW w:w="5213" w:type="dxa"/>
            <w:vAlign w:val="center"/>
          </w:tcPr>
          <w:p>
            <w:pPr>
              <w:snapToGrid w:val="0"/>
              <w:jc w:val="center"/>
              <w:rPr>
                <w:rFonts w:ascii="Times New Roman" w:hAnsi="Times New Roman" w:eastAsia="仿宋_GB2312" w:cs="Times New Roman"/>
                <w:color w:val="000000"/>
                <w:kern w:val="0"/>
                <w:highlight w:val="none"/>
              </w:rPr>
            </w:pPr>
            <w:r>
              <w:rPr>
                <w:rFonts w:hint="eastAsia" w:ascii="Times New Roman" w:hAnsi="Times New Roman" w:eastAsia="仿宋_GB2312" w:cs="仿宋_GB2312"/>
                <w:color w:val="000000"/>
                <w:kern w:val="0"/>
                <w:highlight w:val="none"/>
              </w:rPr>
              <w:t>极短寿命放射性废物</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极低水平放射性废物</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低水平放射性废物</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中水平放射性废物</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高水平放射性废物</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涉及从业人员数量</w:t>
            </w: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人（次）以内的</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人（次）以上</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人（次）以内的</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人（次）及以上的</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超过限期</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改正时间（仅适用于</w:t>
            </w:r>
            <w:r>
              <w:rPr>
                <w:rFonts w:ascii="Times New Roman" w:hAnsi="Times New Roman" w:cs="宋体"/>
                <w:b/>
                <w:bCs/>
                <w:color w:val="000000"/>
                <w:highlight w:val="none"/>
              </w:rPr>
              <w:t>逾期不改正情形</w:t>
            </w:r>
            <w:r>
              <w:rPr>
                <w:rFonts w:hint="eastAsia" w:ascii="Times New Roman" w:hAnsi="Times New Roman" w:cs="宋体"/>
                <w:b/>
                <w:bCs/>
                <w:color w:val="000000"/>
                <w:highlight w:val="none"/>
              </w:rPr>
              <w:t>）</w:t>
            </w: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天</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天</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个月以上</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902" w:type="dxa"/>
            <w:gridSpan w:val="2"/>
            <w:vAlign w:val="center"/>
          </w:tcPr>
          <w:p>
            <w:pPr>
              <w:snapToGrid w:val="0"/>
              <w:ind w:firstLine="420"/>
              <w:jc w:val="center"/>
              <w:rPr>
                <w:rFonts w:ascii="Times New Roman" w:hAnsi="Times New Roman" w:cs="Times New Roman"/>
                <w:color w:val="000000"/>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tcPr>
          <w:p>
            <w:pPr>
              <w:pStyle w:val="11"/>
              <w:snapToGrid w:val="0"/>
              <w:spacing w:before="62" w:beforeLines="20"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托运人未按照规定将放射性物品运输的核与辐射安全分析报告批准书、辐射监测报告备案，责令限期改正逾期不改正的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Pr>
          <w:p>
            <w:pPr>
              <w:pStyle w:val="11"/>
              <w:snapToGrid w:val="0"/>
              <w:spacing w:before="62" w:beforeLines="20"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《放射性物品运输安全管理条例》第三十七条第一款</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一类放射性物品启运前，托运人应当将放射性物品运输的核与辐射安全分析报告批准书、辐射监测报告，报启运地的省、自治区、直辖市人民政府环境保护主管部门备案。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Pr>
          <w:p>
            <w:pPr>
              <w:pStyle w:val="11"/>
              <w:snapToGrid w:val="0"/>
              <w:spacing w:before="62" w:beforeLines="20"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《放射性物品运输安全管理条例》第五十九条第二款</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托运人未按照规定将放射性物品运输的核与辐射安全分析报告批准书、辐射监测报告备案的，由启运地的省、自治区、直辖市人民政府环境保护主管部门责令限期改正；逾期不改正的，处</w:t>
            </w:r>
            <w:r>
              <w:rPr>
                <w:rFonts w:ascii="Times New Roman" w:hAnsi="Times New Roman" w:eastAsia="仿宋_GB2312" w:cs="Times New Roman"/>
                <w:sz w:val="21"/>
                <w:szCs w:val="21"/>
                <w:highlight w:val="none"/>
              </w:rPr>
              <w:t>1</w:t>
            </w:r>
            <w:r>
              <w:rPr>
                <w:rFonts w:hint="eastAsia" w:ascii="Times New Roman" w:hAnsi="Times New Roman" w:eastAsia="仿宋_GB2312" w:cs="仿宋_GB2312"/>
                <w:sz w:val="21"/>
                <w:szCs w:val="21"/>
                <w:highlight w:val="none"/>
              </w:rPr>
              <w:t>万元以上</w:t>
            </w:r>
            <w:r>
              <w:rPr>
                <w:rFonts w:ascii="Times New Roman" w:hAnsi="Times New Roman" w:eastAsia="仿宋_GB2312" w:cs="Times New Roman"/>
                <w:sz w:val="21"/>
                <w:szCs w:val="21"/>
                <w:highlight w:val="none"/>
              </w:rPr>
              <w:t>5</w:t>
            </w:r>
            <w:r>
              <w:rPr>
                <w:rFonts w:hint="eastAsia" w:ascii="Times New Roman" w:hAnsi="Times New Roman" w:eastAsia="仿宋_GB2312" w:cs="仿宋_GB2312"/>
                <w:sz w:val="21"/>
                <w:szCs w:val="21"/>
                <w:highlight w:val="none"/>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2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89"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1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未按照规定的时限备案的</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已备案，但是备案信息不全的</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未备案的</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超过限期</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改正时间（仅适用于</w:t>
            </w:r>
            <w:r>
              <w:rPr>
                <w:rFonts w:ascii="Times New Roman" w:hAnsi="Times New Roman" w:cs="宋体"/>
                <w:b/>
                <w:bCs/>
                <w:color w:val="000000"/>
                <w:highlight w:val="none"/>
              </w:rPr>
              <w:t>逾期不改正情形</w:t>
            </w:r>
            <w:r>
              <w:rPr>
                <w:rFonts w:hint="eastAsia" w:ascii="Times New Roman" w:hAnsi="Times New Roman" w:cs="宋体"/>
                <w:b/>
                <w:bCs/>
                <w:color w:val="000000"/>
                <w:highlight w:val="none"/>
              </w:rPr>
              <w:t>）</w:t>
            </w: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不足</w:t>
            </w: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天</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天</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20</w:t>
            </w:r>
            <w:r>
              <w:rPr>
                <w:rFonts w:hint="eastAsia" w:ascii="Times New Roman" w:hAnsi="Times New Roman" w:eastAsia="仿宋_GB2312" w:cs="仿宋_GB2312"/>
                <w:color w:val="000000"/>
                <w:highlight w:val="none"/>
              </w:rPr>
              <w:t>天以上不足</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个月以上</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违法行为持续时间或发生频次</w:t>
            </w: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个月以内或</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次以下</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个月以上</w:t>
            </w: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个月以内或</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次</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个月或</w:t>
            </w: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次以上</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902" w:type="dxa"/>
            <w:gridSpan w:val="2"/>
            <w:vAlign w:val="center"/>
          </w:tcPr>
          <w:p>
            <w:pPr>
              <w:snapToGrid w:val="0"/>
              <w:ind w:firstLine="420"/>
              <w:jc w:val="center"/>
              <w:rPr>
                <w:rFonts w:ascii="Times New Roman" w:hAnsi="Times New Roman" w:cs="Times New Roman"/>
                <w:color w:val="000000"/>
                <w:highlight w:val="none"/>
              </w:rPr>
            </w:pPr>
          </w:p>
        </w:tc>
      </w:tr>
    </w:tbl>
    <w:p>
      <w:pPr>
        <w:snapToGrid w:val="0"/>
        <w:rPr>
          <w:rFonts w:ascii="Times New Roman" w:hAnsi="Times New Roman" w:cs="Times New Roman"/>
          <w:color w:val="000000"/>
          <w:sz w:val="10"/>
          <w:szCs w:val="10"/>
          <w:highlight w:val="none"/>
        </w:rPr>
      </w:pPr>
      <w:r>
        <w:rPr>
          <w:rFonts w:ascii="Times New Roman" w:hAnsi="Times New Roman" w:cs="Times New Roman"/>
          <w:color w:val="000000"/>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vAlign w:val="center"/>
          </w:tcPr>
          <w:p>
            <w:pPr>
              <w:pStyle w:val="11"/>
              <w:snapToGrid w:val="0"/>
              <w:ind w:firstLine="42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未按照规定对托运的放射性物品表面污染和辐射水平实施监测的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Pr>
          <w:p>
            <w:pPr>
              <w:pStyle w:val="11"/>
              <w:snapToGrid w:val="0"/>
              <w:spacing w:before="62" w:beforeLines="20"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《放射性物品运输安全管理条例》第三十条</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托运一类放射性物品的，托运人应当委托有资质的辐射监测机构对其表面污染和辐射水平实施监测，辐射监测机构应当出具辐射监测报告。</w:t>
            </w:r>
          </w:p>
          <w:p>
            <w:pPr>
              <w:pStyle w:val="11"/>
              <w:snapToGrid w:val="0"/>
              <w:spacing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托运二类、三类放射性物品的，托运人应当对其表面污染和辐射水平实施监测，并编制辐射监测报告。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Pr>
          <w:p>
            <w:pPr>
              <w:pStyle w:val="11"/>
              <w:snapToGrid w:val="0"/>
              <w:spacing w:before="62" w:beforeLines="20"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《放射性物品运输安全管理条例》第六十三条第（一）项</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托运人有下列行为之一的，由启运地的省、自治区、直辖市人民政府环境保护主管部门责令停止违法行为，处</w:t>
            </w:r>
            <w:r>
              <w:rPr>
                <w:rFonts w:ascii="Times New Roman" w:hAnsi="Times New Roman" w:eastAsia="仿宋_GB2312" w:cs="Times New Roman"/>
                <w:sz w:val="21"/>
                <w:szCs w:val="21"/>
                <w:highlight w:val="none"/>
              </w:rPr>
              <w:t>5</w:t>
            </w:r>
            <w:r>
              <w:rPr>
                <w:rFonts w:hint="eastAsia" w:ascii="Times New Roman" w:hAnsi="Times New Roman" w:eastAsia="仿宋_GB2312" w:cs="仿宋_GB2312"/>
                <w:sz w:val="21"/>
                <w:szCs w:val="21"/>
                <w:highlight w:val="none"/>
              </w:rPr>
              <w:t>万元以上</w:t>
            </w:r>
            <w:r>
              <w:rPr>
                <w:rFonts w:ascii="Times New Roman" w:hAnsi="Times New Roman" w:eastAsia="仿宋_GB2312" w:cs="Times New Roman"/>
                <w:sz w:val="21"/>
                <w:szCs w:val="21"/>
                <w:highlight w:val="none"/>
              </w:rPr>
              <w:t>20</w:t>
            </w:r>
            <w:r>
              <w:rPr>
                <w:rFonts w:hint="eastAsia" w:ascii="Times New Roman" w:hAnsi="Times New Roman" w:eastAsia="仿宋_GB2312" w:cs="仿宋_GB2312"/>
                <w:sz w:val="21"/>
                <w:szCs w:val="21"/>
                <w:highlight w:val="none"/>
              </w:rPr>
              <w:t>万元以下的罚款：</w:t>
            </w:r>
          </w:p>
          <w:p>
            <w:pPr>
              <w:pStyle w:val="11"/>
              <w:snapToGrid w:val="0"/>
              <w:spacing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（一）未按照规定对托运的放射性物品表面污染和辐射水平实施监测的。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2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89"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1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未规范进行监测的</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已监测，但是监测项目不全的</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未进行监测的</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涉及放射性物品种类</w:t>
            </w:r>
          </w:p>
        </w:tc>
        <w:tc>
          <w:tcPr>
            <w:tcW w:w="521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三类放射性物品</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二类放射性物品</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一类放射性物品</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放射性</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物品数量</w:t>
            </w:r>
          </w:p>
        </w:tc>
        <w:tc>
          <w:tcPr>
            <w:tcW w:w="521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不足</w:t>
            </w: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千克</w:t>
            </w:r>
          </w:p>
        </w:tc>
        <w:tc>
          <w:tcPr>
            <w:tcW w:w="2689"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千克以上不足</w:t>
            </w:r>
            <w:r>
              <w:rPr>
                <w:rFonts w:ascii="Times New Roman" w:hAnsi="Times New Roman" w:eastAsia="仿宋_GB2312" w:cs="Times New Roman"/>
                <w:color w:val="000000"/>
                <w:highlight w:val="none"/>
              </w:rPr>
              <w:t>100</w:t>
            </w:r>
            <w:r>
              <w:rPr>
                <w:rFonts w:hint="eastAsia" w:ascii="Times New Roman" w:hAnsi="Times New Roman" w:eastAsia="仿宋_GB2312" w:cs="仿宋_GB2312"/>
                <w:color w:val="000000"/>
                <w:highlight w:val="none"/>
              </w:rPr>
              <w:t>千克</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100</w:t>
            </w:r>
            <w:r>
              <w:rPr>
                <w:rFonts w:hint="eastAsia" w:ascii="Times New Roman" w:hAnsi="Times New Roman" w:eastAsia="仿宋_GB2312" w:cs="仿宋_GB2312"/>
                <w:color w:val="000000"/>
                <w:highlight w:val="none"/>
              </w:rPr>
              <w:t>千克以上</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违法行为持续时间或发生频次</w:t>
            </w: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个月以内或</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次以下</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个月以上</w:t>
            </w: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个月以内或</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次</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个月或</w:t>
            </w: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次以上</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902" w:type="dxa"/>
            <w:gridSpan w:val="2"/>
            <w:vAlign w:val="center"/>
          </w:tcPr>
          <w:p>
            <w:pPr>
              <w:snapToGrid w:val="0"/>
              <w:ind w:firstLine="420"/>
              <w:jc w:val="center"/>
              <w:rPr>
                <w:rFonts w:ascii="Times New Roman" w:hAnsi="Times New Roman" w:cs="Times New Roman"/>
                <w:color w:val="000000"/>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8" w:type="dxa"/>
            <w:gridSpan w:val="3"/>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vAlign w:val="center"/>
          </w:tcPr>
          <w:p>
            <w:pPr>
              <w:pStyle w:val="11"/>
              <w:snapToGrid w:val="0"/>
              <w:ind w:firstLine="42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将经监测不符合国家放射性物品运输安全标准的放射性物品交付托运的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Pr>
          <w:p>
            <w:pPr>
              <w:pStyle w:val="11"/>
              <w:snapToGrid w:val="0"/>
              <w:spacing w:before="62" w:beforeLines="20"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《放射性物品运输安全管理条例》第三十条第三款</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监测结果不符合国家放射性物品运输安全标准的，不得托运。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Pr>
          <w:p>
            <w:pPr>
              <w:pStyle w:val="11"/>
              <w:snapToGrid w:val="0"/>
              <w:spacing w:before="62" w:beforeLines="20"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《放射性物品运输安全管理条例》第六十三条第（二）项</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托运人有下列行为之一的，由启运地的省、自治区、直辖市人民政府环境保护主管部门责令停止违法行为，处</w:t>
            </w:r>
            <w:r>
              <w:rPr>
                <w:rFonts w:ascii="Times New Roman" w:hAnsi="Times New Roman" w:eastAsia="仿宋_GB2312" w:cs="Times New Roman"/>
                <w:sz w:val="21"/>
                <w:szCs w:val="21"/>
                <w:highlight w:val="none"/>
              </w:rPr>
              <w:t>5</w:t>
            </w:r>
            <w:r>
              <w:rPr>
                <w:rFonts w:hint="eastAsia" w:ascii="Times New Roman" w:hAnsi="Times New Roman" w:eastAsia="仿宋_GB2312" w:cs="仿宋_GB2312"/>
                <w:sz w:val="21"/>
                <w:szCs w:val="21"/>
                <w:highlight w:val="none"/>
              </w:rPr>
              <w:t>万元以上</w:t>
            </w:r>
            <w:r>
              <w:rPr>
                <w:rFonts w:ascii="Times New Roman" w:hAnsi="Times New Roman" w:eastAsia="仿宋_GB2312" w:cs="Times New Roman"/>
                <w:sz w:val="21"/>
                <w:szCs w:val="21"/>
                <w:highlight w:val="none"/>
              </w:rPr>
              <w:t>20</w:t>
            </w:r>
            <w:r>
              <w:rPr>
                <w:rFonts w:hint="eastAsia" w:ascii="Times New Roman" w:hAnsi="Times New Roman" w:eastAsia="仿宋_GB2312" w:cs="仿宋_GB2312"/>
                <w:sz w:val="21"/>
                <w:szCs w:val="21"/>
                <w:highlight w:val="none"/>
              </w:rPr>
              <w:t>万元以下的罚款：</w:t>
            </w:r>
          </w:p>
          <w:p>
            <w:pPr>
              <w:pStyle w:val="11"/>
              <w:snapToGrid w:val="0"/>
              <w:spacing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（二）将经监测不符合国家放射性物品运输安全标准的放射性物品交付托运的。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8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涉及放射性物品种类</w:t>
            </w:r>
            <w:r>
              <w:rPr>
                <w:rFonts w:hint="eastAsia" w:ascii="Times New Roman" w:hAnsi="Times New Roman" w:cs="宋体"/>
                <w:b/>
                <w:bCs/>
                <w:color w:val="000000"/>
                <w:highlight w:val="none"/>
              </w:rPr>
              <w:t>★</w:t>
            </w:r>
          </w:p>
        </w:tc>
        <w:tc>
          <w:tcPr>
            <w:tcW w:w="5213"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三类放射性物品</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二类放射性物品</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一类放射性物品</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放射性物品数量</w:t>
            </w:r>
            <w:r>
              <w:rPr>
                <w:rFonts w:hint="eastAsia" w:ascii="Times New Roman" w:hAnsi="Times New Roman" w:cs="宋体"/>
                <w:b/>
                <w:bCs/>
                <w:color w:val="000000"/>
                <w:highlight w:val="none"/>
              </w:rPr>
              <w:t>★</w:t>
            </w:r>
          </w:p>
        </w:tc>
        <w:tc>
          <w:tcPr>
            <w:tcW w:w="521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不足</w:t>
            </w: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千克</w:t>
            </w:r>
          </w:p>
        </w:tc>
        <w:tc>
          <w:tcPr>
            <w:tcW w:w="2689"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千克以上不足</w:t>
            </w:r>
            <w:r>
              <w:rPr>
                <w:rFonts w:ascii="Times New Roman" w:hAnsi="Times New Roman" w:eastAsia="仿宋_GB2312" w:cs="Times New Roman"/>
                <w:color w:val="000000"/>
                <w:highlight w:val="none"/>
              </w:rPr>
              <w:t>100</w:t>
            </w:r>
            <w:r>
              <w:rPr>
                <w:rFonts w:hint="eastAsia" w:ascii="Times New Roman" w:hAnsi="Times New Roman" w:eastAsia="仿宋_GB2312" w:cs="仿宋_GB2312"/>
                <w:color w:val="000000"/>
                <w:highlight w:val="none"/>
              </w:rPr>
              <w:t>千克</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100</w:t>
            </w:r>
            <w:r>
              <w:rPr>
                <w:rFonts w:hint="eastAsia" w:ascii="Times New Roman" w:hAnsi="Times New Roman" w:eastAsia="仿宋_GB2312" w:cs="仿宋_GB2312"/>
                <w:color w:val="000000"/>
                <w:highlight w:val="none"/>
              </w:rPr>
              <w:t>千克以上</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违法行为持续时间或发生频次</w:t>
            </w: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r>
              <w:rPr>
                <w:rFonts w:hint="eastAsia" w:ascii="Times New Roman" w:hAnsi="Times New Roman" w:eastAsia="仿宋_GB2312" w:cs="仿宋_GB2312"/>
                <w:highlight w:val="none"/>
              </w:rPr>
              <w:t>个月以内或</w:t>
            </w:r>
            <w:r>
              <w:rPr>
                <w:rFonts w:ascii="Times New Roman" w:hAnsi="Times New Roman" w:eastAsia="仿宋_GB2312" w:cs="Times New Roman"/>
                <w:highlight w:val="none"/>
              </w:rPr>
              <w:t>2</w:t>
            </w:r>
            <w:r>
              <w:rPr>
                <w:rFonts w:hint="eastAsia" w:ascii="Times New Roman" w:hAnsi="Times New Roman" w:eastAsia="仿宋_GB2312" w:cs="仿宋_GB2312"/>
                <w:highlight w:val="none"/>
              </w:rPr>
              <w:t>次以下</w:t>
            </w:r>
          </w:p>
        </w:tc>
        <w:tc>
          <w:tcPr>
            <w:tcW w:w="268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r>
              <w:rPr>
                <w:rFonts w:hint="eastAsia" w:ascii="Times New Roman" w:hAnsi="Times New Roman" w:eastAsia="仿宋_GB2312" w:cs="仿宋_GB2312"/>
                <w:highlight w:val="none"/>
              </w:rPr>
              <w:t>个月以上</w:t>
            </w:r>
            <w:r>
              <w:rPr>
                <w:rFonts w:ascii="Times New Roman" w:hAnsi="Times New Roman" w:eastAsia="仿宋_GB2312" w:cs="Times New Roman"/>
                <w:highlight w:val="none"/>
              </w:rPr>
              <w:t>6</w:t>
            </w:r>
            <w:r>
              <w:rPr>
                <w:rFonts w:hint="eastAsia" w:ascii="Times New Roman" w:hAnsi="Times New Roman" w:eastAsia="仿宋_GB2312" w:cs="仿宋_GB2312"/>
                <w:highlight w:val="none"/>
              </w:rPr>
              <w:t>个月以内或</w:t>
            </w:r>
            <w:r>
              <w:rPr>
                <w:rFonts w:ascii="Times New Roman" w:hAnsi="Times New Roman" w:eastAsia="仿宋_GB2312" w:cs="Times New Roman"/>
                <w:highlight w:val="none"/>
              </w:rPr>
              <w:t>2</w:t>
            </w:r>
            <w:r>
              <w:rPr>
                <w:rFonts w:hint="eastAsia" w:ascii="Times New Roman" w:hAnsi="Times New Roman" w:eastAsia="仿宋_GB2312" w:cs="仿宋_GB2312"/>
                <w:highlight w:val="none"/>
              </w:rPr>
              <w:t>次</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6</w:t>
            </w:r>
            <w:r>
              <w:rPr>
                <w:rFonts w:hint="eastAsia" w:ascii="Times New Roman" w:hAnsi="Times New Roman" w:eastAsia="仿宋_GB2312" w:cs="仿宋_GB2312"/>
                <w:highlight w:val="none"/>
              </w:rPr>
              <w:t>个月或</w:t>
            </w:r>
            <w:r>
              <w:rPr>
                <w:rFonts w:ascii="Times New Roman" w:hAnsi="Times New Roman" w:eastAsia="仿宋_GB2312" w:cs="Times New Roman"/>
                <w:highlight w:val="none"/>
              </w:rPr>
              <w:t>3</w:t>
            </w:r>
            <w:r>
              <w:rPr>
                <w:rFonts w:hint="eastAsia" w:ascii="Times New Roman" w:hAnsi="Times New Roman" w:eastAsia="仿宋_GB2312" w:cs="仿宋_GB2312"/>
                <w:highlight w:val="none"/>
              </w:rPr>
              <w:t>次以上</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vAlign w:val="center"/>
          </w:tcPr>
          <w:p>
            <w:pPr>
              <w:pStyle w:val="11"/>
              <w:snapToGrid w:val="0"/>
              <w:ind w:firstLine="42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出具虚假辐射监测报告的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Pr>
          <w:p>
            <w:pPr>
              <w:pStyle w:val="11"/>
              <w:snapToGrid w:val="0"/>
              <w:spacing w:before="62" w:beforeLines="20"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《放射性物品运输安全管理条例》第三十条</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托运一类放射性物品的，托运人应当委托有资质的辐射监测机构对其表面污染和辐射水平实施监测，辐射监测机构应当出具辐射监测报告。</w:t>
            </w:r>
          </w:p>
          <w:p>
            <w:pPr>
              <w:pStyle w:val="11"/>
              <w:snapToGrid w:val="0"/>
              <w:spacing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托运二类、三类放射性物品的，托运人应当对其表面污染和辐射水平实施监测，并编制辐射监测报告。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Pr>
          <w:p>
            <w:pPr>
              <w:pStyle w:val="11"/>
              <w:snapToGrid w:val="0"/>
              <w:spacing w:before="62" w:beforeLines="20"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《放射性物品运输安全管理条例》第六十三条第（三）项</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托运人有下列行为之一的，由启运地的省、自治区、直辖市人民政府环境保护主管部门责令停止违法行为，处</w:t>
            </w:r>
            <w:r>
              <w:rPr>
                <w:rFonts w:ascii="Times New Roman" w:hAnsi="Times New Roman" w:eastAsia="仿宋_GB2312" w:cs="Times New Roman"/>
                <w:sz w:val="21"/>
                <w:szCs w:val="21"/>
                <w:highlight w:val="none"/>
              </w:rPr>
              <w:t>5</w:t>
            </w:r>
            <w:r>
              <w:rPr>
                <w:rFonts w:hint="eastAsia" w:ascii="Times New Roman" w:hAnsi="Times New Roman" w:eastAsia="仿宋_GB2312" w:cs="仿宋_GB2312"/>
                <w:sz w:val="21"/>
                <w:szCs w:val="21"/>
                <w:highlight w:val="none"/>
              </w:rPr>
              <w:t>万元以上</w:t>
            </w:r>
            <w:r>
              <w:rPr>
                <w:rFonts w:ascii="Times New Roman" w:hAnsi="Times New Roman" w:eastAsia="仿宋_GB2312" w:cs="Times New Roman"/>
                <w:sz w:val="21"/>
                <w:szCs w:val="21"/>
                <w:highlight w:val="none"/>
              </w:rPr>
              <w:t>20</w:t>
            </w:r>
            <w:r>
              <w:rPr>
                <w:rFonts w:hint="eastAsia" w:ascii="Times New Roman" w:hAnsi="Times New Roman" w:eastAsia="仿宋_GB2312" w:cs="仿宋_GB2312"/>
                <w:sz w:val="21"/>
                <w:szCs w:val="21"/>
                <w:highlight w:val="none"/>
              </w:rPr>
              <w:t>万元以下的罚款：</w:t>
            </w:r>
          </w:p>
          <w:p>
            <w:pPr>
              <w:pStyle w:val="11"/>
              <w:snapToGrid w:val="0"/>
              <w:spacing w:line="288" w:lineRule="auto"/>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（三）出具虚假辐射监测报告的。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2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89"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涉及放射性物品种类★</w:t>
            </w:r>
          </w:p>
        </w:tc>
        <w:tc>
          <w:tcPr>
            <w:tcW w:w="521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三类放射性物品</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二类放射性物品</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一类放射性物品</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放射性物品数量</w:t>
            </w:r>
          </w:p>
        </w:tc>
        <w:tc>
          <w:tcPr>
            <w:tcW w:w="521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不足</w:t>
            </w: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千克</w:t>
            </w:r>
          </w:p>
        </w:tc>
        <w:tc>
          <w:tcPr>
            <w:tcW w:w="2689"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千克以上不足</w:t>
            </w:r>
            <w:r>
              <w:rPr>
                <w:rFonts w:ascii="Times New Roman" w:hAnsi="Times New Roman" w:eastAsia="仿宋_GB2312" w:cs="Times New Roman"/>
                <w:color w:val="000000"/>
                <w:highlight w:val="none"/>
              </w:rPr>
              <w:t>100</w:t>
            </w:r>
            <w:r>
              <w:rPr>
                <w:rFonts w:hint="eastAsia" w:ascii="Times New Roman" w:hAnsi="Times New Roman" w:eastAsia="仿宋_GB2312" w:cs="仿宋_GB2312"/>
                <w:color w:val="000000"/>
                <w:highlight w:val="none"/>
              </w:rPr>
              <w:t>千克</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100</w:t>
            </w:r>
            <w:r>
              <w:rPr>
                <w:rFonts w:hint="eastAsia" w:ascii="Times New Roman" w:hAnsi="Times New Roman" w:eastAsia="仿宋_GB2312" w:cs="仿宋_GB2312"/>
                <w:color w:val="000000"/>
                <w:highlight w:val="none"/>
              </w:rPr>
              <w:t>千克以上</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备注</w:t>
            </w:r>
          </w:p>
        </w:tc>
        <w:tc>
          <w:tcPr>
            <w:tcW w:w="7902" w:type="dxa"/>
            <w:gridSpan w:val="2"/>
            <w:vAlign w:val="center"/>
          </w:tcPr>
          <w:p>
            <w:pPr>
              <w:snapToGrid w:val="0"/>
              <w:ind w:firstLine="420"/>
              <w:jc w:val="center"/>
              <w:rPr>
                <w:rFonts w:ascii="Times New Roman" w:hAnsi="Times New Roman" w:cs="Times New Roman"/>
                <w:color w:val="000000"/>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tcPr>
          <w:p>
            <w:pPr>
              <w:widowControl/>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托运人、承运人未按照核与辐射事故应急响应指南的要求，做好事故应急工作并报告事故的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《放射性物品运输安全管理条例》第四十三条第一款</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放射性物品运输中发生核与辐射事故的，承运人、托运人应当按照核与辐射事故应急响应指南的要求，做好事故应急工作，并立即报告事故发生地的县级以上人民政府环境保护主管部门。接到报告的环境保护主管部门应当立即派人赶赴现场，进行现场调查，采取有效措施控制事故影响，并及时向本级人民政府报告，通报同级公安、卫生、交通运输等有关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《放射性物品运输安全管理条例》第六十五条第二款</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托运人、承运人未按照核与辐射事故应急响应指南的要求，做好事故应急工作并报告事故的，由县级以上地方人民政府环境保护主管部门处</w:t>
            </w:r>
            <w:r>
              <w:rPr>
                <w:rFonts w:ascii="Times New Roman" w:hAnsi="Times New Roman" w:eastAsia="仿宋_GB2312" w:cs="Times New Roman"/>
                <w:sz w:val="21"/>
                <w:szCs w:val="21"/>
                <w:highlight w:val="none"/>
              </w:rPr>
              <w:t>5</w:t>
            </w:r>
            <w:r>
              <w:rPr>
                <w:rFonts w:hint="eastAsia" w:ascii="Times New Roman" w:hAnsi="Times New Roman" w:eastAsia="仿宋_GB2312" w:cs="仿宋_GB2312"/>
                <w:sz w:val="21"/>
                <w:szCs w:val="21"/>
                <w:highlight w:val="none"/>
              </w:rPr>
              <w:t>万元以上</w:t>
            </w:r>
            <w:r>
              <w:rPr>
                <w:rFonts w:ascii="Times New Roman" w:hAnsi="Times New Roman" w:eastAsia="仿宋_GB2312" w:cs="Times New Roman"/>
                <w:sz w:val="21"/>
                <w:szCs w:val="21"/>
                <w:highlight w:val="none"/>
              </w:rPr>
              <w:t>20</w:t>
            </w:r>
            <w:r>
              <w:rPr>
                <w:rFonts w:hint="eastAsia" w:ascii="Times New Roman" w:hAnsi="Times New Roman" w:eastAsia="仿宋_GB2312" w:cs="仿宋_GB2312"/>
                <w:sz w:val="21"/>
                <w:szCs w:val="21"/>
                <w:highlight w:val="none"/>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2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89"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1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已规范做好事故应急工作，但未及时报告事故的</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未规范做好事故应急工作的</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未做事故应急工作，或者未报告事故的</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辐射事故</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等级</w:t>
            </w: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一般辐射事故</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较大辐射事故</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重大辐射事故</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特别重大辐射事故</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涉及放射性物品种类</w:t>
            </w:r>
          </w:p>
        </w:tc>
        <w:tc>
          <w:tcPr>
            <w:tcW w:w="521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三类放射性物品</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二类放射性物品</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一类放射性物品</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对环境的</w:t>
            </w:r>
          </w:p>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影响程度</w:t>
            </w: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尚未造成环境污染</w:t>
            </w:r>
          </w:p>
        </w:tc>
        <w:tc>
          <w:tcPr>
            <w:tcW w:w="2689" w:type="dxa"/>
            <w:vAlign w:val="center"/>
          </w:tcPr>
          <w:p>
            <w:pPr>
              <w:snapToGrid w:val="0"/>
              <w:spacing w:line="288" w:lineRule="auto"/>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已造成环境污染，尚未扩散</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已造成环境污染，并部分扩散</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已造成环境污染，并大面积扩散</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tcPr>
          <w:p>
            <w:pPr>
              <w:widowControl/>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（七）辐射污染防治类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vAlign w:val="center"/>
          </w:tcPr>
          <w:p>
            <w:pPr>
              <w:pStyle w:val="11"/>
              <w:snapToGrid w:val="0"/>
              <w:ind w:firstLine="42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违反规定造成辐射事故的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《放射性同位素与射线装置安全和防护条例》第二十七条</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生产、销售、使用放射性同位素和射线装置的单位，应当对本单位的放射性同位素、射线装置的安全和防护工作负责，并依法对其造成的放射性危害承担责任。</w:t>
            </w:r>
          </w:p>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生产放射性同位素的单位的行业主管部门，应当加强对生产单位安全和防护工作的管理，并定期对其执行法律、法规和国家标准的情况进行监督检查。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《放射性同位素与射线装置安全和防护条例》第六十一条第一款</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违反本条例规定，造成辐射事故的，由原发证机关责令限期改正，并处</w:t>
            </w:r>
            <w:r>
              <w:rPr>
                <w:rFonts w:ascii="Times New Roman" w:hAnsi="Times New Roman" w:eastAsia="仿宋_GB2312" w:cs="Times New Roman"/>
                <w:sz w:val="21"/>
                <w:szCs w:val="21"/>
                <w:highlight w:val="none"/>
              </w:rPr>
              <w:t>5</w:t>
            </w:r>
            <w:r>
              <w:rPr>
                <w:rFonts w:hint="eastAsia" w:ascii="Times New Roman" w:hAnsi="Times New Roman" w:eastAsia="仿宋_GB2312" w:cs="仿宋_GB2312"/>
                <w:sz w:val="21"/>
                <w:szCs w:val="21"/>
                <w:highlight w:val="none"/>
              </w:rPr>
              <w:t>万元以上</w:t>
            </w:r>
            <w:r>
              <w:rPr>
                <w:rFonts w:ascii="Times New Roman" w:hAnsi="Times New Roman" w:eastAsia="仿宋_GB2312" w:cs="Times New Roman"/>
                <w:sz w:val="21"/>
                <w:szCs w:val="21"/>
                <w:highlight w:val="none"/>
              </w:rPr>
              <w:t>20</w:t>
            </w:r>
            <w:r>
              <w:rPr>
                <w:rFonts w:hint="eastAsia" w:ascii="Times New Roman" w:hAnsi="Times New Roman" w:eastAsia="仿宋_GB2312" w:cs="仿宋_GB2312"/>
                <w:sz w:val="21"/>
                <w:szCs w:val="21"/>
                <w:highlight w:val="none"/>
              </w:rPr>
              <w:t>万元以下的罚款；情节严重的，由原发证机关吊销许可证；构成违反治安管理行为的，由公安机关依法予以治安处罚；构成犯罪的，依法追究刑事责任。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裁量因素</w:t>
            </w:r>
          </w:p>
        </w:tc>
        <w:tc>
          <w:tcPr>
            <w:tcW w:w="5213"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判定标准</w:t>
            </w:r>
          </w:p>
        </w:tc>
        <w:tc>
          <w:tcPr>
            <w:tcW w:w="2689"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辐射事故</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等级★</w:t>
            </w: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一般辐射事故</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较大辐射事故</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重大辐射事故</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特别重大辐射事故</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应急及</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报告情况</w:t>
            </w:r>
          </w:p>
        </w:tc>
        <w:tc>
          <w:tcPr>
            <w:tcW w:w="521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已规范做好事故应急工作，但未及时报告事故的</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未规范做好事故应急工作的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未做事故应急工作，或者未报告事故的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对环境的</w:t>
            </w:r>
          </w:p>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影响程度</w:t>
            </w: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尚未造成环境污染</w:t>
            </w:r>
          </w:p>
        </w:tc>
        <w:tc>
          <w:tcPr>
            <w:tcW w:w="2689" w:type="dxa"/>
            <w:vAlign w:val="center"/>
          </w:tcPr>
          <w:p>
            <w:pPr>
              <w:snapToGrid w:val="0"/>
              <w:spacing w:line="288" w:lineRule="auto"/>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已造成环境污染，尚未扩散</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已造成环境污染，并部分扩散</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已造成环境污染，并大面积扩散</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cs="Times New Roman"/>
          <w:sz w:val="10"/>
          <w:szCs w:val="10"/>
          <w:highlight w:val="none"/>
        </w:rPr>
      </w:pPr>
      <w:r>
        <w:rPr>
          <w:rFonts w:ascii="Times New Roman" w:hAnsi="Times New Roman" w:cs="Times New Roman"/>
          <w:highlight w:val="none"/>
        </w:rPr>
        <w:br w:type="page"/>
      </w:r>
    </w:p>
    <w:p>
      <w:pPr>
        <w:widowControl/>
        <w:ind w:left="420"/>
        <w:jc w:val="center"/>
        <w:outlineLvl w:val="1"/>
        <w:rPr>
          <w:rFonts w:ascii="Times New Roman" w:hAnsi="Times New Roman" w:eastAsia="仿宋_GB2312" w:cs="Times New Roman"/>
          <w:b/>
          <w:bCs/>
          <w:sz w:val="32"/>
          <w:szCs w:val="32"/>
          <w:highlight w:val="none"/>
        </w:rPr>
      </w:pPr>
      <w:bookmarkStart w:id="63" w:name="_Toc91081275"/>
      <w:r>
        <w:rPr>
          <w:rFonts w:hint="eastAsia" w:ascii="Times New Roman" w:hAnsi="Times New Roman" w:eastAsia="仿宋_GB2312" w:cs="仿宋_GB2312"/>
          <w:b/>
          <w:bCs/>
          <w:sz w:val="32"/>
          <w:szCs w:val="32"/>
          <w:highlight w:val="none"/>
        </w:rPr>
        <w:t>（八）其他类</w:t>
      </w:r>
      <w:bookmarkEnd w:id="63"/>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kern w:val="0"/>
          <w:sz w:val="32"/>
          <w:szCs w:val="32"/>
          <w:highlight w:val="none"/>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1.拒绝、阻挠监督检查，或者在接受监督检查时弄虚作假的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2.</w:t>
      </w:r>
      <w:r>
        <w:rPr>
          <w:rFonts w:hint="eastAsia" w:ascii="Times New Roman" w:hAnsi="Times New Roman" w:eastAsia="仿宋_GB2312" w:cs="Times New Roman"/>
          <w:kern w:val="0"/>
          <w:sz w:val="32"/>
          <w:szCs w:val="32"/>
          <w:highlight w:val="none"/>
        </w:rPr>
        <w:t>在噪声敏感建筑物集中区域新建排放噪声的工业企业的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3.</w:t>
      </w:r>
      <w:r>
        <w:rPr>
          <w:rFonts w:hint="eastAsia" w:ascii="Times New Roman" w:hAnsi="Times New Roman" w:eastAsia="仿宋_GB2312" w:cs="Times New Roman"/>
          <w:kern w:val="0"/>
          <w:sz w:val="32"/>
          <w:szCs w:val="32"/>
          <w:highlight w:val="none"/>
        </w:rPr>
        <w:t>在噪声敏感建筑物集中区域改建、扩建工业企业，未采取有效措施防止工业噪声污染的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4.</w:t>
      </w:r>
      <w:r>
        <w:rPr>
          <w:rFonts w:hint="eastAsia" w:ascii="Times New Roman" w:hAnsi="Times New Roman" w:eastAsia="仿宋_GB2312" w:cs="Times New Roman"/>
          <w:kern w:val="0"/>
          <w:sz w:val="32"/>
          <w:szCs w:val="32"/>
          <w:highlight w:val="none"/>
        </w:rPr>
        <w:t>无排污许可证或者超过噪声排放标准排放工业噪声的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5.</w:t>
      </w:r>
      <w:r>
        <w:rPr>
          <w:rFonts w:hint="eastAsia" w:ascii="Times New Roman" w:hAnsi="Times New Roman" w:eastAsia="仿宋_GB2312" w:cs="Times New Roman"/>
          <w:kern w:val="0"/>
          <w:sz w:val="32"/>
          <w:szCs w:val="32"/>
          <w:highlight w:val="none"/>
        </w:rPr>
        <w:t>噪声重点排污单位未按照国家规定安装、使用、维护噪声自动监测设备，或者未与生态环境主管部门的监控设备联网的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6.</w:t>
      </w:r>
      <w:r>
        <w:rPr>
          <w:rFonts w:hint="eastAsia" w:ascii="Times New Roman" w:hAnsi="Times New Roman" w:eastAsia="仿宋_GB2312" w:cs="仿宋_GB2312"/>
          <w:kern w:val="0"/>
          <w:sz w:val="32"/>
          <w:szCs w:val="32"/>
          <w:highlight w:val="none"/>
        </w:rPr>
        <w:t>工业生产、建筑施工作业以及其他生产经营活动中产生的噪声或者其边界噪声超过国家规定标准造成环境噪声污染的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7.</w:t>
      </w:r>
      <w:r>
        <w:rPr>
          <w:rFonts w:hint="eastAsia" w:ascii="Times New Roman" w:hAnsi="Times New Roman" w:eastAsia="仿宋_GB2312" w:cs="仿宋_GB2312"/>
          <w:kern w:val="0"/>
          <w:sz w:val="32"/>
          <w:szCs w:val="32"/>
          <w:highlight w:val="none"/>
        </w:rPr>
        <w:t>违反规定的作业时限或者停工治理决定的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8.</w:t>
      </w:r>
      <w:r>
        <w:rPr>
          <w:rFonts w:hint="eastAsia" w:ascii="Times New Roman" w:hAnsi="Times New Roman" w:eastAsia="仿宋_GB2312" w:cs="仿宋_GB2312"/>
          <w:kern w:val="0"/>
          <w:sz w:val="32"/>
          <w:szCs w:val="32"/>
          <w:highlight w:val="none"/>
        </w:rPr>
        <w:t>未按照规定公布能源消耗或者重点污染物产生、排放情况的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9.</w:t>
      </w:r>
      <w:r>
        <w:rPr>
          <w:rFonts w:hint="eastAsia" w:ascii="Times New Roman" w:hAnsi="Times New Roman" w:eastAsia="仿宋_GB2312" w:cs="仿宋_GB2312"/>
          <w:kern w:val="0"/>
          <w:sz w:val="32"/>
          <w:szCs w:val="32"/>
          <w:highlight w:val="none"/>
        </w:rPr>
        <w:t>不实施强制性清洁生产审核或者在清洁生产审核中弄虚作假的，或者实施强制性清洁生产审核的企业不报告或者不如实报告审核结果的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10.</w:t>
      </w:r>
      <w:r>
        <w:rPr>
          <w:rFonts w:hint="eastAsia" w:ascii="Times New Roman" w:hAnsi="Times New Roman" w:eastAsia="仿宋_GB2312" w:cs="仿宋_GB2312"/>
          <w:kern w:val="0"/>
          <w:sz w:val="32"/>
          <w:szCs w:val="32"/>
          <w:highlight w:val="none"/>
        </w:rPr>
        <w:t>从事清洁生产审核的咨询服务机构出具虚假审核报告的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11.</w:t>
      </w:r>
      <w:r>
        <w:rPr>
          <w:rFonts w:hint="eastAsia" w:ascii="Times New Roman" w:hAnsi="Times New Roman" w:eastAsia="仿宋_GB2312" w:cs="仿宋_GB2312"/>
          <w:kern w:val="0"/>
          <w:sz w:val="32"/>
          <w:szCs w:val="32"/>
          <w:highlight w:val="none"/>
        </w:rPr>
        <w:t>自然保护区管理机构拒绝环境保护行政主管部门或者有关自然保护区行政主管部门监督检查，或者在被检查时弄虚作假的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12.</w:t>
      </w:r>
      <w:r>
        <w:rPr>
          <w:rFonts w:hint="eastAsia" w:ascii="Times New Roman" w:hAnsi="Times New Roman" w:eastAsia="仿宋_GB2312" w:cs="仿宋_GB2312"/>
          <w:kern w:val="0"/>
          <w:sz w:val="32"/>
          <w:szCs w:val="32"/>
          <w:highlight w:val="none"/>
        </w:rPr>
        <w:t>在禁止养殖区域内建设畜禽养殖场、养殖小区的</w:t>
      </w:r>
    </w:p>
    <w:p>
      <w:pPr>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13.</w:t>
      </w:r>
      <w:r>
        <w:rPr>
          <w:rFonts w:hint="eastAsia" w:ascii="Times New Roman" w:hAnsi="Times New Roman" w:eastAsia="仿宋_GB2312" w:cs="仿宋_GB2312"/>
          <w:sz w:val="32"/>
          <w:szCs w:val="32"/>
          <w:highlight w:val="none"/>
        </w:rPr>
        <w:t>超出生产配额许可证规定的品种、数量、期限生产消耗臭氧层物质的</w:t>
      </w:r>
    </w:p>
    <w:p>
      <w:pPr>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14.</w:t>
      </w:r>
      <w:r>
        <w:rPr>
          <w:rFonts w:hint="eastAsia" w:ascii="Times New Roman" w:hAnsi="Times New Roman" w:eastAsia="仿宋_GB2312" w:cs="仿宋_GB2312"/>
          <w:sz w:val="32"/>
          <w:szCs w:val="32"/>
          <w:highlight w:val="none"/>
        </w:rPr>
        <w:t>超出生产配额许可证规定的用途生产或者销售消耗臭氧层物质的</w:t>
      </w:r>
    </w:p>
    <w:p>
      <w:pPr>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15.</w:t>
      </w:r>
      <w:r>
        <w:rPr>
          <w:rFonts w:hint="eastAsia" w:ascii="Times New Roman" w:hAnsi="Times New Roman" w:eastAsia="仿宋_GB2312" w:cs="仿宋_GB2312"/>
          <w:sz w:val="32"/>
          <w:szCs w:val="32"/>
          <w:highlight w:val="none"/>
        </w:rPr>
        <w:t>超出使用配额许可证规定的品种、数量、用途、期限使用消耗臭氧层物质的</w:t>
      </w:r>
    </w:p>
    <w:p>
      <w:pPr>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16.</w:t>
      </w:r>
      <w:r>
        <w:rPr>
          <w:rFonts w:hint="eastAsia" w:ascii="Times New Roman" w:hAnsi="Times New Roman" w:eastAsia="仿宋_GB2312" w:cs="仿宋_GB2312"/>
          <w:sz w:val="32"/>
          <w:szCs w:val="32"/>
          <w:highlight w:val="none"/>
        </w:rPr>
        <w:t>依照规定应当向环境保护主管部门备案而未备案的</w:t>
      </w:r>
    </w:p>
    <w:p>
      <w:pPr>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17.</w:t>
      </w:r>
      <w:r>
        <w:rPr>
          <w:rFonts w:hint="eastAsia" w:ascii="Times New Roman" w:hAnsi="Times New Roman" w:eastAsia="仿宋_GB2312" w:cs="仿宋_GB2312"/>
          <w:sz w:val="32"/>
          <w:szCs w:val="32"/>
          <w:highlight w:val="none"/>
        </w:rPr>
        <w:t>未按照规定完整保存有关生产经营活动的原始资料的</w:t>
      </w:r>
    </w:p>
    <w:p>
      <w:pPr>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18.</w:t>
      </w:r>
      <w:r>
        <w:rPr>
          <w:rFonts w:hint="eastAsia" w:ascii="Times New Roman" w:hAnsi="Times New Roman" w:eastAsia="仿宋_GB2312" w:cs="仿宋_GB2312"/>
          <w:sz w:val="32"/>
          <w:szCs w:val="32"/>
          <w:highlight w:val="none"/>
        </w:rPr>
        <w:t>未按时申报或者谎报、瞒报有关经营活动的数据资料的</w:t>
      </w:r>
    </w:p>
    <w:p>
      <w:pPr>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19.</w:t>
      </w:r>
      <w:r>
        <w:rPr>
          <w:rFonts w:hint="eastAsia" w:ascii="Times New Roman" w:hAnsi="Times New Roman" w:eastAsia="仿宋_GB2312" w:cs="仿宋_GB2312"/>
          <w:sz w:val="32"/>
          <w:szCs w:val="32"/>
          <w:highlight w:val="none"/>
        </w:rPr>
        <w:t>未按照监督检查人员的要求提供必要的资料的</w:t>
      </w:r>
    </w:p>
    <w:p>
      <w:pPr>
        <w:snapToGrid w:val="0"/>
        <w:spacing w:line="560" w:lineRule="exact"/>
        <w:ind w:firstLine="640" w:firstLineChars="200"/>
        <w:rPr>
          <w:rFonts w:ascii="Times New Roman" w:hAnsi="Times New Roman" w:eastAsia="仿宋_GB2312" w:cs="仿宋_GB2312"/>
          <w:sz w:val="32"/>
          <w:szCs w:val="32"/>
          <w:highlight w:val="none"/>
        </w:rPr>
      </w:pPr>
      <w:r>
        <w:rPr>
          <w:rFonts w:ascii="Times New Roman" w:hAnsi="Times New Roman" w:eastAsia="仿宋_GB2312" w:cs="Times New Roman"/>
          <w:sz w:val="32"/>
          <w:szCs w:val="32"/>
          <w:highlight w:val="none"/>
        </w:rPr>
        <w:t>20.</w:t>
      </w:r>
      <w:r>
        <w:rPr>
          <w:rFonts w:hint="eastAsia" w:ascii="Times New Roman" w:hAnsi="Times New Roman" w:eastAsia="仿宋_GB2312" w:cs="仿宋_GB2312"/>
          <w:sz w:val="32"/>
          <w:szCs w:val="32"/>
          <w:highlight w:val="none"/>
        </w:rPr>
        <w:t>拒绝、阻碍环境保护主管部门或者其他有关部门的监督检查，或者在接受监督检查时弄虚作假的</w:t>
      </w:r>
    </w:p>
    <w:p>
      <w:pPr>
        <w:snapToGrid w:val="0"/>
        <w:spacing w:line="560" w:lineRule="exact"/>
        <w:ind w:firstLine="640" w:firstLineChars="200"/>
        <w:rPr>
          <w:rFonts w:ascii="Times New Roman" w:hAnsi="Times New Roman" w:eastAsia="仿宋_GB2312" w:cs="仿宋_GB2312"/>
          <w:sz w:val="32"/>
          <w:szCs w:val="32"/>
          <w:highlight w:val="none"/>
        </w:rPr>
      </w:pPr>
      <w:r>
        <w:rPr>
          <w:rFonts w:ascii="Times New Roman" w:hAnsi="Times New Roman" w:eastAsia="仿宋_GB2312" w:cs="仿宋_GB2312"/>
          <w:sz w:val="32"/>
          <w:szCs w:val="32"/>
          <w:highlight w:val="none"/>
        </w:rPr>
        <w:t>21.</w:t>
      </w:r>
      <w:r>
        <w:rPr>
          <w:rFonts w:hint="eastAsia" w:ascii="Times New Roman" w:hAnsi="Times New Roman" w:eastAsia="仿宋_GB2312" w:cs="仿宋_GB2312"/>
          <w:sz w:val="32"/>
          <w:szCs w:val="32"/>
          <w:highlight w:val="none"/>
        </w:rPr>
        <w:t>未取得排污许可证排放污染物</w:t>
      </w:r>
    </w:p>
    <w:p>
      <w:pPr>
        <w:snapToGrid w:val="0"/>
        <w:spacing w:line="560" w:lineRule="exact"/>
        <w:ind w:firstLine="640" w:firstLineChars="200"/>
        <w:rPr>
          <w:rFonts w:ascii="Times New Roman" w:hAnsi="Times New Roman" w:eastAsia="仿宋_GB2312" w:cs="仿宋_GB2312"/>
          <w:sz w:val="32"/>
          <w:szCs w:val="32"/>
          <w:highlight w:val="none"/>
        </w:rPr>
      </w:pPr>
      <w:r>
        <w:rPr>
          <w:rFonts w:ascii="Times New Roman" w:hAnsi="Times New Roman" w:eastAsia="仿宋_GB2312" w:cs="仿宋_GB2312"/>
          <w:sz w:val="32"/>
          <w:szCs w:val="32"/>
          <w:highlight w:val="none"/>
        </w:rPr>
        <w:t>22.</w:t>
      </w:r>
      <w:r>
        <w:rPr>
          <w:rFonts w:hint="eastAsia"/>
          <w:highlight w:val="none"/>
        </w:rPr>
        <w:t xml:space="preserve"> </w:t>
      </w:r>
      <w:r>
        <w:rPr>
          <w:rFonts w:hint="eastAsia" w:ascii="Times New Roman" w:hAnsi="Times New Roman" w:eastAsia="仿宋_GB2312" w:cs="仿宋_GB2312"/>
          <w:sz w:val="32"/>
          <w:szCs w:val="32"/>
          <w:highlight w:val="none"/>
        </w:rPr>
        <w:t>超过许可排放浓度、许可排放量排放污染物</w:t>
      </w:r>
    </w:p>
    <w:p>
      <w:pPr>
        <w:snapToGrid w:val="0"/>
        <w:spacing w:line="560" w:lineRule="exact"/>
        <w:ind w:firstLine="640" w:firstLineChars="200"/>
        <w:rPr>
          <w:rFonts w:ascii="Times New Roman" w:hAnsi="Times New Roman" w:eastAsia="仿宋_GB2312" w:cs="仿宋_GB2312"/>
          <w:sz w:val="32"/>
          <w:szCs w:val="32"/>
          <w:highlight w:val="none"/>
        </w:rPr>
      </w:pPr>
      <w:r>
        <w:rPr>
          <w:rFonts w:ascii="Times New Roman" w:hAnsi="Times New Roman" w:eastAsia="仿宋_GB2312" w:cs="仿宋_GB2312"/>
          <w:sz w:val="32"/>
          <w:szCs w:val="32"/>
          <w:highlight w:val="none"/>
        </w:rPr>
        <w:t>23.</w:t>
      </w:r>
      <w:r>
        <w:rPr>
          <w:rFonts w:hint="eastAsia"/>
          <w:highlight w:val="none"/>
        </w:rPr>
        <w:t xml:space="preserve"> </w:t>
      </w:r>
      <w:r>
        <w:rPr>
          <w:rFonts w:hint="eastAsia" w:ascii="Times New Roman" w:hAnsi="Times New Roman" w:eastAsia="仿宋_GB2312" w:cs="仿宋_GB2312"/>
          <w:sz w:val="32"/>
          <w:szCs w:val="32"/>
          <w:highlight w:val="none"/>
        </w:rPr>
        <w:t>通过暗管、渗井、渗坑、灌注或者篡改、伪造监测数据，或者不正常运行污染防治设施等逃避监管的方式违法排放污染物</w:t>
      </w:r>
    </w:p>
    <w:p>
      <w:pPr>
        <w:snapToGrid w:val="0"/>
        <w:spacing w:line="560" w:lineRule="exact"/>
        <w:ind w:firstLine="640" w:firstLineChars="200"/>
        <w:rPr>
          <w:rFonts w:ascii="Times New Roman" w:hAnsi="Times New Roman" w:eastAsia="仿宋_GB2312" w:cs="仿宋_GB2312"/>
          <w:sz w:val="32"/>
          <w:szCs w:val="32"/>
          <w:highlight w:val="none"/>
        </w:rPr>
      </w:pPr>
      <w:r>
        <w:rPr>
          <w:rFonts w:ascii="Times New Roman" w:hAnsi="Times New Roman" w:eastAsia="仿宋_GB2312" w:cs="仿宋_GB2312"/>
          <w:sz w:val="32"/>
          <w:szCs w:val="32"/>
          <w:highlight w:val="none"/>
        </w:rPr>
        <w:t>24</w:t>
      </w:r>
      <w:r>
        <w:rPr>
          <w:rFonts w:hint="eastAsia" w:ascii="Times New Roman" w:hAnsi="Times New Roman" w:eastAsia="仿宋_GB2312" w:cs="仿宋_GB2312"/>
          <w:sz w:val="32"/>
          <w:szCs w:val="32"/>
          <w:highlight w:val="none"/>
        </w:rPr>
        <w:t>.</w:t>
      </w:r>
      <w:r>
        <w:rPr>
          <w:rFonts w:hint="eastAsia"/>
          <w:highlight w:val="none"/>
        </w:rPr>
        <w:t xml:space="preserve"> </w:t>
      </w:r>
      <w:r>
        <w:rPr>
          <w:rFonts w:hint="eastAsia" w:ascii="Times New Roman" w:hAnsi="Times New Roman" w:eastAsia="仿宋_GB2312" w:cs="仿宋_GB2312"/>
          <w:sz w:val="32"/>
          <w:szCs w:val="32"/>
          <w:highlight w:val="none"/>
        </w:rPr>
        <w:t>未按照排污许可证规定控制大气污染物无组织排放</w:t>
      </w:r>
    </w:p>
    <w:p>
      <w:pPr>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25</w:t>
      </w:r>
      <w:r>
        <w:rPr>
          <w:rFonts w:hint="eastAsia" w:ascii="Times New Roman" w:hAnsi="Times New Roman" w:eastAsia="仿宋_GB2312" w:cs="Times New Roman"/>
          <w:sz w:val="32"/>
          <w:szCs w:val="32"/>
          <w:highlight w:val="none"/>
        </w:rPr>
        <w:t>.</w:t>
      </w:r>
      <w:r>
        <w:rPr>
          <w:rFonts w:hint="eastAsia"/>
          <w:highlight w:val="none"/>
        </w:rPr>
        <w:t xml:space="preserve"> </w:t>
      </w:r>
      <w:r>
        <w:rPr>
          <w:rFonts w:hint="eastAsia" w:ascii="Times New Roman" w:hAnsi="Times New Roman" w:eastAsia="仿宋_GB2312" w:cs="Times New Roman"/>
          <w:sz w:val="32"/>
          <w:szCs w:val="32"/>
          <w:highlight w:val="none"/>
        </w:rPr>
        <w:t>特殊时段未按照排污许可证规定停止或者限制排放污染物</w:t>
      </w:r>
    </w:p>
    <w:p>
      <w:pPr>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26</w:t>
      </w:r>
      <w:r>
        <w:rPr>
          <w:rFonts w:hint="eastAsia" w:ascii="Times New Roman" w:hAnsi="Times New Roman" w:eastAsia="仿宋_GB2312" w:cs="Times New Roman"/>
          <w:sz w:val="32"/>
          <w:szCs w:val="32"/>
          <w:highlight w:val="none"/>
        </w:rPr>
        <w:t>.</w:t>
      </w:r>
      <w:r>
        <w:rPr>
          <w:rFonts w:hint="eastAsia"/>
          <w:highlight w:val="none"/>
        </w:rPr>
        <w:t xml:space="preserve"> </w:t>
      </w:r>
      <w:r>
        <w:rPr>
          <w:rFonts w:hint="eastAsia" w:ascii="Times New Roman" w:hAnsi="Times New Roman" w:eastAsia="仿宋_GB2312" w:cs="Times New Roman"/>
          <w:sz w:val="32"/>
          <w:szCs w:val="32"/>
          <w:highlight w:val="none"/>
        </w:rPr>
        <w:t>污染物排放口位置或者数量不符合排污许可证规定</w:t>
      </w:r>
    </w:p>
    <w:p>
      <w:pPr>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27</w:t>
      </w:r>
      <w:r>
        <w:rPr>
          <w:rFonts w:hint="eastAsia" w:ascii="Times New Roman" w:hAnsi="Times New Roman" w:eastAsia="仿宋_GB2312" w:cs="Times New Roman"/>
          <w:sz w:val="32"/>
          <w:szCs w:val="32"/>
          <w:highlight w:val="none"/>
        </w:rPr>
        <w:t>.</w:t>
      </w:r>
      <w:r>
        <w:rPr>
          <w:rFonts w:hint="eastAsia"/>
          <w:highlight w:val="none"/>
        </w:rPr>
        <w:t xml:space="preserve"> </w:t>
      </w:r>
      <w:r>
        <w:rPr>
          <w:rFonts w:hint="eastAsia" w:ascii="Times New Roman" w:hAnsi="Times New Roman" w:eastAsia="仿宋_GB2312" w:cs="Times New Roman"/>
          <w:sz w:val="32"/>
          <w:szCs w:val="32"/>
          <w:highlight w:val="none"/>
        </w:rPr>
        <w:t>污染物排放方式或者排放去向不符合排污许可证规定</w:t>
      </w:r>
    </w:p>
    <w:p>
      <w:pPr>
        <w:snapToGrid w:val="0"/>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w:t>
      </w:r>
      <w:r>
        <w:rPr>
          <w:rFonts w:ascii="Times New Roman" w:hAnsi="Times New Roman" w:eastAsia="仿宋_GB2312" w:cs="Times New Roman"/>
          <w:sz w:val="32"/>
          <w:szCs w:val="32"/>
          <w:highlight w:val="none"/>
        </w:rPr>
        <w:t>8</w:t>
      </w:r>
      <w:r>
        <w:rPr>
          <w:rFonts w:hint="eastAsia" w:ascii="Times New Roman" w:hAnsi="Times New Roman" w:eastAsia="仿宋_GB2312" w:cs="Times New Roman"/>
          <w:sz w:val="32"/>
          <w:szCs w:val="32"/>
          <w:highlight w:val="none"/>
        </w:rPr>
        <w:t>.</w:t>
      </w:r>
      <w:r>
        <w:rPr>
          <w:rFonts w:hint="eastAsia"/>
          <w:highlight w:val="none"/>
        </w:rPr>
        <w:t xml:space="preserve"> </w:t>
      </w:r>
      <w:r>
        <w:rPr>
          <w:rFonts w:hint="eastAsia" w:ascii="Times New Roman" w:hAnsi="Times New Roman" w:eastAsia="仿宋_GB2312" w:cs="Times New Roman"/>
          <w:sz w:val="32"/>
          <w:szCs w:val="32"/>
          <w:highlight w:val="none"/>
        </w:rPr>
        <w:t>损毁或者擅自移动、改变污染物排放自动监测设备</w:t>
      </w:r>
    </w:p>
    <w:p>
      <w:pPr>
        <w:snapToGrid w:val="0"/>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w:t>
      </w:r>
      <w:r>
        <w:rPr>
          <w:rFonts w:ascii="Times New Roman" w:hAnsi="Times New Roman" w:eastAsia="仿宋_GB2312" w:cs="Times New Roman"/>
          <w:sz w:val="32"/>
          <w:szCs w:val="32"/>
          <w:highlight w:val="none"/>
        </w:rPr>
        <w:t>9</w:t>
      </w:r>
      <w:r>
        <w:rPr>
          <w:rFonts w:hint="eastAsia" w:ascii="Times New Roman" w:hAnsi="Times New Roman" w:eastAsia="仿宋_GB2312" w:cs="Times New Roman"/>
          <w:sz w:val="32"/>
          <w:szCs w:val="32"/>
          <w:highlight w:val="none"/>
        </w:rPr>
        <w:t>.</w:t>
      </w:r>
      <w:r>
        <w:rPr>
          <w:rFonts w:hint="eastAsia"/>
          <w:highlight w:val="none"/>
        </w:rPr>
        <w:t xml:space="preserve"> </w:t>
      </w:r>
      <w:r>
        <w:rPr>
          <w:rFonts w:hint="eastAsia" w:ascii="Times New Roman" w:hAnsi="Times New Roman" w:eastAsia="仿宋_GB2312" w:cs="Times New Roman"/>
          <w:sz w:val="32"/>
          <w:szCs w:val="32"/>
          <w:highlight w:val="none"/>
        </w:rPr>
        <w:t>未按照排污许可证规定安装、使用污染物排放自动监测设备并与生态环境主管部门的监控设备联网，或者未保证污染物排放自动监测设备正常运行</w:t>
      </w:r>
    </w:p>
    <w:p>
      <w:pPr>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30</w:t>
      </w:r>
      <w:r>
        <w:rPr>
          <w:rFonts w:hint="eastAsia" w:ascii="Times New Roman" w:hAnsi="Times New Roman" w:eastAsia="仿宋_GB2312" w:cs="Times New Roman"/>
          <w:sz w:val="32"/>
          <w:szCs w:val="32"/>
          <w:highlight w:val="none"/>
        </w:rPr>
        <w:t>. 未按照排污许可证规定制定自行监测方案并开展自行监测</w:t>
      </w:r>
    </w:p>
    <w:p>
      <w:pPr>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31.</w:t>
      </w:r>
      <w:r>
        <w:rPr>
          <w:rFonts w:hint="eastAsia" w:ascii="Times New Roman" w:hAnsi="Times New Roman" w:eastAsia="仿宋_GB2312" w:cs="Times New Roman"/>
          <w:sz w:val="32"/>
          <w:szCs w:val="32"/>
          <w:highlight w:val="none"/>
        </w:rPr>
        <w:t xml:space="preserve"> 未按照排污许可证规定保存原始监测记录</w:t>
      </w:r>
    </w:p>
    <w:p>
      <w:pPr>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32</w:t>
      </w:r>
      <w:r>
        <w:rPr>
          <w:rFonts w:hint="eastAsia" w:ascii="Times New Roman" w:hAnsi="Times New Roman" w:eastAsia="仿宋_GB2312" w:cs="Times New Roman"/>
          <w:sz w:val="32"/>
          <w:szCs w:val="32"/>
          <w:highlight w:val="none"/>
        </w:rPr>
        <w:t>. 未按照排污许可证规定公开或者不如实公开污染物排放信息</w:t>
      </w:r>
    </w:p>
    <w:p>
      <w:pPr>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33.</w:t>
      </w:r>
      <w:r>
        <w:rPr>
          <w:rFonts w:hint="eastAsia" w:ascii="Times New Roman" w:hAnsi="Times New Roman" w:eastAsia="仿宋_GB2312" w:cs="Times New Roman"/>
          <w:sz w:val="32"/>
          <w:szCs w:val="32"/>
          <w:highlight w:val="none"/>
        </w:rPr>
        <w:t xml:space="preserve"> 发现污染物排放自动监测设备传输数据异常或者污染物排放超过污染物排放标准等异常情况不报告</w:t>
      </w:r>
    </w:p>
    <w:p>
      <w:pPr>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34</w:t>
      </w:r>
      <w:r>
        <w:rPr>
          <w:rFonts w:hint="eastAsia" w:ascii="Times New Roman" w:hAnsi="Times New Roman" w:eastAsia="仿宋_GB2312" w:cs="Times New Roman"/>
          <w:sz w:val="32"/>
          <w:szCs w:val="32"/>
          <w:highlight w:val="none"/>
        </w:rPr>
        <w:t>.</w:t>
      </w:r>
      <w:r>
        <w:rPr>
          <w:rFonts w:hint="eastAsia"/>
          <w:highlight w:val="none"/>
        </w:rPr>
        <w:t xml:space="preserve"> </w:t>
      </w:r>
      <w:r>
        <w:rPr>
          <w:rFonts w:hint="eastAsia" w:ascii="Times New Roman" w:hAnsi="Times New Roman" w:eastAsia="仿宋_GB2312" w:cs="Times New Roman"/>
          <w:sz w:val="32"/>
          <w:szCs w:val="32"/>
          <w:highlight w:val="none"/>
        </w:rPr>
        <w:t>未建立环境管理台账记录制度，或者未按照排污许可证规定记录</w:t>
      </w:r>
    </w:p>
    <w:p>
      <w:pPr>
        <w:snapToGrid w:val="0"/>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3</w:t>
      </w:r>
      <w:r>
        <w:rPr>
          <w:rFonts w:ascii="Times New Roman" w:hAnsi="Times New Roman" w:eastAsia="仿宋_GB2312" w:cs="Times New Roman"/>
          <w:sz w:val="32"/>
          <w:szCs w:val="32"/>
          <w:highlight w:val="none"/>
        </w:rPr>
        <w:t>5</w:t>
      </w:r>
      <w:r>
        <w:rPr>
          <w:rFonts w:hint="eastAsia" w:ascii="Times New Roman" w:hAnsi="Times New Roman" w:eastAsia="仿宋_GB2312" w:cs="Times New Roman"/>
          <w:sz w:val="32"/>
          <w:szCs w:val="32"/>
          <w:highlight w:val="none"/>
        </w:rPr>
        <w:t>.</w:t>
      </w:r>
      <w:r>
        <w:rPr>
          <w:rFonts w:hint="eastAsia"/>
          <w:highlight w:val="none"/>
        </w:rPr>
        <w:t xml:space="preserve"> </w:t>
      </w:r>
      <w:r>
        <w:rPr>
          <w:rFonts w:hint="eastAsia" w:ascii="Times New Roman" w:hAnsi="Times New Roman" w:eastAsia="仿宋_GB2312" w:cs="Times New Roman"/>
          <w:sz w:val="32"/>
          <w:szCs w:val="32"/>
          <w:highlight w:val="none"/>
        </w:rPr>
        <w:t>未如实记录主要生产设施及污染防治设施运行情况或者污染物排放浓度、排放量</w:t>
      </w:r>
    </w:p>
    <w:p>
      <w:pPr>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36</w:t>
      </w:r>
      <w:r>
        <w:rPr>
          <w:rFonts w:hint="eastAsia" w:ascii="Times New Roman" w:hAnsi="Times New Roman" w:eastAsia="仿宋_GB2312" w:cs="Times New Roman"/>
          <w:sz w:val="32"/>
          <w:szCs w:val="32"/>
          <w:highlight w:val="none"/>
        </w:rPr>
        <w:t>. 未按照排污许可证规定提交排污许可证执行报告</w:t>
      </w:r>
    </w:p>
    <w:p>
      <w:pPr>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37</w:t>
      </w:r>
      <w:r>
        <w:rPr>
          <w:rFonts w:hint="eastAsia" w:ascii="Times New Roman" w:hAnsi="Times New Roman" w:eastAsia="仿宋_GB2312" w:cs="Times New Roman"/>
          <w:sz w:val="32"/>
          <w:szCs w:val="32"/>
          <w:highlight w:val="none"/>
        </w:rPr>
        <w:t>. 未如实报告污染物排放行为或者污染物排放浓度、排放量</w:t>
      </w:r>
    </w:p>
    <w:p>
      <w:pPr>
        <w:snapToGrid w:val="0"/>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3</w:t>
      </w:r>
      <w:r>
        <w:rPr>
          <w:rFonts w:ascii="Times New Roman" w:hAnsi="Times New Roman" w:eastAsia="仿宋_GB2312" w:cs="Times New Roman"/>
          <w:sz w:val="32"/>
          <w:szCs w:val="32"/>
          <w:highlight w:val="none"/>
        </w:rPr>
        <w:t>8</w:t>
      </w:r>
      <w:r>
        <w:rPr>
          <w:rFonts w:hint="eastAsia" w:ascii="Times New Roman" w:hAnsi="Times New Roman" w:eastAsia="仿宋_GB2312" w:cs="Times New Roman"/>
          <w:sz w:val="32"/>
          <w:szCs w:val="32"/>
          <w:highlight w:val="none"/>
        </w:rPr>
        <w:t>. 排污单位拒不配合生态环境主管部门监督检查，或者在接受监督检查时弄虚作假</w:t>
      </w:r>
    </w:p>
    <w:p>
      <w:pPr>
        <w:snapToGrid w:val="0"/>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3</w:t>
      </w:r>
      <w:r>
        <w:rPr>
          <w:rFonts w:ascii="Times New Roman" w:hAnsi="Times New Roman" w:eastAsia="仿宋_GB2312" w:cs="Times New Roman"/>
          <w:sz w:val="32"/>
          <w:szCs w:val="32"/>
          <w:highlight w:val="none"/>
        </w:rPr>
        <w:t>9</w:t>
      </w:r>
      <w:r>
        <w:rPr>
          <w:rFonts w:hint="eastAsia" w:ascii="Times New Roman" w:hAnsi="Times New Roman" w:eastAsia="仿宋_GB2312" w:cs="Times New Roman"/>
          <w:sz w:val="32"/>
          <w:szCs w:val="32"/>
          <w:highlight w:val="none"/>
        </w:rPr>
        <w:t>. 伪造、变造、转让排污许可证的</w:t>
      </w:r>
    </w:p>
    <w:p>
      <w:pPr>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40</w:t>
      </w:r>
      <w:r>
        <w:rPr>
          <w:rFonts w:hint="eastAsia" w:ascii="Times New Roman" w:hAnsi="Times New Roman" w:eastAsia="仿宋_GB2312" w:cs="Times New Roman"/>
          <w:sz w:val="32"/>
          <w:szCs w:val="32"/>
          <w:highlight w:val="none"/>
        </w:rPr>
        <w:t>. 需要填报排污登记表的企业事业单位和其他生产经营者，未依照本条例规定填报排污信息的</w:t>
      </w:r>
    </w:p>
    <w:p>
      <w:pPr>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41</w:t>
      </w:r>
      <w:r>
        <w:rPr>
          <w:rFonts w:hint="eastAsia" w:ascii="Times New Roman" w:hAnsi="Times New Roman" w:eastAsia="仿宋_GB2312" w:cs="Times New Roman"/>
          <w:sz w:val="32"/>
          <w:szCs w:val="32"/>
          <w:highlight w:val="none"/>
        </w:rPr>
        <w:t>.</w:t>
      </w:r>
      <w:r>
        <w:rPr>
          <w:rFonts w:hint="eastAsia"/>
          <w:highlight w:val="none"/>
        </w:rPr>
        <w:t xml:space="preserve"> </w:t>
      </w:r>
      <w:r>
        <w:rPr>
          <w:rFonts w:hint="eastAsia" w:ascii="Times New Roman" w:hAnsi="Times New Roman" w:eastAsia="仿宋_GB2312" w:cs="Times New Roman"/>
          <w:sz w:val="32"/>
          <w:szCs w:val="32"/>
          <w:highlight w:val="none"/>
        </w:rPr>
        <w:t>未按规定开展突发环境事件风险评估工作，确定风险等级的</w:t>
      </w:r>
    </w:p>
    <w:p>
      <w:pPr>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42</w:t>
      </w:r>
      <w:r>
        <w:rPr>
          <w:rFonts w:hint="eastAsia" w:ascii="Times New Roman" w:hAnsi="Times New Roman" w:eastAsia="仿宋_GB2312" w:cs="Times New Roman"/>
          <w:sz w:val="32"/>
          <w:szCs w:val="32"/>
          <w:highlight w:val="none"/>
        </w:rPr>
        <w:t>.</w:t>
      </w:r>
      <w:r>
        <w:rPr>
          <w:rFonts w:hint="eastAsia"/>
          <w:highlight w:val="none"/>
        </w:rPr>
        <w:t xml:space="preserve"> </w:t>
      </w:r>
      <w:r>
        <w:rPr>
          <w:rFonts w:hint="eastAsia" w:ascii="Times New Roman" w:hAnsi="Times New Roman" w:eastAsia="仿宋_GB2312" w:cs="Times New Roman"/>
          <w:sz w:val="32"/>
          <w:szCs w:val="32"/>
          <w:highlight w:val="none"/>
        </w:rPr>
        <w:t>未按规定开展环境安全隐患排查治理工作，建立隐患排查治理档案的</w:t>
      </w:r>
    </w:p>
    <w:p>
      <w:pPr>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43</w:t>
      </w:r>
      <w:r>
        <w:rPr>
          <w:rFonts w:hint="eastAsia" w:ascii="Times New Roman" w:hAnsi="Times New Roman" w:eastAsia="仿宋_GB2312" w:cs="Times New Roman"/>
          <w:sz w:val="32"/>
          <w:szCs w:val="32"/>
          <w:highlight w:val="none"/>
        </w:rPr>
        <w:t>.</w:t>
      </w:r>
      <w:r>
        <w:rPr>
          <w:rFonts w:hint="eastAsia"/>
          <w:highlight w:val="none"/>
        </w:rPr>
        <w:t xml:space="preserve"> </w:t>
      </w:r>
      <w:r>
        <w:rPr>
          <w:rFonts w:hint="eastAsia" w:ascii="Times New Roman" w:hAnsi="Times New Roman" w:eastAsia="仿宋_GB2312" w:cs="Times New Roman"/>
          <w:sz w:val="32"/>
          <w:szCs w:val="32"/>
          <w:highlight w:val="none"/>
        </w:rPr>
        <w:t>未按规定将突发环境事件应急预案备案的</w:t>
      </w:r>
    </w:p>
    <w:p>
      <w:pPr>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44</w:t>
      </w:r>
      <w:r>
        <w:rPr>
          <w:rFonts w:hint="eastAsia" w:ascii="Times New Roman" w:hAnsi="Times New Roman" w:eastAsia="仿宋_GB2312" w:cs="Times New Roman"/>
          <w:sz w:val="32"/>
          <w:szCs w:val="32"/>
          <w:highlight w:val="none"/>
        </w:rPr>
        <w:t>.</w:t>
      </w:r>
      <w:r>
        <w:rPr>
          <w:rFonts w:hint="eastAsia"/>
          <w:highlight w:val="none"/>
        </w:rPr>
        <w:t xml:space="preserve"> </w:t>
      </w:r>
      <w:r>
        <w:rPr>
          <w:rFonts w:hint="eastAsia" w:ascii="Times New Roman" w:hAnsi="Times New Roman" w:eastAsia="仿宋_GB2312" w:cs="Times New Roman"/>
          <w:sz w:val="32"/>
          <w:szCs w:val="32"/>
          <w:highlight w:val="none"/>
        </w:rPr>
        <w:t>未按规定开展突发环境事件应急培训，如实记录培训情况的</w:t>
      </w:r>
    </w:p>
    <w:p>
      <w:pPr>
        <w:snapToGrid w:val="0"/>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4</w:t>
      </w:r>
      <w:r>
        <w:rPr>
          <w:rFonts w:ascii="Times New Roman" w:hAnsi="Times New Roman" w:eastAsia="仿宋_GB2312" w:cs="Times New Roman"/>
          <w:sz w:val="32"/>
          <w:szCs w:val="32"/>
          <w:highlight w:val="none"/>
        </w:rPr>
        <w:t>5.</w:t>
      </w:r>
      <w:r>
        <w:rPr>
          <w:rFonts w:hint="eastAsia"/>
          <w:highlight w:val="none"/>
        </w:rPr>
        <w:t xml:space="preserve"> </w:t>
      </w:r>
      <w:r>
        <w:rPr>
          <w:rFonts w:hint="eastAsia" w:ascii="Times New Roman" w:hAnsi="Times New Roman" w:eastAsia="仿宋_GB2312" w:cs="Times New Roman"/>
          <w:sz w:val="32"/>
          <w:szCs w:val="32"/>
          <w:highlight w:val="none"/>
        </w:rPr>
        <w:t>未按规定储备必要的环境应急装备和物资</w:t>
      </w:r>
    </w:p>
    <w:p>
      <w:pPr>
        <w:snapToGrid w:val="0"/>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4</w:t>
      </w:r>
      <w:r>
        <w:rPr>
          <w:rFonts w:ascii="Times New Roman" w:hAnsi="Times New Roman" w:eastAsia="仿宋_GB2312" w:cs="Times New Roman"/>
          <w:sz w:val="32"/>
          <w:szCs w:val="32"/>
          <w:highlight w:val="none"/>
        </w:rPr>
        <w:t>6</w:t>
      </w:r>
      <w:r>
        <w:rPr>
          <w:rFonts w:hint="eastAsia" w:ascii="Times New Roman" w:hAnsi="Times New Roman" w:eastAsia="仿宋_GB2312" w:cs="Times New Roman"/>
          <w:sz w:val="32"/>
          <w:szCs w:val="32"/>
          <w:highlight w:val="none"/>
        </w:rPr>
        <w:t>.</w:t>
      </w:r>
      <w:r>
        <w:rPr>
          <w:rFonts w:hint="eastAsia"/>
          <w:highlight w:val="none"/>
        </w:rPr>
        <w:t xml:space="preserve"> </w:t>
      </w:r>
      <w:r>
        <w:rPr>
          <w:rFonts w:hint="eastAsia" w:ascii="Times New Roman" w:hAnsi="Times New Roman" w:eastAsia="仿宋_GB2312" w:cs="Times New Roman"/>
          <w:sz w:val="32"/>
          <w:szCs w:val="32"/>
          <w:highlight w:val="none"/>
        </w:rPr>
        <w:t>未按规定公开突发环境事件相关信息的</w:t>
      </w:r>
    </w:p>
    <w:p>
      <w:pPr>
        <w:snapToGrid w:val="0"/>
        <w:spacing w:line="560" w:lineRule="exact"/>
        <w:ind w:firstLine="640" w:firstLineChars="200"/>
        <w:rPr>
          <w:rFonts w:ascii="Times New Roman" w:hAnsi="Times New Roman" w:eastAsia="仿宋_GB2312" w:cs="Times New Roman"/>
          <w:sz w:val="32"/>
          <w:szCs w:val="32"/>
          <w:highlight w:val="none"/>
        </w:rPr>
      </w:pPr>
    </w:p>
    <w:p>
      <w:pPr>
        <w:widowControl/>
        <w:snapToGrid w:val="0"/>
        <w:jc w:val="left"/>
        <w:rPr>
          <w:rFonts w:ascii="Times New Roman" w:hAnsi="Times New Roman" w:cs="Times New Roman"/>
          <w:sz w:val="32"/>
          <w:szCs w:val="32"/>
          <w:highlight w:val="none"/>
        </w:rPr>
      </w:pPr>
    </w:p>
    <w:tbl>
      <w:tblPr>
        <w:tblStyle w:val="14"/>
        <w:tblpPr w:leftFromText="180" w:rightFromText="180" w:horzAnchor="margin" w:tblpY="915"/>
        <w:tblW w:w="92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（八）其他类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拒绝、阻挠监督检查，或者在接受监督检查时弄虚作假的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w:t>
            </w:r>
            <w:r>
              <w:rPr>
                <w:rFonts w:ascii="Times New Roman" w:hAnsi="Times New Roman" w:eastAsia="仿宋_GB2312" w:cs="仿宋_GB2312"/>
                <w:b/>
                <w:bCs/>
                <w:sz w:val="21"/>
                <w:szCs w:val="21"/>
                <w:highlight w:val="none"/>
              </w:rPr>
              <w:t>共和国噪声污染防治法</w:t>
            </w:r>
            <w:r>
              <w:rPr>
                <w:rFonts w:hint="eastAsia" w:ascii="Times New Roman" w:hAnsi="Times New Roman" w:eastAsia="仿宋_GB2312" w:cs="仿宋_GB2312"/>
                <w:b/>
                <w:bCs/>
                <w:sz w:val="21"/>
                <w:szCs w:val="21"/>
                <w:highlight w:val="none"/>
              </w:rPr>
              <w:t>》第二十九条第一款</w:t>
            </w:r>
            <w:r>
              <w:rPr>
                <w:rFonts w:ascii="Times New Roman" w:hAnsi="Times New Roman" w:eastAsia="仿宋_GB2312" w:cs="Times New Roman"/>
                <w:sz w:val="21"/>
                <w:szCs w:val="21"/>
                <w:highlight w:val="none"/>
              </w:rPr>
              <w:t xml:space="preserve">  </w:t>
            </w:r>
            <w:r>
              <w:rPr>
                <w:rFonts w:ascii="Times New Roman" w:hAnsi="Times New Roman" w:eastAsia="仿宋_GB2312" w:cs="仿宋_GB2312"/>
                <w:sz w:val="21"/>
                <w:szCs w:val="21"/>
                <w:highlight w:val="none"/>
              </w:rPr>
              <w:t>生态环境主管部门和其他负有噪声污染防治监督管理职责的部门，有权对排放噪声的单位或者场所进行现场检查。被检查者应当如实反映情况，提供必要的资料，不得拒绝或者阻挠。实施检查的部门、人员对现场检查中知悉的商业秘密应当保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w:t>
            </w:r>
            <w:r>
              <w:rPr>
                <w:rFonts w:ascii="Times New Roman" w:hAnsi="Times New Roman" w:eastAsia="仿宋_GB2312" w:cs="仿宋_GB2312"/>
                <w:b/>
                <w:bCs/>
                <w:sz w:val="21"/>
                <w:szCs w:val="21"/>
                <w:highlight w:val="none"/>
              </w:rPr>
              <w:t>共和国噪声污染防治法</w:t>
            </w:r>
            <w:r>
              <w:rPr>
                <w:rFonts w:hint="eastAsia" w:ascii="Times New Roman" w:hAnsi="Times New Roman" w:eastAsia="仿宋_GB2312" w:cs="仿宋_GB2312"/>
                <w:b/>
                <w:bCs/>
                <w:sz w:val="21"/>
                <w:szCs w:val="21"/>
                <w:highlight w:val="none"/>
              </w:rPr>
              <w:t>》第七十一条</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违反本法规定，拒绝、阻挠监督检查，或者在接受监督检查时弄虚作假的，由生态环境主管部门或者其他负有噪声污染防治监督管理职责的部门责令改正，处二万元以上二十万元以下的罚款。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8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违法事实</w:t>
            </w:r>
            <w:r>
              <w:rPr>
                <w:rFonts w:hint="eastAsia" w:ascii="Times New Roman" w:hAnsi="Times New Roman" w:cs="宋体"/>
                <w:b/>
                <w:bCs/>
                <w:color w:val="000000"/>
                <w:highlight w:val="none"/>
              </w:rPr>
              <w:t>★</w:t>
            </w:r>
          </w:p>
        </w:tc>
        <w:tc>
          <w:tcPr>
            <w:tcW w:w="5213"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迟滞</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分钟以上</w:t>
            </w:r>
            <w:r>
              <w:rPr>
                <w:rFonts w:ascii="Times New Roman" w:hAnsi="Times New Roman" w:eastAsia="仿宋_GB2312" w:cs="Times New Roman"/>
                <w:sz w:val="21"/>
                <w:szCs w:val="21"/>
                <w:highlight w:val="none"/>
              </w:rPr>
              <w:t>30</w:t>
            </w:r>
            <w:r>
              <w:rPr>
                <w:rFonts w:hint="eastAsia" w:ascii="Times New Roman" w:hAnsi="Times New Roman" w:eastAsia="仿宋_GB2312" w:cs="仿宋_GB2312"/>
                <w:sz w:val="21"/>
                <w:szCs w:val="21"/>
                <w:highlight w:val="none"/>
              </w:rPr>
              <w:t>分钟以内/提供非关键性假信息</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迟滞超过半小时</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阻碍或隐匿部分资料/提供假信息</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围堵、滞留执法人员或拒绝提供资料</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暴力抗法/伪造现场或证据</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tcPr>
          <w:p>
            <w:pPr>
              <w:snapToGrid w:val="0"/>
              <w:ind w:firstLine="420"/>
              <w:jc w:val="center"/>
              <w:rPr>
                <w:rFonts w:ascii="Times New Roman" w:hAnsi="Times New Roman" w:cs="Times New Roman"/>
                <w:highlight w:val="none"/>
              </w:rPr>
            </w:pPr>
          </w:p>
        </w:tc>
      </w:tr>
    </w:tbl>
    <w:p>
      <w:pPr>
        <w:widowControl/>
        <w:snapToGrid w:val="0"/>
        <w:jc w:val="left"/>
        <w:rPr>
          <w:rFonts w:ascii="Times New Roman" w:hAnsi="Times New Roman" w:cs="Times New Roman"/>
          <w:sz w:val="32"/>
          <w:szCs w:val="32"/>
          <w:highlight w:val="none"/>
        </w:rPr>
      </w:pPr>
    </w:p>
    <w:p>
      <w:pPr>
        <w:widowControl/>
        <w:snapToGrid w:val="0"/>
        <w:jc w:val="left"/>
        <w:rPr>
          <w:rFonts w:ascii="Times New Roman" w:hAnsi="Times New Roman" w:cs="Times New Roman"/>
          <w:sz w:val="32"/>
          <w:szCs w:val="32"/>
          <w:highlight w:val="none"/>
        </w:rPr>
      </w:pPr>
      <w:r>
        <w:rPr>
          <w:rFonts w:ascii="Times New Roman" w:hAnsi="Times New Roman" w:cs="Times New Roman"/>
          <w:sz w:val="32"/>
          <w:szCs w:val="32"/>
          <w:highlight w:val="none"/>
        </w:rPr>
        <w:br w:type="page"/>
      </w:r>
    </w:p>
    <w:tbl>
      <w:tblPr>
        <w:tblStyle w:val="14"/>
        <w:tblW w:w="9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463"/>
        <w:gridCol w:w="2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8" w:type="dxa"/>
            <w:gridSpan w:val="3"/>
            <w:vAlign w:val="center"/>
          </w:tcPr>
          <w:p>
            <w:pPr>
              <w:widowControl/>
              <w:snapToGrid w:val="0"/>
              <w:jc w:val="center"/>
              <w:rPr>
                <w:rFonts w:ascii="Times New Roman" w:hAnsi="Times New Roman" w:cs="Times New Roman"/>
                <w:highlight w:val="none"/>
              </w:rPr>
            </w:pPr>
            <w:r>
              <w:rPr>
                <w:rFonts w:ascii="Times New Roman" w:hAnsi="Times New Roman" w:cs="Times New Roman"/>
                <w:sz w:val="32"/>
                <w:szCs w:val="32"/>
                <w:highlight w:val="none"/>
              </w:rPr>
              <w:br w:type="page"/>
            </w:r>
            <w:r>
              <w:rPr>
                <w:rFonts w:hint="eastAsia" w:ascii="Times New Roman" w:hAnsi="Times New Roman" w:eastAsia="仿宋_GB2312" w:cs="仿宋_GB2312"/>
                <w:b/>
                <w:bCs/>
                <w:sz w:val="32"/>
                <w:szCs w:val="32"/>
                <w:highlight w:val="none"/>
              </w:rPr>
              <w:t>（八）其他类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tabs>
                <w:tab w:val="center" w:pos="3843"/>
                <w:tab w:val="left" w:pos="5147"/>
              </w:tabs>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vAlign w:val="center"/>
          </w:tcPr>
          <w:p>
            <w:pPr>
              <w:pStyle w:val="11"/>
              <w:snapToGrid w:val="0"/>
              <w:ind w:firstLine="42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在噪声敏感建筑物集中区域新建排放噪声的工业企业的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Pr>
          <w:p>
            <w:pPr>
              <w:pStyle w:val="11"/>
              <w:ind w:firstLine="420"/>
              <w:rPr>
                <w:rFonts w:ascii="Times New Roman" w:hAnsi="Times New Roman" w:eastAsia="仿宋_GB2312" w:cs="Times New Roman"/>
                <w:b/>
                <w:bCs/>
                <w:sz w:val="21"/>
                <w:szCs w:val="21"/>
                <w:highlight w:val="none"/>
              </w:rPr>
            </w:pPr>
            <w:r>
              <w:rPr>
                <w:rFonts w:hint="eastAsia" w:ascii="Times New Roman" w:hAnsi="Times New Roman" w:eastAsia="仿宋_GB2312" w:cs="仿宋_GB2312"/>
                <w:b/>
                <w:bCs/>
                <w:sz w:val="21"/>
                <w:szCs w:val="21"/>
                <w:highlight w:val="none"/>
              </w:rPr>
              <w:t>《中华人民</w:t>
            </w:r>
            <w:r>
              <w:rPr>
                <w:rFonts w:ascii="Times New Roman" w:hAnsi="Times New Roman" w:eastAsia="仿宋_GB2312" w:cs="仿宋_GB2312"/>
                <w:b/>
                <w:bCs/>
                <w:sz w:val="21"/>
                <w:szCs w:val="21"/>
                <w:highlight w:val="none"/>
              </w:rPr>
              <w:t>共和国噪声污染防治法</w:t>
            </w:r>
            <w:r>
              <w:rPr>
                <w:rFonts w:hint="eastAsia" w:ascii="Times New Roman" w:hAnsi="Times New Roman" w:eastAsia="仿宋_GB2312" w:cs="仿宋_GB2312"/>
                <w:b/>
                <w:bCs/>
                <w:sz w:val="21"/>
                <w:szCs w:val="21"/>
                <w:highlight w:val="none"/>
              </w:rPr>
              <w:t xml:space="preserve">》第三十五条第二款  </w:t>
            </w:r>
            <w:r>
              <w:rPr>
                <w:rFonts w:ascii="Times New Roman" w:hAnsi="Times New Roman" w:eastAsia="仿宋_GB2312" w:cs="仿宋_GB2312"/>
                <w:sz w:val="21"/>
                <w:szCs w:val="21"/>
                <w:highlight w:val="none"/>
              </w:rPr>
              <w:t>在噪声敏感建筑物集中区域，禁止新建排放噪声的工业企业，改建、扩建工业企业的，应当采取有效措施防止工业噪声污染。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w:t>
            </w:r>
            <w:r>
              <w:rPr>
                <w:rFonts w:ascii="Times New Roman" w:hAnsi="Times New Roman" w:eastAsia="仿宋_GB2312" w:cs="仿宋_GB2312"/>
                <w:b/>
                <w:bCs/>
                <w:sz w:val="21"/>
                <w:szCs w:val="21"/>
                <w:highlight w:val="none"/>
              </w:rPr>
              <w:t>共和国噪声污染防治法</w:t>
            </w:r>
            <w:r>
              <w:rPr>
                <w:rFonts w:hint="eastAsia" w:ascii="Times New Roman" w:hAnsi="Times New Roman" w:eastAsia="仿宋_GB2312" w:cs="仿宋_GB2312"/>
                <w:b/>
                <w:bCs/>
                <w:sz w:val="21"/>
                <w:szCs w:val="21"/>
                <w:highlight w:val="none"/>
              </w:rPr>
              <w:t xml:space="preserve">》第七十四条第一款  </w:t>
            </w:r>
            <w:r>
              <w:rPr>
                <w:rFonts w:hint="eastAsia" w:ascii="Times New Roman" w:hAnsi="Times New Roman" w:eastAsia="仿宋_GB2312" w:cs="仿宋_GB2312"/>
                <w:sz w:val="21"/>
                <w:szCs w:val="21"/>
                <w:highlight w:val="none"/>
              </w:rPr>
              <w:t>违反本法规定，在噪声敏感建筑物集中区域新建排放噪声的工业企业的，由生态环境主管部门责令停止违法行为，处十万元以上五十万元以下的罚款，并报经有批准权的人民政府批准，责令关闭。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46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43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6" w:type="dxa"/>
            <w:vMerge w:val="restart"/>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46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已开工建设但主体工程未建成的</w:t>
            </w:r>
          </w:p>
        </w:tc>
        <w:tc>
          <w:tcPr>
            <w:tcW w:w="243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6" w:type="dxa"/>
            <w:vMerge w:val="continue"/>
            <w:vAlign w:val="center"/>
          </w:tcPr>
          <w:p>
            <w:pPr>
              <w:snapToGrid w:val="0"/>
              <w:jc w:val="center"/>
              <w:rPr>
                <w:rFonts w:ascii="Times New Roman" w:hAnsi="Times New Roman" w:cs="Times New Roman"/>
                <w:b/>
                <w:bCs/>
                <w:highlight w:val="none"/>
              </w:rPr>
            </w:pPr>
          </w:p>
        </w:tc>
        <w:tc>
          <w:tcPr>
            <w:tcW w:w="546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color w:val="000000"/>
                <w:sz w:val="21"/>
                <w:szCs w:val="21"/>
                <w:highlight w:val="none"/>
              </w:rPr>
              <w:t>主体工程已建成但尚未投入生产或者使用的</w:t>
            </w:r>
          </w:p>
        </w:tc>
        <w:tc>
          <w:tcPr>
            <w:tcW w:w="243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6" w:type="dxa"/>
            <w:vMerge w:val="continue"/>
            <w:vAlign w:val="center"/>
          </w:tcPr>
          <w:p>
            <w:pPr>
              <w:snapToGrid w:val="0"/>
              <w:jc w:val="center"/>
              <w:rPr>
                <w:rFonts w:ascii="Times New Roman" w:hAnsi="Times New Roman" w:cs="Times New Roman"/>
                <w:b/>
                <w:bCs/>
                <w:highlight w:val="none"/>
              </w:rPr>
            </w:pPr>
          </w:p>
        </w:tc>
        <w:tc>
          <w:tcPr>
            <w:tcW w:w="546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color w:val="000000"/>
                <w:sz w:val="21"/>
                <w:szCs w:val="21"/>
                <w:highlight w:val="none"/>
              </w:rPr>
              <w:t>主体工程已投入生产或者使用，污染防治设施已建成的</w:t>
            </w:r>
          </w:p>
        </w:tc>
        <w:tc>
          <w:tcPr>
            <w:tcW w:w="243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6" w:type="dxa"/>
            <w:vMerge w:val="continue"/>
            <w:vAlign w:val="center"/>
          </w:tcPr>
          <w:p>
            <w:pPr>
              <w:snapToGrid w:val="0"/>
              <w:jc w:val="center"/>
              <w:rPr>
                <w:rFonts w:ascii="Times New Roman" w:hAnsi="Times New Roman" w:cs="Times New Roman"/>
                <w:b/>
                <w:bCs/>
                <w:highlight w:val="none"/>
              </w:rPr>
            </w:pPr>
          </w:p>
        </w:tc>
        <w:tc>
          <w:tcPr>
            <w:tcW w:w="546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color w:val="000000"/>
                <w:sz w:val="21"/>
                <w:szCs w:val="21"/>
                <w:highlight w:val="none"/>
              </w:rPr>
              <w:t>主体工程已投入生产或者使用，污染防治设施已动工未建成的</w:t>
            </w:r>
          </w:p>
        </w:tc>
        <w:tc>
          <w:tcPr>
            <w:tcW w:w="243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6" w:type="dxa"/>
            <w:vMerge w:val="continue"/>
            <w:vAlign w:val="center"/>
          </w:tcPr>
          <w:p>
            <w:pPr>
              <w:snapToGrid w:val="0"/>
              <w:jc w:val="center"/>
              <w:rPr>
                <w:rFonts w:ascii="Times New Roman" w:hAnsi="Times New Roman" w:cs="Times New Roman"/>
                <w:b/>
                <w:bCs/>
                <w:highlight w:val="none"/>
              </w:rPr>
            </w:pPr>
          </w:p>
        </w:tc>
        <w:tc>
          <w:tcPr>
            <w:tcW w:w="546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color w:val="000000"/>
                <w:sz w:val="21"/>
                <w:szCs w:val="21"/>
                <w:highlight w:val="none"/>
              </w:rPr>
              <w:t>主体工程已投入生产或者使用，污染防治设施尚未建设的</w:t>
            </w:r>
          </w:p>
        </w:tc>
        <w:tc>
          <w:tcPr>
            <w:tcW w:w="243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违法持续</w:t>
            </w:r>
          </w:p>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时间</w:t>
            </w:r>
          </w:p>
        </w:tc>
        <w:tc>
          <w:tcPr>
            <w:tcW w:w="546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个月以内的</w:t>
            </w:r>
          </w:p>
        </w:tc>
        <w:tc>
          <w:tcPr>
            <w:tcW w:w="243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46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超过</w:t>
            </w: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个月并且在</w:t>
            </w: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个月以内的</w:t>
            </w:r>
          </w:p>
        </w:tc>
        <w:tc>
          <w:tcPr>
            <w:tcW w:w="243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46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超过</w:t>
            </w: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个月并且在</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年以内的</w:t>
            </w:r>
          </w:p>
        </w:tc>
        <w:tc>
          <w:tcPr>
            <w:tcW w:w="243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46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超过</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年并且在</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年6个月以内的</w:t>
            </w:r>
          </w:p>
        </w:tc>
        <w:tc>
          <w:tcPr>
            <w:tcW w:w="243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46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超过</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年6个月并且在</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年以内的</w:t>
            </w:r>
          </w:p>
        </w:tc>
        <w:tc>
          <w:tcPr>
            <w:tcW w:w="243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6" w:type="dxa"/>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tcPr>
          <w:p>
            <w:pPr>
              <w:snapToGrid w:val="0"/>
              <w:ind w:firstLine="420"/>
              <w:jc w:val="center"/>
              <w:rPr>
                <w:rFonts w:ascii="Times New Roman" w:hAnsi="Times New Roman" w:cs="Times New Roman"/>
                <w:highlight w:val="none"/>
              </w:rPr>
            </w:pPr>
          </w:p>
        </w:tc>
      </w:tr>
    </w:tbl>
    <w:p>
      <w:pPr>
        <w:widowControl/>
        <w:snapToGrid w:val="0"/>
        <w:jc w:val="left"/>
        <w:rPr>
          <w:rFonts w:ascii="Times New Roman" w:hAnsi="Times New Roman" w:cs="Times New Roman"/>
          <w:sz w:val="32"/>
          <w:szCs w:val="32"/>
          <w:highlight w:val="none"/>
        </w:rPr>
      </w:pPr>
      <w:r>
        <w:rPr>
          <w:rFonts w:ascii="Times New Roman" w:hAnsi="Times New Roman" w:cs="Times New Roman"/>
          <w:sz w:val="32"/>
          <w:szCs w:val="32"/>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08" w:type="dxa"/>
            <w:gridSpan w:val="3"/>
            <w:vAlign w:val="center"/>
          </w:tcPr>
          <w:p>
            <w:pPr>
              <w:widowControl/>
              <w:snapToGrid w:val="0"/>
              <w:jc w:val="center"/>
              <w:rPr>
                <w:rFonts w:ascii="Times New Roman" w:hAnsi="Times New Roman" w:cs="Times New Roman"/>
                <w:highlight w:val="none"/>
              </w:rPr>
            </w:pPr>
            <w:r>
              <w:rPr>
                <w:rFonts w:ascii="Times New Roman" w:hAnsi="Times New Roman" w:cs="Times New Roman"/>
                <w:sz w:val="32"/>
                <w:szCs w:val="32"/>
                <w:highlight w:val="none"/>
              </w:rPr>
              <w:br w:type="page"/>
            </w:r>
            <w:r>
              <w:rPr>
                <w:rFonts w:hint="eastAsia" w:ascii="Times New Roman" w:hAnsi="Times New Roman" w:eastAsia="仿宋_GB2312" w:cs="仿宋_GB2312"/>
                <w:b/>
                <w:bCs/>
                <w:sz w:val="32"/>
                <w:szCs w:val="32"/>
                <w:highlight w:val="none"/>
              </w:rPr>
              <w:t>（八）其他类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tabs>
                <w:tab w:val="center" w:pos="3843"/>
                <w:tab w:val="left" w:pos="5147"/>
              </w:tabs>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vAlign w:val="center"/>
          </w:tcPr>
          <w:p>
            <w:pPr>
              <w:pStyle w:val="11"/>
              <w:snapToGrid w:val="0"/>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在噪声敏感建筑物集中区域改建、扩建工业企业，未采取有效措施防止工业噪声污染的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 xml:space="preserve">《中华人民共和国噪声污染防治法》第三十五条第二款 </w:t>
            </w:r>
            <w:r>
              <w:rPr>
                <w:rFonts w:hint="eastAsia" w:ascii="Times New Roman" w:hAnsi="Times New Roman" w:eastAsia="仿宋_GB2312" w:cs="仿宋_GB2312"/>
                <w:sz w:val="21"/>
                <w:szCs w:val="21"/>
                <w:highlight w:val="none"/>
              </w:rPr>
              <w:t xml:space="preserve"> 在噪声敏感建筑物集中区域，禁止新建排放噪声的工业企业，改建、扩建工业企业的，应当采取有效措施防止工业噪声污染。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 xml:space="preserve">《中华人民共和国噪声污染防治法》第七十四条第二款  </w:t>
            </w:r>
            <w:r>
              <w:rPr>
                <w:rFonts w:hint="eastAsia" w:ascii="Times New Roman" w:hAnsi="Times New Roman" w:eastAsia="仿宋_GB2312" w:cs="仿宋_GB2312"/>
                <w:sz w:val="21"/>
                <w:szCs w:val="21"/>
                <w:highlight w:val="none"/>
              </w:rPr>
              <w:t>违反本法规定，在噪声敏感建筑物集中区域改建、扩建工业企业，未采取有效措施防止工业噪声污染的，由生态环境主管部门责令改正，处十万元以上五十万元以下的罚款；拒不改正的，报经有批准权的人民政府批准，责令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8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未采取防止工业噪声污染措施时间少于1天的</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未采取防止工业噪声污染措施时间多于1天少于7天的</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未采取防止工业噪声污染措施时间7天以上的</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tcPr>
          <w:p>
            <w:pPr>
              <w:snapToGrid w:val="0"/>
              <w:ind w:firstLine="420"/>
              <w:jc w:val="center"/>
              <w:rPr>
                <w:rFonts w:ascii="Times New Roman" w:hAnsi="Times New Roman" w:cs="Times New Roman"/>
                <w:highlight w:val="none"/>
              </w:rPr>
            </w:pPr>
          </w:p>
        </w:tc>
      </w:tr>
    </w:tbl>
    <w:p>
      <w:pPr>
        <w:widowControl/>
        <w:snapToGrid w:val="0"/>
        <w:jc w:val="left"/>
        <w:rPr>
          <w:rFonts w:ascii="Times New Roman" w:hAnsi="Times New Roman" w:cs="Times New Roman"/>
          <w:sz w:val="32"/>
          <w:szCs w:val="32"/>
          <w:highlight w:val="none"/>
        </w:rPr>
      </w:pPr>
      <w:r>
        <w:rPr>
          <w:rFonts w:ascii="Times New Roman" w:hAnsi="Times New Roman" w:cs="Times New Roman"/>
          <w:sz w:val="32"/>
          <w:szCs w:val="32"/>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（八）其他类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tabs>
                <w:tab w:val="center" w:pos="3843"/>
                <w:tab w:val="left" w:pos="5147"/>
              </w:tabs>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vAlign w:val="center"/>
          </w:tcPr>
          <w:p>
            <w:pPr>
              <w:pStyle w:val="11"/>
              <w:snapToGrid w:val="0"/>
              <w:ind w:firstLine="42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无排污许可证或者超过噪声排放标准排放工业噪声的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Pr>
          <w:p>
            <w:pPr>
              <w:widowControl/>
              <w:shd w:val="clear" w:color="auto" w:fill="FFFFFF"/>
              <w:spacing w:line="360" w:lineRule="atLeast"/>
              <w:ind w:firstLine="480"/>
              <w:jc w:val="left"/>
              <w:rPr>
                <w:rFonts w:ascii="Times New Roman" w:hAnsi="Times New Roman" w:eastAsia="仿宋_GB2312" w:cs="仿宋_GB2312"/>
                <w:kern w:val="0"/>
                <w:highlight w:val="none"/>
              </w:rPr>
            </w:pPr>
            <w:r>
              <w:rPr>
                <w:rFonts w:hint="eastAsia" w:ascii="Times New Roman" w:hAnsi="Times New Roman" w:eastAsia="仿宋_GB2312" w:cs="仿宋_GB2312"/>
                <w:b/>
                <w:bCs/>
                <w:highlight w:val="none"/>
              </w:rPr>
              <w:t>《中华人民共和国噪声污染防治法》第三十六条第二款</w:t>
            </w:r>
            <w:r>
              <w:rPr>
                <w:rFonts w:hint="eastAsia" w:ascii="Times New Roman" w:hAnsi="Times New Roman" w:eastAsia="仿宋_GB2312" w:cs="仿宋_GB2312"/>
                <w:kern w:val="0"/>
                <w:highlight w:val="none"/>
              </w:rPr>
              <w:t xml:space="preserve"> </w:t>
            </w:r>
            <w:r>
              <w:rPr>
                <w:rFonts w:ascii="Times New Roman" w:hAnsi="Times New Roman" w:eastAsia="仿宋_GB2312" w:cs="仿宋_GB2312"/>
                <w:kern w:val="0"/>
                <w:highlight w:val="none"/>
              </w:rPr>
              <w:t xml:space="preserve"> 排放工业噪声的企业事业单位和其他生产经营者，应当采取有效措施，减少振动、降低噪声，依法取得排污许可证或者填报排污登记表。</w:t>
            </w:r>
          </w:p>
          <w:p>
            <w:pPr>
              <w:widowControl/>
              <w:shd w:val="clear" w:color="auto" w:fill="FFFFFF"/>
              <w:spacing w:line="360" w:lineRule="atLeast"/>
              <w:ind w:firstLine="480"/>
              <w:jc w:val="left"/>
              <w:rPr>
                <w:rFonts w:ascii="Times New Roman" w:hAnsi="Times New Roman" w:eastAsia="仿宋_GB2312" w:cs="仿宋_GB2312"/>
                <w:kern w:val="0"/>
                <w:highlight w:val="none"/>
              </w:rPr>
            </w:pPr>
            <w:r>
              <w:rPr>
                <w:rFonts w:ascii="Times New Roman" w:hAnsi="Times New Roman" w:eastAsia="仿宋_GB2312" w:cs="仿宋_GB2312"/>
                <w:kern w:val="0"/>
                <w:highlight w:val="none"/>
              </w:rPr>
              <w:t>实行排污许可管理的单位，不得无排污许可证排放工业噪声，并应当按照排污许可证的要求进行噪声污染防治。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 xml:space="preserve">《中华人民共和国噪声污染防治法》第七十五条  </w:t>
            </w:r>
            <w:r>
              <w:rPr>
                <w:rFonts w:hint="eastAsia" w:ascii="Times New Roman" w:hAnsi="Times New Roman" w:eastAsia="仿宋_GB2312" w:cs="仿宋_GB2312"/>
                <w:sz w:val="21"/>
                <w:szCs w:val="21"/>
                <w:highlight w:val="none"/>
              </w:rPr>
              <w:t>违反本法规定，无排污许可证或者超过噪声排放标准排放工业噪声的，由生态环境主管部门责令改正或者限制生产、停产整治，并处二万元以上二十万元以下的罚款；情节严重的，报经有批准权的人民政府批准，责令停业、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8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建设地点</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功能区划</w:t>
            </w:r>
            <w:r>
              <w:rPr>
                <w:rFonts w:hint="eastAsia" w:ascii="Times New Roman" w:hAnsi="Times New Roman" w:cs="宋体"/>
                <w:b/>
                <w:bCs/>
                <w:color w:val="000000"/>
                <w:highlight w:val="none"/>
              </w:rPr>
              <w:t>★</w:t>
            </w:r>
          </w:p>
          <w:p>
            <w:pPr>
              <w:snapToGrid w:val="0"/>
              <w:spacing w:line="288" w:lineRule="auto"/>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4</w:t>
            </w:r>
            <w:r>
              <w:rPr>
                <w:rFonts w:hint="eastAsia" w:ascii="Times New Roman" w:hAnsi="Times New Roman" w:eastAsia="仿宋_GB2312" w:cs="仿宋_GB2312"/>
                <w:highlight w:val="none"/>
              </w:rPr>
              <w:t>类声环境功能区</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3</w:t>
            </w:r>
            <w:r>
              <w:rPr>
                <w:rFonts w:hint="eastAsia" w:ascii="Times New Roman" w:hAnsi="Times New Roman" w:eastAsia="仿宋_GB2312" w:cs="仿宋_GB2312"/>
                <w:sz w:val="21"/>
                <w:szCs w:val="21"/>
                <w:highlight w:val="none"/>
              </w:rPr>
              <w:t>类声环境功能区</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2</w:t>
            </w:r>
            <w:r>
              <w:rPr>
                <w:rFonts w:hint="eastAsia" w:ascii="Times New Roman" w:hAnsi="Times New Roman" w:eastAsia="仿宋_GB2312" w:cs="仿宋_GB2312"/>
                <w:sz w:val="21"/>
                <w:szCs w:val="21"/>
                <w:highlight w:val="none"/>
              </w:rPr>
              <w:t>类声环境功能区</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1</w:t>
            </w:r>
            <w:r>
              <w:rPr>
                <w:rFonts w:hint="eastAsia" w:ascii="Times New Roman" w:hAnsi="Times New Roman" w:eastAsia="仿宋_GB2312" w:cs="仿宋_GB2312"/>
                <w:sz w:val="21"/>
                <w:szCs w:val="21"/>
                <w:highlight w:val="none"/>
              </w:rPr>
              <w:t>类声环境功能区</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0</w:t>
            </w:r>
            <w:r>
              <w:rPr>
                <w:rFonts w:hint="eastAsia" w:ascii="Times New Roman" w:hAnsi="Times New Roman" w:eastAsia="仿宋_GB2312" w:cs="仿宋_GB2312"/>
                <w:sz w:val="21"/>
                <w:szCs w:val="21"/>
                <w:highlight w:val="none"/>
              </w:rPr>
              <w:t>类声环境功能区</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超标情况</w:t>
            </w:r>
            <w:r>
              <w:rPr>
                <w:rFonts w:hint="eastAsia" w:ascii="Times New Roman" w:hAnsi="Times New Roman" w:cs="宋体"/>
                <w:b/>
                <w:bCs/>
                <w:color w:val="000000"/>
                <w:highlight w:val="none"/>
              </w:rPr>
              <w:t>★</w:t>
            </w: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超过1分贝的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超过2分贝的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超过2分贝以上5分贝以内的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超过5分贝以上10分贝以内的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超过10分贝以上的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排污</w:t>
            </w:r>
            <w:r>
              <w:rPr>
                <w:rFonts w:ascii="Times New Roman" w:hAnsi="Times New Roman" w:cs="宋体"/>
                <w:b/>
                <w:bCs/>
                <w:color w:val="000000"/>
                <w:highlight w:val="none"/>
              </w:rPr>
              <w:t>单位管理类别</w:t>
            </w: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color w:val="000000"/>
                <w:highlight w:val="none"/>
              </w:rPr>
              <w:t>简化</w:t>
            </w:r>
            <w:r>
              <w:rPr>
                <w:rFonts w:ascii="Times New Roman" w:hAnsi="Times New Roman" w:eastAsia="仿宋_GB2312" w:cs="Times New Roman"/>
                <w:color w:val="000000"/>
                <w:highlight w:val="none"/>
              </w:rPr>
              <w:t>管理</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color w:val="000000"/>
                <w:highlight w:val="none"/>
              </w:rPr>
              <w:t>重点</w:t>
            </w:r>
            <w:r>
              <w:rPr>
                <w:rFonts w:ascii="Times New Roman" w:hAnsi="Times New Roman" w:eastAsia="仿宋_GB2312" w:cs="Times New Roman"/>
                <w:color w:val="000000"/>
                <w:highlight w:val="none"/>
              </w:rPr>
              <w:t>管理</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color w:val="000000"/>
                <w:highlight w:val="none"/>
              </w:rPr>
              <w:t>重点管理（化工、电镀、皮革、造纸、制浆、冶炼、放射性、印染、染料、炼焦、炼油项目）</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tcPr>
          <w:p>
            <w:pPr>
              <w:snapToGrid w:val="0"/>
              <w:ind w:firstLine="420"/>
              <w:jc w:val="center"/>
              <w:rPr>
                <w:rFonts w:ascii="Times New Roman" w:hAnsi="Times New Roman" w:cs="Times New Roman"/>
                <w:highlight w:val="none"/>
              </w:rPr>
            </w:pPr>
          </w:p>
        </w:tc>
      </w:tr>
    </w:tbl>
    <w:p>
      <w:pPr>
        <w:widowControl/>
        <w:snapToGrid w:val="0"/>
        <w:jc w:val="left"/>
        <w:rPr>
          <w:rFonts w:ascii="Times New Roman" w:hAnsi="Times New Roman" w:cs="Times New Roman"/>
          <w:sz w:val="32"/>
          <w:szCs w:val="32"/>
          <w:highlight w:val="none"/>
        </w:rPr>
      </w:pPr>
    </w:p>
    <w:p>
      <w:pPr>
        <w:widowControl/>
        <w:snapToGrid w:val="0"/>
        <w:jc w:val="left"/>
        <w:rPr>
          <w:rFonts w:ascii="Times New Roman" w:hAnsi="Times New Roman" w:cs="Times New Roman"/>
          <w:sz w:val="32"/>
          <w:szCs w:val="32"/>
          <w:highlight w:val="none"/>
        </w:rPr>
      </w:pPr>
      <w:r>
        <w:rPr>
          <w:rFonts w:ascii="Times New Roman" w:hAnsi="Times New Roman" w:cs="Times New Roman"/>
          <w:sz w:val="32"/>
          <w:szCs w:val="32"/>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（八）其他类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tabs>
                <w:tab w:val="center" w:pos="3843"/>
                <w:tab w:val="left" w:pos="5147"/>
              </w:tabs>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vAlign w:val="center"/>
          </w:tcPr>
          <w:p>
            <w:pPr>
              <w:pStyle w:val="11"/>
              <w:snapToGrid w:val="0"/>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噪声重点排污单位未按照国家规定安装、使用、维护噪声自动监测设备，或者未与生态环境主管部门的监控设备联网的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Pr>
          <w:p>
            <w:pPr>
              <w:widowControl/>
              <w:shd w:val="clear" w:color="auto" w:fill="FFFFFF"/>
              <w:spacing w:line="360" w:lineRule="atLeast"/>
              <w:ind w:firstLine="480"/>
              <w:jc w:val="left"/>
              <w:rPr>
                <w:rFonts w:ascii="Times New Roman" w:hAnsi="Times New Roman" w:eastAsia="仿宋_GB2312" w:cs="仿宋_GB2312"/>
                <w:kern w:val="0"/>
                <w:highlight w:val="none"/>
              </w:rPr>
            </w:pPr>
            <w:r>
              <w:rPr>
                <w:rFonts w:hint="eastAsia" w:ascii="Times New Roman" w:hAnsi="Times New Roman" w:eastAsia="仿宋_GB2312" w:cs="仿宋_GB2312"/>
                <w:b/>
                <w:bCs/>
                <w:highlight w:val="none"/>
              </w:rPr>
              <w:t>《中华人民共和国噪声污染防治法》第三十八条第二款</w:t>
            </w:r>
            <w:r>
              <w:rPr>
                <w:rFonts w:hint="eastAsia" w:ascii="Times New Roman" w:hAnsi="Times New Roman" w:eastAsia="仿宋_GB2312" w:cs="仿宋_GB2312"/>
                <w:kern w:val="0"/>
                <w:highlight w:val="none"/>
              </w:rPr>
              <w:t xml:space="preserve"> </w:t>
            </w:r>
            <w:r>
              <w:rPr>
                <w:rFonts w:ascii="Times New Roman" w:hAnsi="Times New Roman" w:eastAsia="仿宋_GB2312" w:cs="仿宋_GB2312"/>
                <w:kern w:val="0"/>
                <w:highlight w:val="none"/>
              </w:rPr>
              <w:t xml:space="preserve"> </w:t>
            </w:r>
            <w:r>
              <w:rPr>
                <w:rFonts w:hint="eastAsia" w:ascii="Times New Roman" w:hAnsi="Times New Roman" w:eastAsia="仿宋_GB2312" w:cs="仿宋_GB2312"/>
                <w:kern w:val="0"/>
                <w:highlight w:val="none"/>
              </w:rPr>
              <w:t>噪声重点排污单位应当按照国家规定，安装、使用、维护噪声自动监测设备，与生态环境主管部门的监控设备联网。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Pr>
          <w:p>
            <w:pPr>
              <w:pStyle w:val="11"/>
              <w:ind w:firstLine="420"/>
              <w:rPr>
                <w:rFonts w:ascii="Times New Roman" w:hAnsi="Times New Roman" w:eastAsia="仿宋_GB2312" w:cs="仿宋_GB2312"/>
                <w:sz w:val="21"/>
                <w:szCs w:val="21"/>
                <w:highlight w:val="none"/>
              </w:rPr>
            </w:pPr>
            <w:r>
              <w:rPr>
                <w:rFonts w:hint="eastAsia" w:ascii="Times New Roman" w:hAnsi="Times New Roman" w:eastAsia="仿宋_GB2312" w:cs="仿宋_GB2312"/>
                <w:b/>
                <w:bCs/>
                <w:sz w:val="21"/>
                <w:szCs w:val="21"/>
                <w:highlight w:val="none"/>
              </w:rPr>
              <w:t>《中华人民共和国噪声污染防治法》第七十六条第</w:t>
            </w:r>
            <w:r>
              <w:rPr>
                <w:rFonts w:ascii="Times New Roman" w:hAnsi="Times New Roman" w:eastAsia="仿宋_GB2312" w:cs="仿宋_GB2312"/>
                <w:b/>
                <w:bCs/>
                <w:sz w:val="21"/>
                <w:szCs w:val="21"/>
                <w:highlight w:val="none"/>
              </w:rPr>
              <w:t>（</w:t>
            </w:r>
            <w:r>
              <w:rPr>
                <w:rFonts w:hint="eastAsia" w:ascii="Times New Roman" w:hAnsi="Times New Roman" w:eastAsia="仿宋_GB2312" w:cs="仿宋_GB2312"/>
                <w:b/>
                <w:bCs/>
                <w:sz w:val="21"/>
                <w:szCs w:val="21"/>
                <w:highlight w:val="none"/>
              </w:rPr>
              <w:t>二</w:t>
            </w:r>
            <w:r>
              <w:rPr>
                <w:rFonts w:ascii="Times New Roman" w:hAnsi="Times New Roman" w:eastAsia="仿宋_GB2312" w:cs="仿宋_GB2312"/>
                <w:b/>
                <w:bCs/>
                <w:sz w:val="21"/>
                <w:szCs w:val="21"/>
                <w:highlight w:val="none"/>
              </w:rPr>
              <w:t>）</w:t>
            </w:r>
            <w:r>
              <w:rPr>
                <w:rFonts w:hint="eastAsia" w:ascii="Times New Roman" w:hAnsi="Times New Roman" w:eastAsia="仿宋_GB2312" w:cs="仿宋_GB2312"/>
                <w:b/>
                <w:bCs/>
                <w:sz w:val="21"/>
                <w:szCs w:val="21"/>
                <w:highlight w:val="none"/>
              </w:rPr>
              <w:t xml:space="preserve">项  </w:t>
            </w:r>
            <w:r>
              <w:rPr>
                <w:rFonts w:hint="eastAsia" w:ascii="Times New Roman" w:hAnsi="Times New Roman" w:eastAsia="仿宋_GB2312" w:cs="仿宋_GB2312"/>
                <w:sz w:val="21"/>
                <w:szCs w:val="21"/>
                <w:highlight w:val="none"/>
              </w:rPr>
              <w:t>违反本法规定，有下列行为之一，由生态环境主管部门责令改正，处二万元以上二十万元以下的罚款；拒不改正的，责令限制生产、停产整治：</w:t>
            </w:r>
          </w:p>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（二）噪声重点排污单位未按照国家规定安装、使用、维护噪声自动监测设备，或者未与生态环境主管部门的监控设备联网的。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8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建设地点</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功能区划</w:t>
            </w:r>
            <w:r>
              <w:rPr>
                <w:rFonts w:hint="eastAsia" w:ascii="Times New Roman" w:hAnsi="Times New Roman" w:cs="宋体"/>
                <w:b/>
                <w:bCs/>
                <w:color w:val="000000"/>
                <w:highlight w:val="none"/>
              </w:rPr>
              <w:t>★</w:t>
            </w:r>
          </w:p>
          <w:p>
            <w:pPr>
              <w:snapToGrid w:val="0"/>
              <w:spacing w:line="288" w:lineRule="auto"/>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4</w:t>
            </w:r>
            <w:r>
              <w:rPr>
                <w:rFonts w:hint="eastAsia" w:ascii="Times New Roman" w:hAnsi="Times New Roman" w:eastAsia="仿宋_GB2312" w:cs="仿宋_GB2312"/>
                <w:highlight w:val="none"/>
              </w:rPr>
              <w:t>类声环境功能区</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Merge w:val="continue"/>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3</w:t>
            </w:r>
            <w:r>
              <w:rPr>
                <w:rFonts w:hint="eastAsia" w:ascii="Times New Roman" w:hAnsi="Times New Roman" w:eastAsia="仿宋_GB2312" w:cs="仿宋_GB2312"/>
                <w:sz w:val="21"/>
                <w:szCs w:val="21"/>
                <w:highlight w:val="none"/>
              </w:rPr>
              <w:t>类声环境功能区</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2</w:t>
            </w:r>
            <w:r>
              <w:rPr>
                <w:rFonts w:hint="eastAsia" w:ascii="Times New Roman" w:hAnsi="Times New Roman" w:eastAsia="仿宋_GB2312" w:cs="仿宋_GB2312"/>
                <w:sz w:val="21"/>
                <w:szCs w:val="21"/>
                <w:highlight w:val="none"/>
              </w:rPr>
              <w:t>类声环境功能区</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1</w:t>
            </w:r>
            <w:r>
              <w:rPr>
                <w:rFonts w:hint="eastAsia" w:ascii="Times New Roman" w:hAnsi="Times New Roman" w:eastAsia="仿宋_GB2312" w:cs="仿宋_GB2312"/>
                <w:sz w:val="21"/>
                <w:szCs w:val="21"/>
                <w:highlight w:val="none"/>
              </w:rPr>
              <w:t>类声环境功能区</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0</w:t>
            </w:r>
            <w:r>
              <w:rPr>
                <w:rFonts w:hint="eastAsia" w:ascii="Times New Roman" w:hAnsi="Times New Roman" w:eastAsia="仿宋_GB2312" w:cs="仿宋_GB2312"/>
                <w:sz w:val="21"/>
                <w:szCs w:val="21"/>
                <w:highlight w:val="none"/>
              </w:rPr>
              <w:t>类声环境功能区</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自动监测设备已安装，未按照规定与生态环境主管部门监控设备联网的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自动监测设备安装、运行维护不符合相关技术规范的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未按照规定安装污染物排放自动监测设备，或者擅自停运部分或全部污染源自动监测设备的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监测数据</w:t>
            </w:r>
          </w:p>
          <w:p>
            <w:pPr>
              <w:snapToGrid w:val="0"/>
              <w:jc w:val="center"/>
              <w:rPr>
                <w:rFonts w:ascii="Times New Roman" w:hAnsi="Times New Roman" w:cs="Times New Roman"/>
                <w:b/>
                <w:bCs/>
                <w:color w:val="000000"/>
                <w:highlight w:val="none"/>
              </w:rPr>
            </w:pPr>
            <w:r>
              <w:rPr>
                <w:rFonts w:hint="eastAsia" w:ascii="Times New Roman" w:hAnsi="Times New Roman" w:cs="宋体"/>
                <w:b/>
                <w:bCs/>
                <w:highlight w:val="none"/>
              </w:rPr>
              <w:t>误差</w:t>
            </w: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未保证监测设备正常运行，造成自动监测与人工监测（或者标准物质测试）数据误差超过技术规范允许范围</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倍以内的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未保证监测设备正常运行，造成自动监测与人工监测（或者标准物质测试）数据误差超过技术规范允许范围</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倍以上</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倍以下的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未保证自动监测设备正常运行，造成自动监测与人工监测（或者标准物质测试）数据误差超过技术规范允许范围</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倍以上的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监测数据</w:t>
            </w:r>
          </w:p>
          <w:p>
            <w:pPr>
              <w:snapToGrid w:val="0"/>
              <w:jc w:val="center"/>
              <w:rPr>
                <w:rFonts w:ascii="Times New Roman" w:hAnsi="Times New Roman" w:cs="Times New Roman"/>
                <w:b/>
                <w:bCs/>
                <w:color w:val="000000"/>
                <w:highlight w:val="none"/>
              </w:rPr>
            </w:pPr>
            <w:r>
              <w:rPr>
                <w:rFonts w:hint="eastAsia" w:ascii="Times New Roman" w:hAnsi="Times New Roman" w:cs="宋体"/>
                <w:b/>
                <w:bCs/>
                <w:highlight w:val="none"/>
              </w:rPr>
              <w:t>传输偏差</w:t>
            </w: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传输的自动监测数据与现场分析仪表数据不一致，数据偏差</w:t>
            </w:r>
            <w:r>
              <w:rPr>
                <w:rFonts w:ascii="Times New Roman" w:hAnsi="Times New Roman" w:eastAsia="仿宋_GB2312" w:cs="Times New Roman"/>
                <w:color w:val="000000"/>
                <w:highlight w:val="none"/>
              </w:rPr>
              <w:t>1%-5%</w:t>
            </w:r>
            <w:r>
              <w:rPr>
                <w:rFonts w:hint="eastAsia" w:ascii="Times New Roman" w:hAnsi="Times New Roman" w:eastAsia="仿宋_GB2312" w:cs="仿宋_GB2312"/>
                <w:color w:val="000000"/>
                <w:highlight w:val="none"/>
              </w:rPr>
              <w:t>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传输的自动监测数据与现场分析仪表数据不一致，数据偏差</w:t>
            </w:r>
            <w:r>
              <w:rPr>
                <w:rFonts w:ascii="Times New Roman" w:hAnsi="Times New Roman" w:eastAsia="仿宋_GB2312" w:cs="Times New Roman"/>
                <w:color w:val="000000"/>
                <w:highlight w:val="none"/>
              </w:rPr>
              <w:t>5%-10%</w:t>
            </w:r>
            <w:r>
              <w:rPr>
                <w:rFonts w:hint="eastAsia" w:ascii="Times New Roman" w:hAnsi="Times New Roman" w:eastAsia="仿宋_GB2312" w:cs="仿宋_GB2312"/>
                <w:color w:val="000000"/>
                <w:highlight w:val="none"/>
              </w:rPr>
              <w:t>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传输的自动监测数据与现场分析仪表数据不一致，数据偏差大于</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自动监测</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数据有效</w:t>
            </w:r>
          </w:p>
          <w:p>
            <w:pPr>
              <w:snapToGrid w:val="0"/>
              <w:jc w:val="center"/>
              <w:rPr>
                <w:rFonts w:ascii="Times New Roman" w:hAnsi="Times New Roman" w:cs="Times New Roman"/>
                <w:b/>
                <w:bCs/>
                <w:color w:val="000000"/>
                <w:highlight w:val="none"/>
              </w:rPr>
            </w:pPr>
            <w:r>
              <w:rPr>
                <w:rFonts w:hint="eastAsia" w:ascii="Times New Roman" w:hAnsi="Times New Roman" w:cs="宋体"/>
                <w:b/>
                <w:bCs/>
                <w:highlight w:val="none"/>
              </w:rPr>
              <w:t>传输率</w:t>
            </w: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自动监测季度数据有效传输率</w:t>
            </w:r>
            <w:r>
              <w:rPr>
                <w:rFonts w:ascii="Times New Roman" w:hAnsi="Times New Roman" w:eastAsia="仿宋_GB2312" w:cs="Times New Roman"/>
                <w:color w:val="000000"/>
                <w:highlight w:val="none"/>
              </w:rPr>
              <w:t>75%-90%</w:t>
            </w:r>
            <w:r>
              <w:rPr>
                <w:rFonts w:hint="eastAsia" w:ascii="Times New Roman" w:hAnsi="Times New Roman" w:eastAsia="仿宋_GB2312" w:cs="仿宋_GB2312"/>
                <w:color w:val="000000"/>
                <w:highlight w:val="none"/>
              </w:rPr>
              <w:t>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自动监测季度数据有效传输率</w:t>
            </w:r>
            <w:r>
              <w:rPr>
                <w:rFonts w:ascii="Times New Roman" w:hAnsi="Times New Roman" w:eastAsia="仿宋_GB2312" w:cs="Times New Roman"/>
                <w:color w:val="000000"/>
                <w:highlight w:val="none"/>
              </w:rPr>
              <w:t>60%-75%</w:t>
            </w:r>
            <w:r>
              <w:rPr>
                <w:rFonts w:hint="eastAsia" w:ascii="Times New Roman" w:hAnsi="Times New Roman" w:eastAsia="仿宋_GB2312" w:cs="仿宋_GB2312"/>
                <w:color w:val="000000"/>
                <w:highlight w:val="none"/>
              </w:rPr>
              <w:t>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自动监测季度数据有效传输率低于</w:t>
            </w:r>
            <w:r>
              <w:rPr>
                <w:rFonts w:ascii="Times New Roman" w:hAnsi="Times New Roman" w:eastAsia="仿宋_GB2312" w:cs="Times New Roman"/>
                <w:color w:val="000000"/>
                <w:highlight w:val="none"/>
              </w:rPr>
              <w:t>60%</w:t>
            </w:r>
            <w:r>
              <w:rPr>
                <w:rFonts w:hint="eastAsia" w:ascii="Times New Roman" w:hAnsi="Times New Roman" w:eastAsia="仿宋_GB2312" w:cs="仿宋_GB2312"/>
                <w:color w:val="000000"/>
                <w:highlight w:val="none"/>
              </w:rPr>
              <w:t>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tcPr>
          <w:p>
            <w:pPr>
              <w:snapToGrid w:val="0"/>
              <w:ind w:firstLine="420"/>
              <w:jc w:val="center"/>
              <w:rPr>
                <w:rFonts w:ascii="Times New Roman" w:hAnsi="Times New Roman" w:cs="Times New Roman"/>
                <w:highlight w:val="none"/>
              </w:rPr>
            </w:pPr>
          </w:p>
        </w:tc>
      </w:tr>
    </w:tbl>
    <w:p>
      <w:pPr>
        <w:widowControl/>
        <w:snapToGrid w:val="0"/>
        <w:jc w:val="left"/>
        <w:rPr>
          <w:rFonts w:ascii="Times New Roman" w:hAnsi="Times New Roman" w:cs="Times New Roman"/>
          <w:sz w:val="32"/>
          <w:szCs w:val="32"/>
          <w:highlight w:val="none"/>
        </w:rPr>
      </w:pPr>
      <w:r>
        <w:rPr>
          <w:rFonts w:ascii="Times New Roman" w:hAnsi="Times New Roman" w:cs="Times New Roman"/>
          <w:sz w:val="32"/>
          <w:szCs w:val="32"/>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（八）其他类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tabs>
                <w:tab w:val="center" w:pos="3843"/>
                <w:tab w:val="left" w:pos="5147"/>
              </w:tabs>
              <w:snapToGrid w:val="0"/>
              <w:jc w:val="center"/>
              <w:rPr>
                <w:rFonts w:ascii="Times New Roman" w:hAnsi="Times New Roman" w:cs="Times New Roman"/>
                <w:highlight w:val="none"/>
              </w:rPr>
            </w:pPr>
            <w:r>
              <w:rPr>
                <w:rFonts w:ascii="Times New Roman" w:hAnsi="Times New Roman" w:cs="Times New Roman"/>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tcPr>
          <w:p>
            <w:pPr>
              <w:pStyle w:val="11"/>
              <w:snapToGrid w:val="0"/>
              <w:ind w:firstLine="42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工业生产、建筑施工作业以及其他生产经营活动中产生的噪声或者其边界噪声超过国家规定标准造成环境噪声污染的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Pr>
          <w:p>
            <w:pPr>
              <w:pStyle w:val="11"/>
              <w:ind w:firstLine="420"/>
              <w:rPr>
                <w:rFonts w:ascii="Times New Roman" w:hAnsi="Times New Roman" w:eastAsia="仿宋_GB2312" w:cs="Times New Roman"/>
                <w:b/>
                <w:bCs/>
                <w:sz w:val="21"/>
                <w:szCs w:val="21"/>
                <w:highlight w:val="none"/>
              </w:rPr>
            </w:pPr>
            <w:r>
              <w:rPr>
                <w:rFonts w:hint="eastAsia" w:ascii="Times New Roman" w:hAnsi="Times New Roman" w:eastAsia="仿宋_GB2312" w:cs="仿宋_GB2312"/>
                <w:b/>
                <w:bCs/>
                <w:sz w:val="21"/>
                <w:szCs w:val="21"/>
                <w:highlight w:val="none"/>
              </w:rPr>
              <w:t>《山东省环境噪声污染防治条例》第十七条</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从事工业生产以及在城市建成区内从事金属、非金属、食品等加工项目的，应当符合厂界环境噪声标准。</w:t>
            </w:r>
          </w:p>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第二十一条</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进行建筑施工作业的，应当采取环境噪声污染防治措施，并不得超过建筑施工场界噪声限值；超过噪声限值并严重污染环境的，当地环境保护行政主管部门应当限制其作业时间或者责令其停工治理。工程抢修、抢险除外。</w:t>
            </w:r>
          </w:p>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第三十四条</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在经营活动中安装使用空调器、冷却塔、抽风机、鼓风机、发电机、水泵等产生噪声污染设备的，其边界噪声不得超过国家规定的限值。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《山东省环境噪声污染防治条例》第三十六条第一款</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工业生产、建筑施工作业以及其他生产经营活动中产生的噪声或者其边界噪声超过国家规定标准造成环境噪声污染的，由环境保护行政主管部门或者其他负有监督管理职责的部门责令改正，限期治理，并可处以五千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8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highlight w:val="none"/>
              </w:rPr>
              <w:t>超标情况</w:t>
            </w:r>
            <w:r>
              <w:rPr>
                <w:rFonts w:hint="eastAsia" w:ascii="Times New Roman" w:hAnsi="Times New Roman" w:cs="宋体"/>
                <w:b/>
                <w:bCs/>
                <w:color w:val="000000"/>
                <w:highlight w:val="none"/>
              </w:rPr>
              <w:t>★</w:t>
            </w: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超过1分贝的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超过2分贝的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超过2分贝以上5分贝以内的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超过5分贝以上10分贝以内的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超过10分贝以上的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建设地点</w:t>
            </w:r>
          </w:p>
          <w:p>
            <w:pPr>
              <w:snapToGrid w:val="0"/>
              <w:jc w:val="center"/>
              <w:rPr>
                <w:rFonts w:ascii="Times New Roman" w:hAnsi="Times New Roman" w:cs="Times New Roman"/>
                <w:b/>
                <w:bCs/>
                <w:color w:val="000000"/>
                <w:highlight w:val="none"/>
              </w:rPr>
            </w:pPr>
            <w:r>
              <w:rPr>
                <w:rFonts w:hint="eastAsia" w:ascii="Times New Roman" w:hAnsi="Times New Roman" w:cs="宋体"/>
                <w:b/>
                <w:bCs/>
                <w:highlight w:val="none"/>
              </w:rPr>
              <w:t>功能区划</w:t>
            </w:r>
          </w:p>
        </w:tc>
        <w:tc>
          <w:tcPr>
            <w:tcW w:w="5213" w:type="dxa"/>
            <w:vAlign w:val="center"/>
          </w:tcPr>
          <w:p>
            <w:pPr>
              <w:snapToGrid w:val="0"/>
              <w:spacing w:line="312" w:lineRule="auto"/>
              <w:jc w:val="center"/>
              <w:rPr>
                <w:rFonts w:ascii="Times New Roman" w:hAnsi="Times New Roman" w:eastAsia="仿宋_GB2312" w:cs="Times New Roman"/>
                <w:highlight w:val="none"/>
              </w:rPr>
            </w:pPr>
            <w:r>
              <w:rPr>
                <w:rFonts w:ascii="Times New Roman" w:hAnsi="Times New Roman" w:eastAsia="仿宋_GB2312" w:cs="Times New Roman"/>
                <w:highlight w:val="none"/>
              </w:rPr>
              <w:t>4类声环境功能区</w:t>
            </w:r>
          </w:p>
        </w:tc>
        <w:tc>
          <w:tcPr>
            <w:tcW w:w="2689" w:type="dxa"/>
            <w:vAlign w:val="center"/>
          </w:tcPr>
          <w:p>
            <w:pPr>
              <w:snapToGrid w:val="0"/>
              <w:spacing w:line="312" w:lineRule="auto"/>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3类声环境功能区</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2类声环境功能区</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1类声环境功能区</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0类声环境功能区</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highlight w:val="none"/>
              </w:rPr>
              <w:t>超标时段</w:t>
            </w: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6:00-22:00</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22:00-次日6:00</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tcPr>
          <w:p>
            <w:pPr>
              <w:snapToGrid w:val="0"/>
              <w:ind w:firstLine="420"/>
              <w:jc w:val="center"/>
              <w:rPr>
                <w:rFonts w:ascii="Times New Roman" w:hAnsi="Times New Roman" w:cs="Times New Roman"/>
                <w:highlight w:val="none"/>
              </w:rPr>
            </w:pPr>
          </w:p>
        </w:tc>
      </w:tr>
    </w:tbl>
    <w:p>
      <w:pPr>
        <w:widowControl/>
        <w:snapToGrid w:val="0"/>
        <w:jc w:val="left"/>
        <w:rPr>
          <w:rFonts w:ascii="Times New Roman" w:hAnsi="Times New Roman" w:cs="Times New Roman"/>
          <w:sz w:val="32"/>
          <w:szCs w:val="32"/>
          <w:highlight w:val="none"/>
        </w:rPr>
      </w:pPr>
    </w:p>
    <w:p>
      <w:pPr>
        <w:widowControl/>
        <w:snapToGrid w:val="0"/>
        <w:jc w:val="left"/>
        <w:rPr>
          <w:rFonts w:ascii="Times New Roman" w:hAnsi="Times New Roman" w:cs="Times New Roman"/>
          <w:sz w:val="32"/>
          <w:szCs w:val="32"/>
          <w:highlight w:val="none"/>
        </w:rPr>
      </w:pPr>
    </w:p>
    <w:p>
      <w:pPr>
        <w:widowControl/>
        <w:snapToGrid w:val="0"/>
        <w:jc w:val="left"/>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（八）其他类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tabs>
                <w:tab w:val="center" w:pos="3843"/>
                <w:tab w:val="left" w:pos="5147"/>
              </w:tabs>
              <w:snapToGrid w:val="0"/>
              <w:jc w:val="center"/>
              <w:rPr>
                <w:rFonts w:ascii="Times New Roman" w:hAnsi="Times New Roman" w:cs="Times New Roman"/>
                <w:highlight w:val="none"/>
              </w:rPr>
            </w:pPr>
            <w:r>
              <w:rPr>
                <w:rFonts w:ascii="Times New Roman" w:hAnsi="Times New Roman" w:cs="Times New Roman"/>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vAlign w:val="center"/>
          </w:tcPr>
          <w:p>
            <w:pPr>
              <w:pStyle w:val="11"/>
              <w:snapToGrid w:val="0"/>
              <w:ind w:firstLine="42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违反规定的作业时限或者停工治理决定的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《山东省环境噪声污染防治条例》第二十一条</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进行建筑施工作业的，应当采取环境噪声污染防治措施，并不得超过建筑施工场界噪声限值；超过噪声限值并严重污染环境的，当地环境保护行政主管部门应当限制其作业时间或者责令其停工治理。工程抢修、抢险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《山东省环境噪声污染防治条例》第三十七条</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违反本条例规定的作业时限或者停工治理决定的，由环境保护行政主管部门或者其他负有监督管理职责的部门责令限期改正，处以三千元以上一万元以下罚款。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8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建设地点</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功能区划</w:t>
            </w:r>
            <w:r>
              <w:rPr>
                <w:rFonts w:hint="eastAsia" w:ascii="Times New Roman" w:hAnsi="Times New Roman" w:cs="宋体"/>
                <w:b/>
                <w:bCs/>
                <w:color w:val="000000"/>
                <w:highlight w:val="none"/>
              </w:rPr>
              <w:t>★</w:t>
            </w: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4</w:t>
            </w:r>
            <w:r>
              <w:rPr>
                <w:rFonts w:hint="eastAsia" w:ascii="Times New Roman" w:hAnsi="Times New Roman" w:eastAsia="仿宋_GB2312" w:cs="仿宋_GB2312"/>
                <w:highlight w:val="none"/>
              </w:rPr>
              <w:t>类声环境功能区</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3</w:t>
            </w:r>
            <w:r>
              <w:rPr>
                <w:rFonts w:hint="eastAsia" w:ascii="Times New Roman" w:hAnsi="Times New Roman" w:eastAsia="仿宋_GB2312" w:cs="仿宋_GB2312"/>
                <w:sz w:val="21"/>
                <w:szCs w:val="21"/>
                <w:highlight w:val="none"/>
              </w:rPr>
              <w:t>类声环境功能区</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2</w:t>
            </w:r>
            <w:r>
              <w:rPr>
                <w:rFonts w:hint="eastAsia" w:ascii="Times New Roman" w:hAnsi="Times New Roman" w:eastAsia="仿宋_GB2312" w:cs="仿宋_GB2312"/>
                <w:sz w:val="21"/>
                <w:szCs w:val="21"/>
                <w:highlight w:val="none"/>
              </w:rPr>
              <w:t>类声环境功能区</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1</w:t>
            </w:r>
            <w:r>
              <w:rPr>
                <w:rFonts w:hint="eastAsia" w:ascii="Times New Roman" w:hAnsi="Times New Roman" w:eastAsia="仿宋_GB2312" w:cs="仿宋_GB2312"/>
                <w:sz w:val="21"/>
                <w:szCs w:val="21"/>
                <w:highlight w:val="none"/>
              </w:rPr>
              <w:t>类声环境功能区</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0</w:t>
            </w:r>
            <w:r>
              <w:rPr>
                <w:rFonts w:hint="eastAsia" w:ascii="Times New Roman" w:hAnsi="Times New Roman" w:eastAsia="仿宋_GB2312" w:cs="仿宋_GB2312"/>
                <w:sz w:val="21"/>
                <w:szCs w:val="21"/>
                <w:highlight w:val="none"/>
              </w:rPr>
              <w:t>类声环境功能区</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spacing w:line="288" w:lineRule="auto"/>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违法时间</w:t>
            </w: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不足</w:t>
            </w:r>
            <w:r>
              <w:rPr>
                <w:rFonts w:ascii="Times New Roman" w:hAnsi="Times New Roman" w:eastAsia="仿宋_GB2312" w:cs="Times New Roman"/>
                <w:highlight w:val="none"/>
              </w:rPr>
              <w:t>5</w:t>
            </w:r>
            <w:r>
              <w:rPr>
                <w:rFonts w:hint="eastAsia" w:ascii="Times New Roman" w:hAnsi="Times New Roman" w:eastAsia="仿宋_GB2312" w:cs="仿宋_GB2312"/>
                <w:highlight w:val="none"/>
              </w:rPr>
              <w:t>天</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r>
              <w:rPr>
                <w:rFonts w:hint="eastAsia" w:ascii="Times New Roman" w:hAnsi="Times New Roman" w:eastAsia="仿宋_GB2312" w:cs="仿宋_GB2312"/>
                <w:highlight w:val="none"/>
              </w:rPr>
              <w:t>天以上不足</w:t>
            </w:r>
            <w:r>
              <w:rPr>
                <w:rFonts w:ascii="Times New Roman" w:hAnsi="Times New Roman" w:eastAsia="仿宋_GB2312" w:cs="Times New Roman"/>
                <w:highlight w:val="none"/>
              </w:rPr>
              <w:t>10</w:t>
            </w:r>
            <w:r>
              <w:rPr>
                <w:rFonts w:hint="eastAsia" w:ascii="Times New Roman" w:hAnsi="Times New Roman" w:eastAsia="仿宋_GB2312" w:cs="仿宋_GB2312"/>
                <w:highlight w:val="none"/>
              </w:rPr>
              <w:t>天</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10</w:t>
            </w:r>
            <w:r>
              <w:rPr>
                <w:rFonts w:hint="eastAsia" w:ascii="Times New Roman" w:hAnsi="Times New Roman" w:eastAsia="仿宋_GB2312" w:cs="仿宋_GB2312"/>
                <w:highlight w:val="none"/>
              </w:rPr>
              <w:t>天以上不足</w:t>
            </w:r>
            <w:r>
              <w:rPr>
                <w:rFonts w:ascii="Times New Roman" w:hAnsi="Times New Roman" w:eastAsia="仿宋_GB2312" w:cs="Times New Roman"/>
                <w:highlight w:val="none"/>
              </w:rPr>
              <w:t>20</w:t>
            </w:r>
            <w:r>
              <w:rPr>
                <w:rFonts w:hint="eastAsia" w:ascii="Times New Roman" w:hAnsi="Times New Roman" w:eastAsia="仿宋_GB2312" w:cs="仿宋_GB2312"/>
                <w:highlight w:val="none"/>
              </w:rPr>
              <w:t>天</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20</w:t>
            </w:r>
            <w:r>
              <w:rPr>
                <w:rFonts w:hint="eastAsia" w:ascii="Times New Roman" w:hAnsi="Times New Roman" w:eastAsia="仿宋_GB2312" w:cs="仿宋_GB2312"/>
                <w:highlight w:val="none"/>
              </w:rPr>
              <w:t>天以上不足</w:t>
            </w:r>
            <w:r>
              <w:rPr>
                <w:rFonts w:ascii="Times New Roman" w:hAnsi="Times New Roman" w:eastAsia="仿宋_GB2312" w:cs="Times New Roman"/>
                <w:highlight w:val="none"/>
              </w:rPr>
              <w:t>1</w:t>
            </w:r>
            <w:r>
              <w:rPr>
                <w:rFonts w:hint="eastAsia" w:ascii="Times New Roman" w:hAnsi="Times New Roman" w:eastAsia="仿宋_GB2312" w:cs="仿宋_GB2312"/>
                <w:highlight w:val="none"/>
              </w:rPr>
              <w:t>个月</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r>
              <w:rPr>
                <w:rFonts w:hint="eastAsia" w:ascii="Times New Roman" w:hAnsi="Times New Roman" w:eastAsia="仿宋_GB2312" w:cs="仿宋_GB2312"/>
                <w:highlight w:val="none"/>
              </w:rPr>
              <w:t>个月以上</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tcPr>
          <w:p>
            <w:pPr>
              <w:snapToGrid w:val="0"/>
              <w:ind w:firstLine="420"/>
              <w:jc w:val="center"/>
              <w:rPr>
                <w:rFonts w:ascii="Times New Roman" w:hAnsi="Times New Roman" w:cs="Times New Roman"/>
                <w:highlight w:val="none"/>
              </w:rPr>
            </w:pPr>
          </w:p>
        </w:tc>
      </w:tr>
    </w:tbl>
    <w:p>
      <w:pPr>
        <w:widowControl/>
        <w:snapToGrid w:val="0"/>
        <w:jc w:val="left"/>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（八）其他类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vAlign w:val="center"/>
          </w:tcPr>
          <w:p>
            <w:pPr>
              <w:pStyle w:val="11"/>
              <w:snapToGrid w:val="0"/>
              <w:ind w:firstLine="42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未按照规定公布能源消耗或者重点污染物产生、排放情况的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《中华人民共和国清洁生产促进法》第十七条</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省、自治区、直辖市人民政府负责清洁生产综合协调的部门、环境保护部门，根据促进清洁生产工作的需要，在本地区主要媒体上公布未达到能源消耗控制指标、重点污染物排放控制指标的企业的名单，为公众监督企业实施清洁生产提供依据。</w:t>
            </w:r>
          </w:p>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列入前款规定名单的企业，应当按照国务院清洁生产综合协调部门、环境保护部门的规定公布能源消耗或者重点污染物产生、排放情况，接受公众监督。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《中华人民共和国清洁生产促进法》第三十六条</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违反本法第十七条第二款规定，未按照规定公布能源消耗或者重点污染物产生、排放情况的，由县级以上地方人民政府负责清洁生产综合协调的部门、环境保护部门按照职责分工责令公布，可以处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8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违法事实</w:t>
            </w:r>
            <w:r>
              <w:rPr>
                <w:rFonts w:hint="eastAsia" w:ascii="Times New Roman" w:hAnsi="Times New Roman" w:cs="宋体"/>
                <w:b/>
                <w:bCs/>
                <w:color w:val="000000"/>
                <w:highlight w:val="none"/>
              </w:rPr>
              <w:t>★</w:t>
            </w:r>
          </w:p>
        </w:tc>
        <w:tc>
          <w:tcPr>
            <w:tcW w:w="5213"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未按时公布的或者公布内容不规范的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未公布或者公布内容不真实的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拒不公布的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违法时间</w:t>
            </w: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不满</w:t>
            </w:r>
            <w:r>
              <w:rPr>
                <w:rFonts w:ascii="Times New Roman" w:hAnsi="Times New Roman" w:eastAsia="仿宋_GB2312" w:cs="Times New Roman"/>
                <w:highlight w:val="none"/>
              </w:rPr>
              <w:t>1</w:t>
            </w:r>
            <w:r>
              <w:rPr>
                <w:rFonts w:hint="eastAsia" w:ascii="Times New Roman" w:hAnsi="Times New Roman" w:eastAsia="仿宋_GB2312" w:cs="仿宋_GB2312"/>
                <w:highlight w:val="none"/>
              </w:rPr>
              <w:t>个月</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r>
              <w:rPr>
                <w:rFonts w:hint="eastAsia" w:ascii="Times New Roman" w:hAnsi="Times New Roman" w:eastAsia="仿宋_GB2312" w:cs="仿宋_GB2312"/>
                <w:highlight w:val="none"/>
              </w:rPr>
              <w:t>个月以上，不满</w:t>
            </w:r>
            <w:r>
              <w:rPr>
                <w:rFonts w:ascii="Times New Roman" w:hAnsi="Times New Roman" w:eastAsia="仿宋_GB2312" w:cs="Times New Roman"/>
                <w:highlight w:val="none"/>
              </w:rPr>
              <w:t>3</w:t>
            </w:r>
            <w:r>
              <w:rPr>
                <w:rFonts w:hint="eastAsia" w:ascii="Times New Roman" w:hAnsi="Times New Roman" w:eastAsia="仿宋_GB2312" w:cs="仿宋_GB2312"/>
                <w:highlight w:val="none"/>
              </w:rPr>
              <w:t>个月</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r>
              <w:rPr>
                <w:rFonts w:hint="eastAsia" w:ascii="Times New Roman" w:hAnsi="Times New Roman" w:eastAsia="仿宋_GB2312" w:cs="仿宋_GB2312"/>
                <w:highlight w:val="none"/>
              </w:rPr>
              <w:t>个月及以上</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vAlign w:val="center"/>
          </w:tcPr>
          <w:p>
            <w:pPr>
              <w:snapToGrid w:val="0"/>
              <w:ind w:firstLine="420"/>
              <w:jc w:val="center"/>
              <w:rPr>
                <w:rFonts w:ascii="Times New Roman" w:hAnsi="Times New Roman" w:cs="Times New Roman"/>
                <w:highlight w:val="none"/>
              </w:rPr>
            </w:pPr>
          </w:p>
        </w:tc>
      </w:tr>
    </w:tbl>
    <w:p>
      <w:pPr>
        <w:widowControl/>
        <w:snapToGrid w:val="0"/>
        <w:jc w:val="left"/>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606"/>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（八）其他类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tcPr>
          <w:p>
            <w:pPr>
              <w:pStyle w:val="11"/>
              <w:ind w:firstLine="420"/>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不实施强制性清洁生产审核或者在清洁生产审核中弄虚作假的，或者实施强制性清洁生产审核的企业不报告或者不如实报告审核结果的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《中华人民共和国清洁生产促进法》第二十七第二款、第四款</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有下列情形之一的企业，应当实施强制性清洁生产审核：</w:t>
            </w:r>
          </w:p>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（一）污染物排放超过国家或者地方规定的排放标准，或者虽未超过国家或者地方规定的排放标准，但超过重点污染物排放总量控制指标的；</w:t>
            </w:r>
          </w:p>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（二）超过单位产品能源消耗限额标准构成高耗能的；</w:t>
            </w:r>
          </w:p>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（三）使用有毒、有害原料进行生产或者在生产中排放有毒、有害物质的。</w:t>
            </w:r>
          </w:p>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实施强制性清洁生产审核的企业，应当将审核结果向所在地县级以上地方人民政府负责清洁生产综合协调的部门、环境保护部门报告，并在本地区主要媒体上公布，接受公众监督，但涉及商业秘密的除外。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《中华人民共和国清洁生产促进法》第三十九条第一款</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违反本法第二十七条第二款、第四款规定，不实施强制性清洁生产审核或者在清洁生产审核中弄虚作假的，或者实施强制性清洁生产审核的企业不报告或者不如实报告审核结果的，由县级以上地方人民政府负责清洁生产综合协调的部门、环境保护部门按照职责分工责令限期改正；拒不改正的，处以五万元以上五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6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29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highlight w:val="none"/>
              </w:rPr>
            </w:pPr>
            <w:r>
              <w:rPr>
                <w:rFonts w:hint="eastAsia" w:ascii="Times New Roman" w:hAnsi="Times New Roman" w:cs="宋体"/>
                <w:b/>
                <w:bCs/>
                <w:highlight w:val="none"/>
              </w:rPr>
              <w:t>违法事实</w:t>
            </w:r>
            <w:r>
              <w:rPr>
                <w:rFonts w:hint="eastAsia" w:ascii="Times New Roman" w:hAnsi="Times New Roman" w:cs="宋体"/>
                <w:b/>
                <w:bCs/>
                <w:color w:val="000000"/>
                <w:highlight w:val="none"/>
              </w:rPr>
              <w:t>★</w:t>
            </w:r>
          </w:p>
        </w:tc>
        <w:tc>
          <w:tcPr>
            <w:tcW w:w="560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实施</w:t>
            </w:r>
            <w:r>
              <w:rPr>
                <w:rFonts w:ascii="Times New Roman" w:hAnsi="Times New Roman" w:eastAsia="仿宋_GB2312" w:cs="仿宋_GB2312"/>
                <w:highlight w:val="none"/>
              </w:rPr>
              <w:t>强制性清洁生产审核不报告的</w:t>
            </w:r>
          </w:p>
        </w:tc>
        <w:tc>
          <w:tcPr>
            <w:tcW w:w="2296"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60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不实施</w:t>
            </w:r>
            <w:r>
              <w:rPr>
                <w:rFonts w:ascii="Times New Roman" w:hAnsi="Times New Roman" w:eastAsia="仿宋_GB2312" w:cs="仿宋_GB2312"/>
                <w:highlight w:val="none"/>
              </w:rPr>
              <w:t>强制性清洁生产审核的</w:t>
            </w:r>
          </w:p>
        </w:tc>
        <w:tc>
          <w:tcPr>
            <w:tcW w:w="2296"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606"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在清洁生产审核</w:t>
            </w:r>
            <w:r>
              <w:rPr>
                <w:rFonts w:ascii="Times New Roman" w:hAnsi="Times New Roman" w:eastAsia="仿宋_GB2312" w:cs="仿宋_GB2312"/>
                <w:highlight w:val="none"/>
              </w:rPr>
              <w:t>中弄虚作假的，或者不如实报告审核结果的</w:t>
            </w:r>
          </w:p>
        </w:tc>
        <w:tc>
          <w:tcPr>
            <w:tcW w:w="2296"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vAlign w:val="center"/>
          </w:tcPr>
          <w:p>
            <w:pPr>
              <w:snapToGrid w:val="0"/>
              <w:ind w:firstLine="420"/>
              <w:jc w:val="center"/>
              <w:rPr>
                <w:rFonts w:ascii="Times New Roman" w:hAnsi="Times New Roman" w:cs="Times New Roman"/>
                <w:highlight w:val="none"/>
              </w:rPr>
            </w:pPr>
          </w:p>
        </w:tc>
      </w:tr>
    </w:tbl>
    <w:p>
      <w:pPr>
        <w:widowControl/>
        <w:snapToGrid w:val="0"/>
        <w:jc w:val="left"/>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08" w:type="dxa"/>
            <w:gridSpan w:val="3"/>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（八）其他类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vAlign w:val="center"/>
          </w:tcPr>
          <w:p>
            <w:pPr>
              <w:pStyle w:val="11"/>
              <w:ind w:firstLine="42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从事清洁生产审核的咨询服务机构出具虚假审核报告的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《山东省清洁生产促进条例》第三十条</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从事生产和服务活动的单位实施清洁生产审核，可以自行组织进行，也可以委托相关的咨询服务机构进行。相关咨询服务机构应当出具真实、有效的清洁生产审核报告，保守商业秘密。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《山东省清洁生产促进条例》第四十九条</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从事清洁生产审核的咨询服务机构违反本条例第三十条规定，出具虚假审核报告的，由清洁生产或者环境保护行政主管部门处一万元以上五万元以下的罚款。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8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出具虚假审核报告</w:t>
            </w:r>
            <w:r>
              <w:rPr>
                <w:rFonts w:ascii="Times New Roman" w:hAnsi="Times New Roman" w:eastAsia="仿宋_GB2312" w:cs="Times New Roman"/>
                <w:highlight w:val="none"/>
              </w:rPr>
              <w:t>1</w:t>
            </w:r>
            <w:r>
              <w:rPr>
                <w:rFonts w:hint="eastAsia" w:ascii="Times New Roman" w:hAnsi="Times New Roman" w:eastAsia="仿宋_GB2312" w:cs="仿宋_GB2312"/>
                <w:highlight w:val="none"/>
              </w:rPr>
              <w:t>家的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出具虚假审核报告</w:t>
            </w:r>
            <w:r>
              <w:rPr>
                <w:rFonts w:ascii="Times New Roman" w:hAnsi="Times New Roman" w:eastAsia="仿宋_GB2312" w:cs="Times New Roman"/>
                <w:sz w:val="21"/>
                <w:szCs w:val="21"/>
                <w:highlight w:val="none"/>
              </w:rPr>
              <w:t>2</w:t>
            </w:r>
            <w:r>
              <w:rPr>
                <w:rFonts w:hint="eastAsia" w:ascii="Times New Roman" w:hAnsi="Times New Roman" w:eastAsia="仿宋_GB2312" w:cs="仿宋_GB2312"/>
                <w:sz w:val="21"/>
                <w:szCs w:val="21"/>
                <w:highlight w:val="none"/>
              </w:rPr>
              <w:t>家的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出具虚假审核报告</w:t>
            </w:r>
            <w:r>
              <w:rPr>
                <w:rFonts w:ascii="Times New Roman" w:hAnsi="Times New Roman" w:eastAsia="仿宋_GB2312" w:cs="Times New Roman"/>
                <w:sz w:val="21"/>
                <w:szCs w:val="21"/>
                <w:highlight w:val="none"/>
              </w:rPr>
              <w:t>3</w:t>
            </w:r>
            <w:r>
              <w:rPr>
                <w:rFonts w:hint="eastAsia" w:ascii="Times New Roman" w:hAnsi="Times New Roman" w:eastAsia="仿宋_GB2312" w:cs="仿宋_GB2312"/>
                <w:sz w:val="21"/>
                <w:szCs w:val="21"/>
                <w:highlight w:val="none"/>
              </w:rPr>
              <w:t>家及以上的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vAlign w:val="center"/>
          </w:tcPr>
          <w:p>
            <w:pPr>
              <w:snapToGrid w:val="0"/>
              <w:ind w:firstLine="420"/>
              <w:jc w:val="center"/>
              <w:rPr>
                <w:rFonts w:ascii="Times New Roman" w:hAnsi="Times New Roman" w:cs="Times New Roman"/>
                <w:highlight w:val="none"/>
              </w:rPr>
            </w:pPr>
          </w:p>
        </w:tc>
      </w:tr>
    </w:tbl>
    <w:p>
      <w:pPr>
        <w:widowControl/>
        <w:snapToGrid w:val="0"/>
        <w:jc w:val="left"/>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（八）其他类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自然保护区管理机构拒绝环境保护行政主管部门或者有关自然保护区行政主管部门监督检查，或者在被检查时弄虚作假的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《中华人民共和国自然保护区条例》第二十条</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县级以上人民政府环境保护行政主管部门有权对本行政区域内各类自然保护区的管理进行监督检查；县级以上人民政府有关自然保护区行政主管部门有权对其主管的自然保护区的管理进行监督检查。被检查的单位应当如实反映情况，提供必要的资料。检查者应当为被检查的单位保守技术秘密和业务秘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《中华人民共和国自然保护区条例》第三十六条</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自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w:t>
            </w:r>
            <w:r>
              <w:rPr>
                <w:rFonts w:ascii="Times New Roman" w:hAnsi="Times New Roman" w:eastAsia="仿宋_GB2312" w:cs="Times New Roman"/>
                <w:sz w:val="21"/>
                <w:szCs w:val="21"/>
                <w:highlight w:val="none"/>
              </w:rPr>
              <w:t>300</w:t>
            </w:r>
            <w:r>
              <w:rPr>
                <w:rFonts w:hint="eastAsia" w:ascii="Times New Roman" w:hAnsi="Times New Roman" w:eastAsia="仿宋_GB2312" w:cs="仿宋_GB2312"/>
                <w:sz w:val="21"/>
                <w:szCs w:val="21"/>
                <w:highlight w:val="none"/>
              </w:rPr>
              <w:t>元以上</w:t>
            </w:r>
            <w:r>
              <w:rPr>
                <w:rFonts w:ascii="Times New Roman" w:hAnsi="Times New Roman" w:eastAsia="仿宋_GB2312" w:cs="Times New Roman"/>
                <w:sz w:val="21"/>
                <w:szCs w:val="21"/>
                <w:highlight w:val="none"/>
              </w:rPr>
              <w:t>3000</w:t>
            </w:r>
            <w:r>
              <w:rPr>
                <w:rFonts w:hint="eastAsia" w:ascii="Times New Roman" w:hAnsi="Times New Roman" w:eastAsia="仿宋_GB2312" w:cs="仿宋_GB2312"/>
                <w:sz w:val="21"/>
                <w:szCs w:val="21"/>
                <w:highlight w:val="none"/>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8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拒绝检查</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情形</w:t>
            </w:r>
            <w:r>
              <w:rPr>
                <w:rFonts w:hint="eastAsia" w:ascii="Times New Roman" w:hAnsi="Times New Roman" w:cs="宋体"/>
                <w:b/>
                <w:bCs/>
                <w:color w:val="000000"/>
                <w:highlight w:val="none"/>
              </w:rPr>
              <w:t>★</w:t>
            </w:r>
          </w:p>
        </w:tc>
        <w:tc>
          <w:tcPr>
            <w:tcW w:w="5213"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迟滞</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分钟以上</w:t>
            </w:r>
            <w:r>
              <w:rPr>
                <w:rFonts w:ascii="Times New Roman" w:hAnsi="Times New Roman" w:eastAsia="仿宋_GB2312" w:cs="Times New Roman"/>
                <w:sz w:val="21"/>
                <w:szCs w:val="21"/>
                <w:highlight w:val="none"/>
              </w:rPr>
              <w:t>30</w:t>
            </w:r>
            <w:r>
              <w:rPr>
                <w:rFonts w:hint="eastAsia" w:ascii="Times New Roman" w:hAnsi="Times New Roman" w:eastAsia="仿宋_GB2312" w:cs="仿宋_GB2312"/>
                <w:sz w:val="21"/>
                <w:szCs w:val="21"/>
                <w:highlight w:val="none"/>
              </w:rPr>
              <w:t>分钟以内</w:t>
            </w:r>
          </w:p>
        </w:tc>
        <w:tc>
          <w:tcPr>
            <w:tcW w:w="268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highlight w:val="none"/>
              </w:rPr>
              <w:t>迟滞超过半小时</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highlight w:val="none"/>
              </w:rPr>
              <w:t>阻碍或隐匿部分资料</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围堵、滞留执法人员或拒绝提供资料</w:t>
            </w:r>
          </w:p>
        </w:tc>
        <w:tc>
          <w:tcPr>
            <w:tcW w:w="268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暴力抗法</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弄虚作假</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情形</w:t>
            </w:r>
            <w:r>
              <w:rPr>
                <w:rFonts w:hint="eastAsia" w:ascii="Times New Roman" w:hAnsi="Times New Roman" w:cs="宋体"/>
                <w:b/>
                <w:bCs/>
                <w:color w:val="000000"/>
                <w:highlight w:val="none"/>
              </w:rPr>
              <w:t>★</w:t>
            </w: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提供非关键性假信息</w:t>
            </w:r>
          </w:p>
        </w:tc>
        <w:tc>
          <w:tcPr>
            <w:tcW w:w="268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提供假信息</w:t>
            </w:r>
          </w:p>
        </w:tc>
        <w:tc>
          <w:tcPr>
            <w:tcW w:w="268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伪造现场或证据</w:t>
            </w:r>
          </w:p>
        </w:tc>
        <w:tc>
          <w:tcPr>
            <w:tcW w:w="268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vAlign w:val="center"/>
          </w:tcPr>
          <w:p>
            <w:pPr>
              <w:snapToGrid w:val="0"/>
              <w:ind w:firstLine="420"/>
              <w:jc w:val="center"/>
              <w:rPr>
                <w:rFonts w:ascii="Times New Roman" w:hAnsi="Times New Roman" w:cs="Times New Roman"/>
                <w:highlight w:val="none"/>
              </w:rPr>
            </w:pPr>
          </w:p>
        </w:tc>
      </w:tr>
    </w:tbl>
    <w:p>
      <w:pPr>
        <w:widowControl/>
        <w:snapToGrid w:val="0"/>
        <w:jc w:val="left"/>
        <w:rPr>
          <w:rFonts w:ascii="Times New Roman" w:hAnsi="Times New Roman" w:cs="Times New Roman"/>
          <w:sz w:val="10"/>
          <w:szCs w:val="10"/>
          <w:highlight w:val="none"/>
        </w:rPr>
      </w:pPr>
      <w:r>
        <w:rPr>
          <w:rFonts w:ascii="Times New Roman" w:hAnsi="Times New Roman" w:cs="Times New Roman"/>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（八）其他类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tcPr>
          <w:p>
            <w:pPr>
              <w:pStyle w:val="11"/>
              <w:ind w:firstLine="420"/>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在禁止养殖区域内建设畜禽养殖场、养殖小区的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20"/>
              <w:jc w:val="left"/>
              <w:rPr>
                <w:rFonts w:ascii="Times New Roman" w:hAnsi="Times New Roman" w:eastAsia="仿宋_GB2312" w:cs="Times New Roman"/>
                <w:kern w:val="0"/>
                <w:highlight w:val="none"/>
              </w:rPr>
            </w:pPr>
            <w:r>
              <w:rPr>
                <w:rFonts w:ascii="Times New Roman" w:hAnsi="Times New Roman" w:eastAsia="仿宋_GB2312" w:cs="Times New Roman"/>
                <w:b/>
                <w:bCs/>
                <w:kern w:val="0"/>
                <w:highlight w:val="none"/>
              </w:rPr>
              <w:t>1.</w:t>
            </w:r>
            <w:r>
              <w:rPr>
                <w:rFonts w:hint="eastAsia" w:ascii="Times New Roman" w:hAnsi="Times New Roman" w:eastAsia="仿宋_GB2312" w:cs="仿宋_GB2312"/>
                <w:b/>
                <w:bCs/>
                <w:kern w:val="0"/>
                <w:highlight w:val="none"/>
              </w:rPr>
              <w:t>《畜禽规模养殖污染防治条例》第十一条</w:t>
            </w:r>
            <w:r>
              <w:rPr>
                <w:rFonts w:ascii="Times New Roman" w:hAnsi="Times New Roman" w:eastAsia="仿宋_GB2312" w:cs="Times New Roman"/>
                <w:kern w:val="0"/>
                <w:highlight w:val="none"/>
              </w:rPr>
              <w:t xml:space="preserve"> </w:t>
            </w:r>
            <w:r>
              <w:rPr>
                <w:rFonts w:hint="eastAsia" w:ascii="Times New Roman" w:hAnsi="Times New Roman" w:eastAsia="仿宋_GB2312" w:cs="仿宋_GB2312"/>
                <w:kern w:val="0"/>
                <w:highlight w:val="none"/>
              </w:rPr>
              <w:t>禁止在下列区域内建设畜禽养殖场、养殖小区：</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2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（一）饮用水水源保护区，风景名胜区；</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2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（二）自然保护区的核心区和缓冲区；</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2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（三）城镇居民区、文化教育科学研究区等人口集中区域；</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20"/>
              <w:jc w:val="left"/>
              <w:rPr>
                <w:rFonts w:ascii="Times New Roman" w:hAnsi="Times New Roman" w:eastAsia="仿宋_GB2312" w:cs="Times New Roman"/>
                <w:kern w:val="0"/>
                <w:highlight w:val="none"/>
              </w:rPr>
            </w:pPr>
            <w:r>
              <w:rPr>
                <w:rFonts w:hint="eastAsia" w:ascii="Times New Roman" w:hAnsi="Times New Roman" w:eastAsia="仿宋_GB2312" w:cs="仿宋_GB2312"/>
                <w:kern w:val="0"/>
                <w:highlight w:val="none"/>
              </w:rPr>
              <w:t>（四）法律、法规规定的其他禁止养殖区域。</w:t>
            </w:r>
          </w:p>
          <w:p>
            <w:pPr>
              <w:snapToGrid w:val="0"/>
              <w:ind w:firstLine="420"/>
              <w:rPr>
                <w:rFonts w:ascii="Times New Roman" w:hAnsi="Times New Roman" w:eastAsia="仿宋_GB2312" w:cs="Times New Roman"/>
                <w:highlight w:val="none"/>
              </w:rPr>
            </w:pPr>
            <w:r>
              <w:rPr>
                <w:rFonts w:ascii="Times New Roman" w:hAnsi="Times New Roman" w:eastAsia="仿宋_GB2312" w:cs="Times New Roman"/>
                <w:b/>
                <w:bCs/>
                <w:highlight w:val="none"/>
              </w:rPr>
              <w:t>2.</w:t>
            </w:r>
            <w:r>
              <w:rPr>
                <w:rFonts w:hint="eastAsia" w:ascii="Times New Roman" w:hAnsi="Times New Roman" w:eastAsia="仿宋_GB2312" w:cs="仿宋_GB2312"/>
                <w:b/>
                <w:bCs/>
                <w:highlight w:val="none"/>
              </w:rPr>
              <w:t>《山东省水污染防治条例》第六十条第（六）项</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在饮用水水源二级保护区内，除禁止本条例第五十九条规定的行为以外，禁止从事下列行为</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20"/>
              <w:jc w:val="left"/>
              <w:rPr>
                <w:rFonts w:ascii="Times New Roman" w:hAnsi="Times New Roman" w:eastAsia="仿宋_GB2312" w:cs="Times New Roman"/>
                <w:kern w:val="0"/>
                <w:highlight w:val="none"/>
              </w:rPr>
            </w:pPr>
            <w:r>
              <w:rPr>
                <w:rFonts w:hint="eastAsia" w:ascii="Times New Roman" w:hAnsi="Times New Roman" w:eastAsia="仿宋_GB2312" w:cs="仿宋_GB2312"/>
                <w:highlight w:val="none"/>
              </w:rPr>
              <w:t>（六）建设有污染物排放的畜禽养殖场、养殖小区。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20"/>
              <w:jc w:val="left"/>
              <w:rPr>
                <w:rFonts w:ascii="Times New Roman" w:hAnsi="Times New Roman" w:eastAsia="仿宋_GB2312" w:cs="Times New Roman"/>
                <w:kern w:val="0"/>
                <w:highlight w:val="none"/>
              </w:rPr>
            </w:pPr>
            <w:r>
              <w:rPr>
                <w:rFonts w:ascii="Times New Roman" w:hAnsi="Times New Roman" w:eastAsia="仿宋_GB2312" w:cs="Times New Roman"/>
                <w:b/>
                <w:bCs/>
                <w:kern w:val="0"/>
                <w:highlight w:val="none"/>
              </w:rPr>
              <w:t>1.</w:t>
            </w:r>
            <w:r>
              <w:rPr>
                <w:rFonts w:hint="eastAsia" w:ascii="Times New Roman" w:hAnsi="Times New Roman" w:eastAsia="仿宋_GB2312" w:cs="仿宋_GB2312"/>
                <w:b/>
                <w:bCs/>
                <w:kern w:val="0"/>
                <w:highlight w:val="none"/>
              </w:rPr>
              <w:t>《畜禽规模养殖污染防治条例》第三十七条第一款</w:t>
            </w:r>
            <w:r>
              <w:rPr>
                <w:rFonts w:ascii="Times New Roman" w:hAnsi="Times New Roman" w:eastAsia="仿宋_GB2312" w:cs="Times New Roman"/>
                <w:kern w:val="0"/>
                <w:highlight w:val="none"/>
              </w:rPr>
              <w:t xml:space="preserve"> </w:t>
            </w:r>
            <w:r>
              <w:rPr>
                <w:rFonts w:hint="eastAsia" w:ascii="Times New Roman" w:hAnsi="Times New Roman" w:eastAsia="仿宋_GB2312" w:cs="仿宋_GB2312"/>
                <w:kern w:val="0"/>
                <w:highlight w:val="none"/>
              </w:rPr>
              <w:t>违反本条例规定，在禁止养殖区域内建设畜禽养殖场、养殖小区的，由县级以上地方人民政府环境保护主管部门责令停止违法行为；拒不停止违法行为的，处</w:t>
            </w:r>
            <w:r>
              <w:rPr>
                <w:rFonts w:ascii="Times New Roman" w:hAnsi="Times New Roman" w:eastAsia="仿宋_GB2312" w:cs="Times New Roman"/>
                <w:kern w:val="0"/>
                <w:highlight w:val="none"/>
              </w:rPr>
              <w:t>3</w:t>
            </w:r>
            <w:r>
              <w:rPr>
                <w:rFonts w:hint="eastAsia" w:ascii="Times New Roman" w:hAnsi="Times New Roman" w:eastAsia="仿宋_GB2312" w:cs="仿宋_GB2312"/>
                <w:kern w:val="0"/>
                <w:highlight w:val="none"/>
              </w:rPr>
              <w:t>万元以上</w:t>
            </w:r>
            <w:r>
              <w:rPr>
                <w:rFonts w:ascii="Times New Roman" w:hAnsi="Times New Roman" w:eastAsia="仿宋_GB2312" w:cs="Times New Roman"/>
                <w:kern w:val="0"/>
                <w:highlight w:val="none"/>
              </w:rPr>
              <w:t>10</w:t>
            </w:r>
            <w:r>
              <w:rPr>
                <w:rFonts w:hint="eastAsia" w:ascii="Times New Roman" w:hAnsi="Times New Roman" w:eastAsia="仿宋_GB2312" w:cs="仿宋_GB2312"/>
                <w:kern w:val="0"/>
                <w:highlight w:val="none"/>
              </w:rPr>
              <w:t>万元以下的罚款，并报县级以上人民政府责令拆除或者关闭。在饮用水水源保护区建设畜禽养殖场、养殖小区的，由县级以上地方人民政府环境保护主管部门责令停止违法行为，处</w:t>
            </w:r>
            <w:r>
              <w:rPr>
                <w:rFonts w:ascii="Times New Roman" w:hAnsi="Times New Roman" w:eastAsia="仿宋_GB2312" w:cs="Times New Roman"/>
                <w:kern w:val="0"/>
                <w:highlight w:val="none"/>
              </w:rPr>
              <w:t>10</w:t>
            </w:r>
            <w:r>
              <w:rPr>
                <w:rFonts w:hint="eastAsia" w:ascii="Times New Roman" w:hAnsi="Times New Roman" w:eastAsia="仿宋_GB2312" w:cs="仿宋_GB2312"/>
                <w:kern w:val="0"/>
                <w:highlight w:val="none"/>
              </w:rPr>
              <w:t>万元以上</w:t>
            </w:r>
            <w:r>
              <w:rPr>
                <w:rFonts w:ascii="Times New Roman" w:hAnsi="Times New Roman" w:eastAsia="仿宋_GB2312" w:cs="Times New Roman"/>
                <w:kern w:val="0"/>
                <w:highlight w:val="none"/>
              </w:rPr>
              <w:t>50</w:t>
            </w:r>
            <w:r>
              <w:rPr>
                <w:rFonts w:hint="eastAsia" w:ascii="Times New Roman" w:hAnsi="Times New Roman" w:eastAsia="仿宋_GB2312" w:cs="仿宋_GB2312"/>
                <w:kern w:val="0"/>
                <w:highlight w:val="none"/>
              </w:rPr>
              <w:t>万元以下的罚款，并报经有批准权的人民政府批准，责令拆除或者关闭。</w:t>
            </w:r>
          </w:p>
          <w:p>
            <w:pPr>
              <w:snapToGrid w:val="0"/>
              <w:ind w:firstLine="420"/>
              <w:rPr>
                <w:rFonts w:ascii="Times New Roman" w:hAnsi="Times New Roman" w:eastAsia="仿宋_GB2312" w:cs="Times New Roman"/>
                <w:highlight w:val="none"/>
              </w:rPr>
            </w:pPr>
            <w:r>
              <w:rPr>
                <w:rFonts w:ascii="Times New Roman" w:hAnsi="Times New Roman" w:eastAsia="仿宋_GB2312" w:cs="Times New Roman"/>
                <w:b/>
                <w:bCs/>
                <w:highlight w:val="none"/>
              </w:rPr>
              <w:t>2.</w:t>
            </w:r>
            <w:r>
              <w:rPr>
                <w:rFonts w:hint="eastAsia" w:ascii="Times New Roman" w:hAnsi="Times New Roman" w:eastAsia="仿宋_GB2312" w:cs="仿宋_GB2312"/>
                <w:b/>
                <w:bCs/>
                <w:highlight w:val="none"/>
              </w:rPr>
              <w:t>《山东省水污染防治条例》第八十六条第一款第（三）项</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违反本条例规定，有下列情形之一的，由县级以上人民政府环境保护主管部门责令停止违法行为，处十万元以上五十万元以下的罚款，并报经有批准权的人民政府批准，责令拆除或者关闭：</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20"/>
              <w:jc w:val="left"/>
              <w:rPr>
                <w:rFonts w:ascii="Times New Roman" w:hAnsi="Times New Roman" w:eastAsia="仿宋_GB2312" w:cs="Times New Roman"/>
                <w:kern w:val="0"/>
                <w:highlight w:val="none"/>
              </w:rPr>
            </w:pPr>
            <w:r>
              <w:rPr>
                <w:rFonts w:hint="eastAsia" w:ascii="Times New Roman" w:hAnsi="Times New Roman" w:eastAsia="仿宋_GB2312" w:cs="仿宋_GB2312"/>
                <w:highlight w:val="none"/>
              </w:rPr>
              <w:t>（三）在饮用水水源保护区建设有污染物排放的畜禽养殖场、养殖小区的。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8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养殖规模</w:t>
            </w:r>
            <w:r>
              <w:rPr>
                <w:rFonts w:hint="eastAsia" w:ascii="Times New Roman" w:hAnsi="Times New Roman" w:cs="宋体"/>
                <w:b/>
                <w:bCs/>
                <w:color w:val="000000"/>
                <w:highlight w:val="none"/>
              </w:rPr>
              <w:t>★</w:t>
            </w:r>
          </w:p>
        </w:tc>
        <w:tc>
          <w:tcPr>
            <w:tcW w:w="5213"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在禁止养殖区域内建设畜禽养殖场、养殖小区，尚未投入生产</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在禁止养殖区域内建设畜禽养殖场、养殖小区，年出栏生猪不足</w:t>
            </w:r>
            <w:r>
              <w:rPr>
                <w:rFonts w:ascii="Times New Roman" w:hAnsi="Times New Roman" w:eastAsia="仿宋_GB2312" w:cs="Times New Roman"/>
                <w:sz w:val="21"/>
                <w:szCs w:val="21"/>
                <w:highlight w:val="none"/>
              </w:rPr>
              <w:t>1000</w:t>
            </w:r>
            <w:r>
              <w:rPr>
                <w:rFonts w:hint="eastAsia" w:ascii="Times New Roman" w:hAnsi="Times New Roman" w:eastAsia="仿宋_GB2312" w:cs="仿宋_GB2312"/>
                <w:sz w:val="21"/>
                <w:szCs w:val="21"/>
                <w:highlight w:val="none"/>
              </w:rPr>
              <w:t>头</w:t>
            </w:r>
            <w:r>
              <w:rPr>
                <w:rFonts w:ascii="Times New Roman" w:hAnsi="Times New Roman" w:eastAsia="仿宋_GB2312" w:cs="Times New Roman"/>
                <w:sz w:val="21"/>
                <w:szCs w:val="21"/>
                <w:highlight w:val="none"/>
              </w:rPr>
              <w:t>(</w:t>
            </w:r>
            <w:r>
              <w:rPr>
                <w:rFonts w:hint="eastAsia" w:ascii="Times New Roman" w:hAnsi="Times New Roman" w:eastAsia="仿宋_GB2312" w:cs="仿宋_GB2312"/>
                <w:sz w:val="21"/>
                <w:szCs w:val="21"/>
                <w:highlight w:val="none"/>
              </w:rPr>
              <w:t>其他畜禽种类折合猪的养殖规模</w:t>
            </w:r>
            <w:r>
              <w:rPr>
                <w:rFonts w:ascii="Times New Roman" w:hAnsi="Times New Roman" w:eastAsia="仿宋_GB2312" w:cs="Times New Roman"/>
                <w:sz w:val="21"/>
                <w:szCs w:val="21"/>
                <w:highlight w:val="none"/>
              </w:rPr>
              <w:t>)</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在禁止养殖区域内建设畜禽养殖场、养殖小区，年出栏生猪</w:t>
            </w:r>
            <w:r>
              <w:rPr>
                <w:rFonts w:ascii="Times New Roman" w:hAnsi="Times New Roman" w:eastAsia="仿宋_GB2312" w:cs="Times New Roman"/>
                <w:sz w:val="21"/>
                <w:szCs w:val="21"/>
                <w:highlight w:val="none"/>
              </w:rPr>
              <w:t>1000</w:t>
            </w:r>
            <w:r>
              <w:rPr>
                <w:rFonts w:hint="eastAsia" w:ascii="Times New Roman" w:hAnsi="Times New Roman" w:eastAsia="仿宋_GB2312" w:cs="仿宋_GB2312"/>
                <w:sz w:val="21"/>
                <w:szCs w:val="21"/>
                <w:highlight w:val="none"/>
              </w:rPr>
              <w:t>头以上，不足</w:t>
            </w:r>
            <w:r>
              <w:rPr>
                <w:rFonts w:ascii="Times New Roman" w:hAnsi="Times New Roman" w:eastAsia="仿宋_GB2312" w:cs="Times New Roman"/>
                <w:sz w:val="21"/>
                <w:szCs w:val="21"/>
                <w:highlight w:val="none"/>
              </w:rPr>
              <w:t>2000</w:t>
            </w:r>
            <w:r>
              <w:rPr>
                <w:rFonts w:hint="eastAsia" w:ascii="Times New Roman" w:hAnsi="Times New Roman" w:eastAsia="仿宋_GB2312" w:cs="仿宋_GB2312"/>
                <w:sz w:val="21"/>
                <w:szCs w:val="21"/>
                <w:highlight w:val="none"/>
              </w:rPr>
              <w:t>头</w:t>
            </w:r>
            <w:r>
              <w:rPr>
                <w:rFonts w:ascii="Times New Roman" w:hAnsi="Times New Roman" w:eastAsia="仿宋_GB2312" w:cs="Times New Roman"/>
                <w:sz w:val="21"/>
                <w:szCs w:val="21"/>
                <w:highlight w:val="none"/>
              </w:rPr>
              <w:t>(</w:t>
            </w:r>
            <w:r>
              <w:rPr>
                <w:rFonts w:hint="eastAsia" w:ascii="Times New Roman" w:hAnsi="Times New Roman" w:eastAsia="仿宋_GB2312" w:cs="仿宋_GB2312"/>
                <w:sz w:val="21"/>
                <w:szCs w:val="21"/>
                <w:highlight w:val="none"/>
              </w:rPr>
              <w:t>其他畜禽种类折合猪的养殖规模</w:t>
            </w:r>
            <w:r>
              <w:rPr>
                <w:rFonts w:ascii="Times New Roman" w:hAnsi="Times New Roman" w:eastAsia="仿宋_GB2312" w:cs="Times New Roman"/>
                <w:sz w:val="21"/>
                <w:szCs w:val="21"/>
                <w:highlight w:val="none"/>
              </w:rPr>
              <w:t>)</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在禁止养殖区域内建设畜禽养殖场、养殖小区，年出栏生猪</w:t>
            </w:r>
            <w:r>
              <w:rPr>
                <w:rFonts w:ascii="Times New Roman" w:hAnsi="Times New Roman" w:eastAsia="仿宋_GB2312" w:cs="Times New Roman"/>
                <w:sz w:val="21"/>
                <w:szCs w:val="21"/>
                <w:highlight w:val="none"/>
              </w:rPr>
              <w:t>2000</w:t>
            </w:r>
            <w:r>
              <w:rPr>
                <w:rFonts w:hint="eastAsia" w:ascii="Times New Roman" w:hAnsi="Times New Roman" w:eastAsia="仿宋_GB2312" w:cs="仿宋_GB2312"/>
                <w:sz w:val="21"/>
                <w:szCs w:val="21"/>
                <w:highlight w:val="none"/>
              </w:rPr>
              <w:t>头以上</w:t>
            </w:r>
            <w:r>
              <w:rPr>
                <w:rFonts w:ascii="Times New Roman" w:hAnsi="Times New Roman" w:eastAsia="仿宋_GB2312" w:cs="Times New Roman"/>
                <w:sz w:val="21"/>
                <w:szCs w:val="21"/>
                <w:highlight w:val="none"/>
              </w:rPr>
              <w:t>(</w:t>
            </w:r>
            <w:r>
              <w:rPr>
                <w:rFonts w:hint="eastAsia" w:ascii="Times New Roman" w:hAnsi="Times New Roman" w:eastAsia="仿宋_GB2312" w:cs="仿宋_GB2312"/>
                <w:sz w:val="21"/>
                <w:szCs w:val="21"/>
                <w:highlight w:val="none"/>
              </w:rPr>
              <w:t>其他畜禽种类折合猪的养殖规模</w:t>
            </w:r>
            <w:r>
              <w:rPr>
                <w:rFonts w:ascii="Times New Roman" w:hAnsi="Times New Roman" w:eastAsia="仿宋_GB2312" w:cs="Times New Roman"/>
                <w:sz w:val="21"/>
                <w:szCs w:val="21"/>
                <w:highlight w:val="none"/>
              </w:rPr>
              <w:t>)</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污染物设施</w:t>
            </w: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污染物处理设施已建成并配套使用的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污染物处理设施已建成，仍造成一定污染</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未建设污染物处理设施，造成污染</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建设地点</w:t>
            </w: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城镇居民区、文化教育科学研究区等人口集中区域</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自然保护区的核心区和缓冲区</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饮用水水源保护区，风景名胜区</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vAlign w:val="center"/>
          </w:tcPr>
          <w:p>
            <w:pPr>
              <w:snapToGrid w:val="0"/>
              <w:ind w:firstLine="420"/>
              <w:jc w:val="center"/>
              <w:rPr>
                <w:rFonts w:ascii="Times New Roman" w:hAnsi="Times New Roman" w:cs="Times New Roman"/>
                <w:highlight w:val="none"/>
              </w:rPr>
            </w:pPr>
          </w:p>
        </w:tc>
      </w:tr>
    </w:tbl>
    <w:p>
      <w:pPr>
        <w:widowControl/>
        <w:snapToGrid w:val="0"/>
        <w:jc w:val="left"/>
        <w:rPr>
          <w:rFonts w:ascii="Times New Roman" w:hAnsi="Times New Roman" w:cs="Times New Roman"/>
          <w:kern w:val="0"/>
          <w:sz w:val="10"/>
          <w:szCs w:val="10"/>
          <w:highlight w:val="none"/>
        </w:rPr>
      </w:pPr>
    </w:p>
    <w:p>
      <w:pPr>
        <w:widowControl/>
        <w:snapToGrid w:val="0"/>
        <w:jc w:val="left"/>
        <w:rPr>
          <w:rFonts w:ascii="Times New Roman" w:hAnsi="Times New Roman" w:cs="Times New Roman"/>
          <w:kern w:val="0"/>
          <w:sz w:val="10"/>
          <w:szCs w:val="10"/>
          <w:highlight w:val="none"/>
        </w:rPr>
      </w:pPr>
    </w:p>
    <w:p>
      <w:pPr>
        <w:widowControl/>
        <w:snapToGrid w:val="0"/>
        <w:jc w:val="left"/>
        <w:rPr>
          <w:rFonts w:ascii="Times New Roman" w:hAnsi="Times New Roman" w:cs="Times New Roman"/>
          <w:kern w:val="0"/>
          <w:sz w:val="10"/>
          <w:szCs w:val="10"/>
          <w:highlight w:val="none"/>
        </w:rPr>
      </w:pPr>
    </w:p>
    <w:p>
      <w:pPr>
        <w:widowControl/>
        <w:snapToGrid w:val="0"/>
        <w:jc w:val="left"/>
        <w:rPr>
          <w:rFonts w:ascii="Times New Roman" w:hAnsi="Times New Roman" w:cs="Times New Roman"/>
          <w:kern w:val="0"/>
          <w:sz w:val="10"/>
          <w:szCs w:val="10"/>
          <w:highlight w:val="none"/>
        </w:rPr>
      </w:pP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8"/>
        <w:gridCol w:w="5211"/>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tcPr>
          <w:p>
            <w:pPr>
              <w:widowControl/>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（八）其他类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8"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0"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8"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0" w:type="dxa"/>
            <w:gridSpan w:val="2"/>
            <w:vAlign w:val="center"/>
          </w:tcPr>
          <w:p>
            <w:pPr>
              <w:pStyle w:val="11"/>
              <w:ind w:firstLine="42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超出生产配额许可证规定的品种、数量、期限生产消耗臭氧层物质的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0"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《消耗臭氧层物质管理条例》第十五条第一款</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消耗臭氧层物质的生产单位不得超出生产配额许可证规定的品种、数量、期限生产消耗臭氧层物质，不得超出生产配额许可证规定的用途生产、销售消耗臭氧层物质。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0"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《消耗臭氧层物质管理条例》第三十三条第（一）项</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消耗臭氧层物质的生产、使用单位有下列行为之一的，由所在地省、自治区、直辖市人民政府环境保护主管部门责令停止违法行为，没收违法生产、使用的消耗臭氧层物质、违法使用消耗臭氧层物质生产的产品和违法所得，并处</w:t>
            </w:r>
            <w:r>
              <w:rPr>
                <w:rFonts w:ascii="Times New Roman" w:hAnsi="Times New Roman" w:eastAsia="仿宋_GB2312" w:cs="Times New Roman"/>
                <w:sz w:val="21"/>
                <w:szCs w:val="21"/>
                <w:highlight w:val="none"/>
              </w:rPr>
              <w:t>2</w:t>
            </w:r>
            <w:r>
              <w:rPr>
                <w:rFonts w:hint="eastAsia" w:ascii="Times New Roman" w:hAnsi="Times New Roman" w:eastAsia="仿宋_GB2312" w:cs="仿宋_GB2312"/>
                <w:sz w:val="21"/>
                <w:szCs w:val="21"/>
                <w:highlight w:val="none"/>
              </w:rPr>
              <w:t>万元以上</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万元以下的罚款，报国务院环境保护主管部门核减其生产、使用配额数量；情节严重的，并处</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万元以上</w:t>
            </w:r>
            <w:r>
              <w:rPr>
                <w:rFonts w:ascii="Times New Roman" w:hAnsi="Times New Roman" w:eastAsia="仿宋_GB2312" w:cs="Times New Roman"/>
                <w:sz w:val="21"/>
                <w:szCs w:val="21"/>
                <w:highlight w:val="none"/>
              </w:rPr>
              <w:t>20</w:t>
            </w:r>
            <w:r>
              <w:rPr>
                <w:rFonts w:hint="eastAsia" w:ascii="Times New Roman" w:hAnsi="Times New Roman" w:eastAsia="仿宋_GB2312" w:cs="仿宋_GB2312"/>
                <w:sz w:val="21"/>
                <w:szCs w:val="21"/>
                <w:highlight w:val="none"/>
              </w:rPr>
              <w:t>万元以下的罚款，报国务院环境保护主管部门吊销其生产、使用配额许可证：</w:t>
            </w:r>
          </w:p>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（一）超出生产配额许可证规定的品种、数量、期限生产消耗臭氧层物质的。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8"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11"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8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8" w:type="dxa"/>
            <w:vMerge w:val="restart"/>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涉及消耗</w:t>
            </w:r>
          </w:p>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臭氧层物质</w:t>
            </w:r>
          </w:p>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数量</w:t>
            </w:r>
            <w:r>
              <w:rPr>
                <w:rFonts w:hint="eastAsia" w:ascii="Times New Roman" w:hAnsi="Times New Roman" w:cs="宋体"/>
                <w:b/>
                <w:bCs/>
                <w:color w:val="000000"/>
                <w:highlight w:val="none"/>
              </w:rPr>
              <w:t>★</w:t>
            </w:r>
          </w:p>
        </w:tc>
        <w:tc>
          <w:tcPr>
            <w:tcW w:w="5211" w:type="dxa"/>
            <w:vAlign w:val="center"/>
          </w:tcPr>
          <w:p>
            <w:pPr>
              <w:pStyle w:val="11"/>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sz w:val="21"/>
                <w:szCs w:val="21"/>
                <w:highlight w:val="none"/>
              </w:rPr>
              <w:t>不足</w:t>
            </w: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千克</w:t>
            </w:r>
          </w:p>
        </w:tc>
        <w:tc>
          <w:tcPr>
            <w:tcW w:w="2689" w:type="dxa"/>
            <w:vAlign w:val="center"/>
          </w:tcPr>
          <w:p>
            <w:pPr>
              <w:pStyle w:val="11"/>
              <w:snapToGrid w:val="0"/>
              <w:jc w:val="center"/>
              <w:rPr>
                <w:rFonts w:ascii="Times New Roman" w:hAnsi="Times New Roman" w:cs="Times New Roman"/>
                <w:highlight w:val="none"/>
              </w:rPr>
            </w:pPr>
            <w:r>
              <w:rPr>
                <w:rFonts w:ascii="Times New Roman" w:hAnsi="Times New Roman" w:eastAsia="仿宋_GB2312" w:cs="Times New Roman"/>
                <w:color w:val="000000"/>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8" w:type="dxa"/>
            <w:vMerge w:val="continue"/>
            <w:vAlign w:val="center"/>
          </w:tcPr>
          <w:p>
            <w:pPr>
              <w:snapToGrid w:val="0"/>
              <w:spacing w:line="288" w:lineRule="auto"/>
              <w:jc w:val="center"/>
              <w:rPr>
                <w:rFonts w:ascii="Times New Roman" w:hAnsi="Times New Roman" w:cs="Times New Roman"/>
                <w:b/>
                <w:bCs/>
                <w:highlight w:val="none"/>
              </w:rPr>
            </w:pPr>
          </w:p>
        </w:tc>
        <w:tc>
          <w:tcPr>
            <w:tcW w:w="5211" w:type="dxa"/>
            <w:vAlign w:val="center"/>
          </w:tcPr>
          <w:p>
            <w:pPr>
              <w:pStyle w:val="11"/>
              <w:snapToGrid w:val="0"/>
              <w:jc w:val="center"/>
              <w:rPr>
                <w:rFonts w:ascii="Times New Roman" w:hAnsi="Times New Roman" w:eastAsia="仿宋_GB2312" w:cs="Times New Roman"/>
                <w:sz w:val="21"/>
                <w:szCs w:val="21"/>
                <w:highlight w:val="none"/>
              </w:rPr>
            </w:pP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千克以上不足</w:t>
            </w:r>
            <w:r>
              <w:rPr>
                <w:rFonts w:ascii="Times New Roman" w:hAnsi="Times New Roman" w:eastAsia="仿宋_GB2312" w:cs="Times New Roman"/>
                <w:color w:val="000000"/>
                <w:sz w:val="21"/>
                <w:szCs w:val="21"/>
                <w:highlight w:val="none"/>
              </w:rPr>
              <w:t>100</w:t>
            </w:r>
            <w:r>
              <w:rPr>
                <w:rFonts w:hint="eastAsia" w:ascii="Times New Roman" w:hAnsi="Times New Roman" w:eastAsia="仿宋_GB2312" w:cs="仿宋_GB2312"/>
                <w:color w:val="000000"/>
                <w:sz w:val="21"/>
                <w:szCs w:val="21"/>
                <w:highlight w:val="none"/>
              </w:rPr>
              <w:t>千克</w:t>
            </w:r>
          </w:p>
        </w:tc>
        <w:tc>
          <w:tcPr>
            <w:tcW w:w="2689" w:type="dxa"/>
            <w:vAlign w:val="center"/>
          </w:tcPr>
          <w:p>
            <w:pPr>
              <w:pStyle w:val="11"/>
              <w:snapToGrid w:val="0"/>
              <w:jc w:val="center"/>
              <w:rPr>
                <w:rFonts w:ascii="Times New Roman" w:hAnsi="Times New Roman" w:cs="Times New Roman"/>
                <w:highlight w:val="none"/>
              </w:rPr>
            </w:pPr>
            <w:r>
              <w:rPr>
                <w:rFonts w:ascii="Times New Roman" w:hAnsi="Times New Roman" w:eastAsia="仿宋_GB2312" w:cs="Times New Roman"/>
                <w:color w:val="000000"/>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8" w:type="dxa"/>
            <w:vMerge w:val="continue"/>
            <w:vAlign w:val="center"/>
          </w:tcPr>
          <w:p>
            <w:pPr>
              <w:snapToGrid w:val="0"/>
              <w:spacing w:line="288" w:lineRule="auto"/>
              <w:jc w:val="center"/>
              <w:rPr>
                <w:rFonts w:ascii="Times New Roman" w:hAnsi="Times New Roman" w:cs="Times New Roman"/>
                <w:b/>
                <w:bCs/>
                <w:highlight w:val="none"/>
              </w:rPr>
            </w:pPr>
          </w:p>
        </w:tc>
        <w:tc>
          <w:tcPr>
            <w:tcW w:w="5211" w:type="dxa"/>
            <w:vAlign w:val="center"/>
          </w:tcPr>
          <w:p>
            <w:pPr>
              <w:pStyle w:val="11"/>
              <w:snapToGrid w:val="0"/>
              <w:jc w:val="center"/>
              <w:rPr>
                <w:rFonts w:ascii="Times New Roman" w:hAnsi="Times New Roman" w:eastAsia="仿宋_GB2312" w:cs="Times New Roman"/>
                <w:sz w:val="21"/>
                <w:szCs w:val="21"/>
                <w:highlight w:val="none"/>
              </w:rPr>
            </w:pPr>
            <w:r>
              <w:rPr>
                <w:rFonts w:ascii="Times New Roman" w:hAnsi="Times New Roman" w:eastAsia="仿宋_GB2312" w:cs="Times New Roman"/>
                <w:color w:val="000000"/>
                <w:sz w:val="21"/>
                <w:szCs w:val="21"/>
                <w:highlight w:val="none"/>
              </w:rPr>
              <w:t>100</w:t>
            </w:r>
            <w:r>
              <w:rPr>
                <w:rFonts w:hint="eastAsia" w:ascii="Times New Roman" w:hAnsi="Times New Roman" w:eastAsia="仿宋_GB2312" w:cs="仿宋_GB2312"/>
                <w:color w:val="000000"/>
                <w:sz w:val="21"/>
                <w:szCs w:val="21"/>
                <w:highlight w:val="none"/>
              </w:rPr>
              <w:t>千克以上不足</w:t>
            </w:r>
            <w:r>
              <w:rPr>
                <w:rFonts w:ascii="Times New Roman" w:hAnsi="Times New Roman" w:eastAsia="仿宋_GB2312" w:cs="Times New Roman"/>
                <w:color w:val="000000"/>
                <w:sz w:val="21"/>
                <w:szCs w:val="21"/>
                <w:highlight w:val="none"/>
              </w:rPr>
              <w:t>500</w:t>
            </w:r>
            <w:r>
              <w:rPr>
                <w:rFonts w:hint="eastAsia" w:ascii="Times New Roman" w:hAnsi="Times New Roman" w:eastAsia="仿宋_GB2312" w:cs="仿宋_GB2312"/>
                <w:color w:val="000000"/>
                <w:sz w:val="21"/>
                <w:szCs w:val="21"/>
                <w:highlight w:val="none"/>
              </w:rPr>
              <w:t>千克</w:t>
            </w:r>
          </w:p>
        </w:tc>
        <w:tc>
          <w:tcPr>
            <w:tcW w:w="2689" w:type="dxa"/>
            <w:vAlign w:val="center"/>
          </w:tcPr>
          <w:p>
            <w:pPr>
              <w:pStyle w:val="11"/>
              <w:snapToGrid w:val="0"/>
              <w:jc w:val="center"/>
              <w:rPr>
                <w:rFonts w:ascii="Times New Roman" w:hAnsi="Times New Roman" w:cs="Times New Roman"/>
                <w:highlight w:val="none"/>
              </w:rPr>
            </w:pPr>
            <w:r>
              <w:rPr>
                <w:rFonts w:ascii="Times New Roman" w:hAnsi="Times New Roman" w:eastAsia="仿宋_GB2312" w:cs="Times New Roman"/>
                <w:color w:val="000000"/>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8" w:type="dxa"/>
            <w:vMerge w:val="continue"/>
            <w:vAlign w:val="center"/>
          </w:tcPr>
          <w:p>
            <w:pPr>
              <w:snapToGrid w:val="0"/>
              <w:spacing w:line="288" w:lineRule="auto"/>
              <w:jc w:val="center"/>
              <w:rPr>
                <w:rFonts w:ascii="Times New Roman" w:hAnsi="Times New Roman" w:cs="Times New Roman"/>
                <w:b/>
                <w:bCs/>
                <w:highlight w:val="none"/>
              </w:rPr>
            </w:pPr>
          </w:p>
        </w:tc>
        <w:tc>
          <w:tcPr>
            <w:tcW w:w="5211" w:type="dxa"/>
            <w:vAlign w:val="center"/>
          </w:tcPr>
          <w:p>
            <w:pPr>
              <w:pStyle w:val="11"/>
              <w:snapToGrid w:val="0"/>
              <w:jc w:val="center"/>
              <w:rPr>
                <w:rFonts w:ascii="Times New Roman" w:hAnsi="Times New Roman" w:eastAsia="仿宋_GB2312" w:cs="Times New Roman"/>
                <w:sz w:val="21"/>
                <w:szCs w:val="21"/>
                <w:highlight w:val="none"/>
              </w:rPr>
            </w:pPr>
            <w:r>
              <w:rPr>
                <w:rFonts w:ascii="Times New Roman" w:hAnsi="Times New Roman" w:eastAsia="仿宋_GB2312" w:cs="Times New Roman"/>
                <w:color w:val="000000"/>
                <w:sz w:val="21"/>
                <w:szCs w:val="21"/>
                <w:highlight w:val="none"/>
              </w:rPr>
              <w:t>500</w:t>
            </w:r>
            <w:r>
              <w:rPr>
                <w:rFonts w:hint="eastAsia" w:ascii="Times New Roman" w:hAnsi="Times New Roman" w:eastAsia="仿宋_GB2312" w:cs="仿宋_GB2312"/>
                <w:color w:val="000000"/>
                <w:sz w:val="21"/>
                <w:szCs w:val="21"/>
                <w:highlight w:val="none"/>
              </w:rPr>
              <w:t>千克以上不足</w:t>
            </w:r>
            <w:r>
              <w:rPr>
                <w:rFonts w:ascii="Times New Roman" w:hAnsi="Times New Roman" w:eastAsia="仿宋_GB2312" w:cs="Times New Roman"/>
                <w:color w:val="000000"/>
                <w:sz w:val="21"/>
                <w:szCs w:val="21"/>
                <w:highlight w:val="none"/>
              </w:rPr>
              <w:t>1000</w:t>
            </w:r>
            <w:r>
              <w:rPr>
                <w:rFonts w:hint="eastAsia" w:ascii="Times New Roman" w:hAnsi="Times New Roman" w:eastAsia="仿宋_GB2312" w:cs="仿宋_GB2312"/>
                <w:color w:val="000000"/>
                <w:sz w:val="21"/>
                <w:szCs w:val="21"/>
                <w:highlight w:val="none"/>
              </w:rPr>
              <w:t>千克</w:t>
            </w:r>
          </w:p>
        </w:tc>
        <w:tc>
          <w:tcPr>
            <w:tcW w:w="2689" w:type="dxa"/>
            <w:vAlign w:val="center"/>
          </w:tcPr>
          <w:p>
            <w:pPr>
              <w:pStyle w:val="11"/>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sz w:val="21"/>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8" w:type="dxa"/>
            <w:vMerge w:val="continue"/>
            <w:vAlign w:val="center"/>
          </w:tcPr>
          <w:p>
            <w:pPr>
              <w:snapToGrid w:val="0"/>
              <w:spacing w:line="288" w:lineRule="auto"/>
              <w:jc w:val="center"/>
              <w:rPr>
                <w:rFonts w:ascii="Times New Roman" w:hAnsi="Times New Roman" w:cs="Times New Roman"/>
                <w:b/>
                <w:bCs/>
                <w:highlight w:val="none"/>
              </w:rPr>
            </w:pPr>
          </w:p>
        </w:tc>
        <w:tc>
          <w:tcPr>
            <w:tcW w:w="5211" w:type="dxa"/>
            <w:vAlign w:val="center"/>
          </w:tcPr>
          <w:p>
            <w:pPr>
              <w:pStyle w:val="11"/>
              <w:snapToGrid w:val="0"/>
              <w:jc w:val="center"/>
              <w:rPr>
                <w:rFonts w:ascii="Times New Roman" w:hAnsi="Times New Roman" w:eastAsia="仿宋_GB2312" w:cs="Times New Roman"/>
                <w:sz w:val="21"/>
                <w:szCs w:val="21"/>
                <w:highlight w:val="none"/>
              </w:rPr>
            </w:pPr>
            <w:r>
              <w:rPr>
                <w:rFonts w:ascii="Times New Roman" w:hAnsi="Times New Roman" w:eastAsia="仿宋_GB2312" w:cs="Times New Roman"/>
                <w:color w:val="000000"/>
                <w:sz w:val="21"/>
                <w:szCs w:val="21"/>
                <w:highlight w:val="none"/>
              </w:rPr>
              <w:t>1000</w:t>
            </w:r>
            <w:r>
              <w:rPr>
                <w:rFonts w:hint="eastAsia" w:ascii="Times New Roman" w:hAnsi="Times New Roman" w:eastAsia="仿宋_GB2312" w:cs="仿宋_GB2312"/>
                <w:color w:val="000000"/>
                <w:sz w:val="21"/>
                <w:szCs w:val="21"/>
                <w:highlight w:val="none"/>
              </w:rPr>
              <w:t>千克以上</w:t>
            </w:r>
          </w:p>
        </w:tc>
        <w:tc>
          <w:tcPr>
            <w:tcW w:w="2689" w:type="dxa"/>
            <w:vAlign w:val="center"/>
          </w:tcPr>
          <w:p>
            <w:pPr>
              <w:pStyle w:val="11"/>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8" w:type="dxa"/>
            <w:vMerge w:val="restart"/>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消耗臭氧层物质种类</w:t>
            </w:r>
          </w:p>
        </w:tc>
        <w:tc>
          <w:tcPr>
            <w:tcW w:w="5211"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允许使用类物质</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8" w:type="dxa"/>
            <w:vMerge w:val="continue"/>
            <w:vAlign w:val="center"/>
          </w:tcPr>
          <w:p>
            <w:pPr>
              <w:snapToGrid w:val="0"/>
              <w:jc w:val="center"/>
              <w:rPr>
                <w:rFonts w:ascii="Times New Roman" w:hAnsi="Times New Roman" w:cs="Times New Roman"/>
                <w:b/>
                <w:bCs/>
                <w:highlight w:val="none"/>
              </w:rPr>
            </w:pPr>
          </w:p>
        </w:tc>
        <w:tc>
          <w:tcPr>
            <w:tcW w:w="521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过渡性使用类物质</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8" w:type="dxa"/>
            <w:vMerge w:val="continue"/>
            <w:vAlign w:val="center"/>
          </w:tcPr>
          <w:p>
            <w:pPr>
              <w:snapToGrid w:val="0"/>
              <w:jc w:val="center"/>
              <w:rPr>
                <w:rFonts w:ascii="Times New Roman" w:hAnsi="Times New Roman" w:cs="Times New Roman"/>
                <w:b/>
                <w:bCs/>
                <w:highlight w:val="none"/>
              </w:rPr>
            </w:pPr>
          </w:p>
        </w:tc>
        <w:tc>
          <w:tcPr>
            <w:tcW w:w="5211"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禁止使用类物质</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8" w:type="dxa"/>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0" w:type="dxa"/>
            <w:gridSpan w:val="2"/>
          </w:tcPr>
          <w:p>
            <w:pPr>
              <w:snapToGrid w:val="0"/>
              <w:ind w:firstLine="420"/>
              <w:jc w:val="center"/>
              <w:rPr>
                <w:rFonts w:ascii="Times New Roman" w:hAnsi="Times New Roman" w:cs="Times New Roman"/>
                <w:highlight w:val="none"/>
              </w:rPr>
            </w:pPr>
          </w:p>
        </w:tc>
      </w:tr>
    </w:tbl>
    <w:p>
      <w:pPr>
        <w:snapToGrid w:val="0"/>
        <w:rPr>
          <w:rFonts w:ascii="Times New Roman" w:hAnsi="Times New Roman" w:eastAsia="仿宋_GB2312" w:cs="Times New Roman"/>
          <w:sz w:val="10"/>
          <w:szCs w:val="10"/>
          <w:highlight w:val="none"/>
        </w:rPr>
      </w:pPr>
      <w:r>
        <w:rPr>
          <w:rFonts w:ascii="Times New Roman" w:hAnsi="Times New Roman" w:eastAsia="仿宋_GB2312" w:cs="Times New Roman"/>
          <w:sz w:val="32"/>
          <w:szCs w:val="32"/>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（八）其他类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vAlign w:val="center"/>
          </w:tcPr>
          <w:p>
            <w:pPr>
              <w:pStyle w:val="11"/>
              <w:snapToGrid w:val="0"/>
              <w:ind w:firstLine="42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超出生产配额许可证规定的用途生产或者销售消耗臭氧层物质的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《消耗臭氧层物质管理条例》第十五条第一款</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消耗臭氧层物质的生产单位不得超出生产配额许可证规定的品种、数量、期限生产消耗臭氧层物质，不得超出生产配额许可证规定的用途生产、销售消耗臭氧层物质。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《消耗臭氧层物质管理条例》第三十三条第（二）项</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消耗臭氧层物质的生产、使用单位有下列行为之一的，由所在地省、自治区、直辖市人民政府环境保护主管部门责令停止违法行为，没收违法生产、使用的消耗臭氧层物质、违法使用消耗臭氧层物质生产的产品和违法所得，并处</w:t>
            </w:r>
            <w:r>
              <w:rPr>
                <w:rFonts w:ascii="Times New Roman" w:hAnsi="Times New Roman" w:eastAsia="仿宋_GB2312" w:cs="Times New Roman"/>
                <w:sz w:val="21"/>
                <w:szCs w:val="21"/>
                <w:highlight w:val="none"/>
              </w:rPr>
              <w:t>2</w:t>
            </w:r>
            <w:r>
              <w:rPr>
                <w:rFonts w:hint="eastAsia" w:ascii="Times New Roman" w:hAnsi="Times New Roman" w:eastAsia="仿宋_GB2312" w:cs="仿宋_GB2312"/>
                <w:sz w:val="21"/>
                <w:szCs w:val="21"/>
                <w:highlight w:val="none"/>
              </w:rPr>
              <w:t>万元以上</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万元以下的罚款，报国务院环境保护主管部门核减其生产、使用配额数量；情节严重的，并处</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万元以上</w:t>
            </w:r>
            <w:r>
              <w:rPr>
                <w:rFonts w:ascii="Times New Roman" w:hAnsi="Times New Roman" w:eastAsia="仿宋_GB2312" w:cs="Times New Roman"/>
                <w:sz w:val="21"/>
                <w:szCs w:val="21"/>
                <w:highlight w:val="none"/>
              </w:rPr>
              <w:t>20</w:t>
            </w:r>
            <w:r>
              <w:rPr>
                <w:rFonts w:hint="eastAsia" w:ascii="Times New Roman" w:hAnsi="Times New Roman" w:eastAsia="仿宋_GB2312" w:cs="仿宋_GB2312"/>
                <w:sz w:val="21"/>
                <w:szCs w:val="21"/>
                <w:highlight w:val="none"/>
              </w:rPr>
              <w:t>万元以下的罚款，报国务院环境保护主管部门吊销其生产、使用配额许可证：</w:t>
            </w:r>
          </w:p>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（二）超出生产配额许可证规定的用途生产或者销售消耗臭氧层物质的。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8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涉及消耗臭氧层物质数量</w:t>
            </w:r>
            <w:r>
              <w:rPr>
                <w:rFonts w:hint="eastAsia" w:ascii="Times New Roman" w:hAnsi="Times New Roman" w:cs="宋体"/>
                <w:b/>
                <w:bCs/>
                <w:color w:val="000000"/>
                <w:highlight w:val="none"/>
              </w:rPr>
              <w:t>★</w:t>
            </w:r>
          </w:p>
        </w:tc>
        <w:tc>
          <w:tcPr>
            <w:tcW w:w="5213" w:type="dxa"/>
            <w:vAlign w:val="center"/>
          </w:tcPr>
          <w:p>
            <w:pPr>
              <w:pStyle w:val="11"/>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sz w:val="21"/>
                <w:szCs w:val="21"/>
                <w:highlight w:val="none"/>
              </w:rPr>
              <w:t>不足</w:t>
            </w: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千克</w:t>
            </w:r>
          </w:p>
        </w:tc>
        <w:tc>
          <w:tcPr>
            <w:tcW w:w="2689" w:type="dxa"/>
            <w:vAlign w:val="center"/>
          </w:tcPr>
          <w:p>
            <w:pPr>
              <w:pStyle w:val="11"/>
              <w:snapToGrid w:val="0"/>
              <w:jc w:val="center"/>
              <w:rPr>
                <w:rFonts w:ascii="Times New Roman" w:hAnsi="Times New Roman" w:cs="Times New Roman"/>
                <w:highlight w:val="none"/>
              </w:rPr>
            </w:pPr>
            <w:r>
              <w:rPr>
                <w:rFonts w:ascii="Times New Roman" w:hAnsi="Times New Roman" w:eastAsia="仿宋_GB2312" w:cs="Times New Roman"/>
                <w:color w:val="000000"/>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千克以上不足</w:t>
            </w:r>
            <w:r>
              <w:rPr>
                <w:rFonts w:ascii="Times New Roman" w:hAnsi="Times New Roman" w:eastAsia="仿宋_GB2312" w:cs="Times New Roman"/>
                <w:color w:val="000000"/>
                <w:highlight w:val="none"/>
              </w:rPr>
              <w:t>100</w:t>
            </w:r>
            <w:r>
              <w:rPr>
                <w:rFonts w:hint="eastAsia" w:ascii="Times New Roman" w:hAnsi="Times New Roman" w:eastAsia="仿宋_GB2312" w:cs="仿宋_GB2312"/>
                <w:color w:val="000000"/>
                <w:highlight w:val="none"/>
              </w:rPr>
              <w:t>千克</w:t>
            </w:r>
          </w:p>
        </w:tc>
        <w:tc>
          <w:tcPr>
            <w:tcW w:w="2689" w:type="dxa"/>
            <w:vAlign w:val="center"/>
          </w:tcPr>
          <w:p>
            <w:pPr>
              <w:pStyle w:val="11"/>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100</w:t>
            </w:r>
            <w:r>
              <w:rPr>
                <w:rFonts w:hint="eastAsia" w:ascii="Times New Roman" w:hAnsi="Times New Roman" w:eastAsia="仿宋_GB2312" w:cs="仿宋_GB2312"/>
                <w:color w:val="000000"/>
                <w:highlight w:val="none"/>
              </w:rPr>
              <w:t>千克以上不足</w:t>
            </w:r>
            <w:r>
              <w:rPr>
                <w:rFonts w:ascii="Times New Roman" w:hAnsi="Times New Roman" w:eastAsia="仿宋_GB2312" w:cs="Times New Roman"/>
                <w:color w:val="000000"/>
                <w:highlight w:val="none"/>
              </w:rPr>
              <w:t>500</w:t>
            </w:r>
            <w:r>
              <w:rPr>
                <w:rFonts w:hint="eastAsia" w:ascii="Times New Roman" w:hAnsi="Times New Roman" w:eastAsia="仿宋_GB2312" w:cs="仿宋_GB2312"/>
                <w:color w:val="000000"/>
                <w:highlight w:val="none"/>
              </w:rPr>
              <w:t>千克</w:t>
            </w:r>
          </w:p>
        </w:tc>
        <w:tc>
          <w:tcPr>
            <w:tcW w:w="2689" w:type="dxa"/>
            <w:vAlign w:val="center"/>
          </w:tcPr>
          <w:p>
            <w:pPr>
              <w:pStyle w:val="11"/>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500</w:t>
            </w:r>
            <w:r>
              <w:rPr>
                <w:rFonts w:hint="eastAsia" w:ascii="Times New Roman" w:hAnsi="Times New Roman" w:eastAsia="仿宋_GB2312" w:cs="仿宋_GB2312"/>
                <w:color w:val="000000"/>
                <w:highlight w:val="none"/>
              </w:rPr>
              <w:t>千克以上不足</w:t>
            </w:r>
            <w:r>
              <w:rPr>
                <w:rFonts w:ascii="Times New Roman" w:hAnsi="Times New Roman" w:eastAsia="仿宋_GB2312" w:cs="Times New Roman"/>
                <w:color w:val="000000"/>
                <w:highlight w:val="none"/>
              </w:rPr>
              <w:t>1000</w:t>
            </w:r>
            <w:r>
              <w:rPr>
                <w:rFonts w:hint="eastAsia" w:ascii="Times New Roman" w:hAnsi="Times New Roman" w:eastAsia="仿宋_GB2312" w:cs="仿宋_GB2312"/>
                <w:color w:val="000000"/>
                <w:highlight w:val="none"/>
              </w:rPr>
              <w:t>千克</w:t>
            </w:r>
          </w:p>
        </w:tc>
        <w:tc>
          <w:tcPr>
            <w:tcW w:w="2689" w:type="dxa"/>
            <w:vAlign w:val="center"/>
          </w:tcPr>
          <w:p>
            <w:pPr>
              <w:pStyle w:val="11"/>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sz w:val="21"/>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1000</w:t>
            </w:r>
            <w:r>
              <w:rPr>
                <w:rFonts w:hint="eastAsia" w:ascii="Times New Roman" w:hAnsi="Times New Roman" w:eastAsia="仿宋_GB2312" w:cs="仿宋_GB2312"/>
                <w:color w:val="000000"/>
                <w:highlight w:val="none"/>
              </w:rPr>
              <w:t>千克以上</w:t>
            </w:r>
          </w:p>
        </w:tc>
        <w:tc>
          <w:tcPr>
            <w:tcW w:w="2689" w:type="dxa"/>
            <w:vAlign w:val="center"/>
          </w:tcPr>
          <w:p>
            <w:pPr>
              <w:pStyle w:val="11"/>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消耗臭氧层物质种类</w:t>
            </w: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允许使用类物质</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过渡性使用类物质</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禁止使用类物质</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eastAsia="仿宋_GB2312" w:cs="Times New Roman"/>
          <w:sz w:val="10"/>
          <w:szCs w:val="10"/>
          <w:highlight w:val="none"/>
        </w:rPr>
      </w:pPr>
      <w:r>
        <w:rPr>
          <w:rFonts w:ascii="Times New Roman" w:hAnsi="Times New Roman" w:eastAsia="仿宋_GB2312" w:cs="Times New Roman"/>
          <w:sz w:val="32"/>
          <w:szCs w:val="32"/>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（八）其他类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超出使用配额许可证规定的品种、数量、用途、期限使用消耗臭氧层物质的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《消耗臭氧层物质管理条例》第十六条第一款</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依照本条例规定领取使用配额许可证的单位，不得超出使用配额许可证规定的品种、用途、数量、期限使用消耗臭氧层物质。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《消耗臭氧层物质管理条例》第三十三条第（三）项</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消耗臭氧层物质的生产、使用单位有下列行为之一的，由所在地省、自治区、直辖市人民政府环境保护主管部门责令停止违法行为，没收违法生产、使用的消耗臭氧层物质、违法使用消耗臭氧层物质生产的产品和违法所得，并处</w:t>
            </w:r>
            <w:r>
              <w:rPr>
                <w:rFonts w:ascii="Times New Roman" w:hAnsi="Times New Roman" w:eastAsia="仿宋_GB2312" w:cs="Times New Roman"/>
                <w:sz w:val="21"/>
                <w:szCs w:val="21"/>
                <w:highlight w:val="none"/>
              </w:rPr>
              <w:t>2</w:t>
            </w:r>
            <w:r>
              <w:rPr>
                <w:rFonts w:hint="eastAsia" w:ascii="Times New Roman" w:hAnsi="Times New Roman" w:eastAsia="仿宋_GB2312" w:cs="仿宋_GB2312"/>
                <w:sz w:val="21"/>
                <w:szCs w:val="21"/>
                <w:highlight w:val="none"/>
              </w:rPr>
              <w:t>万元以上</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万元以下的罚款，报国务院环境保护主管部门核减其生产、使用配额数量；情节严重的，并处</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万元以上</w:t>
            </w:r>
            <w:r>
              <w:rPr>
                <w:rFonts w:ascii="Times New Roman" w:hAnsi="Times New Roman" w:eastAsia="仿宋_GB2312" w:cs="Times New Roman"/>
                <w:sz w:val="21"/>
                <w:szCs w:val="21"/>
                <w:highlight w:val="none"/>
              </w:rPr>
              <w:t>20</w:t>
            </w:r>
            <w:r>
              <w:rPr>
                <w:rFonts w:hint="eastAsia" w:ascii="Times New Roman" w:hAnsi="Times New Roman" w:eastAsia="仿宋_GB2312" w:cs="仿宋_GB2312"/>
                <w:sz w:val="21"/>
                <w:szCs w:val="21"/>
                <w:highlight w:val="none"/>
              </w:rPr>
              <w:t>万元以下的罚款，报国务院环境保护主管部门吊销其生产、使用配额许可证：</w:t>
            </w:r>
          </w:p>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（三）超出使用配额许可证规定的品种、数量、用途、期限使用消耗臭氧层物质的。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8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涉及消耗</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臭氧层物质</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数量</w:t>
            </w:r>
            <w:r>
              <w:rPr>
                <w:rFonts w:hint="eastAsia" w:ascii="Times New Roman" w:hAnsi="Times New Roman" w:cs="宋体"/>
                <w:b/>
                <w:bCs/>
                <w:color w:val="000000"/>
                <w:highlight w:val="none"/>
              </w:rPr>
              <w:t>★</w:t>
            </w:r>
          </w:p>
        </w:tc>
        <w:tc>
          <w:tcPr>
            <w:tcW w:w="521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不足</w:t>
            </w:r>
            <w:r>
              <w:rPr>
                <w:rFonts w:ascii="Times New Roman" w:hAnsi="Times New Roman" w:eastAsia="仿宋_GB2312" w:cs="Times New Roman"/>
                <w:color w:val="000000"/>
                <w:sz w:val="21"/>
                <w:szCs w:val="21"/>
                <w:highlight w:val="none"/>
              </w:rPr>
              <w:t>10</w:t>
            </w:r>
            <w:r>
              <w:rPr>
                <w:rFonts w:hint="eastAsia" w:ascii="Times New Roman" w:hAnsi="Times New Roman" w:eastAsia="仿宋_GB2312" w:cs="仿宋_GB2312"/>
                <w:color w:val="000000"/>
                <w:sz w:val="21"/>
                <w:szCs w:val="21"/>
                <w:highlight w:val="none"/>
              </w:rPr>
              <w:t>千克</w:t>
            </w:r>
          </w:p>
        </w:tc>
        <w:tc>
          <w:tcPr>
            <w:tcW w:w="2689"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color w:val="000000"/>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千克以上不足</w:t>
            </w:r>
            <w:r>
              <w:rPr>
                <w:rFonts w:ascii="Times New Roman" w:hAnsi="Times New Roman" w:eastAsia="仿宋_GB2312" w:cs="Times New Roman"/>
                <w:color w:val="000000"/>
                <w:highlight w:val="none"/>
              </w:rPr>
              <w:t>100</w:t>
            </w:r>
            <w:r>
              <w:rPr>
                <w:rFonts w:hint="eastAsia" w:ascii="Times New Roman" w:hAnsi="Times New Roman" w:eastAsia="仿宋_GB2312" w:cs="仿宋_GB2312"/>
                <w:color w:val="000000"/>
                <w:highlight w:val="none"/>
              </w:rPr>
              <w:t>千克</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100</w:t>
            </w:r>
            <w:r>
              <w:rPr>
                <w:rFonts w:hint="eastAsia" w:ascii="Times New Roman" w:hAnsi="Times New Roman" w:eastAsia="仿宋_GB2312" w:cs="仿宋_GB2312"/>
                <w:color w:val="000000"/>
                <w:highlight w:val="none"/>
              </w:rPr>
              <w:t>千克以上不足</w:t>
            </w:r>
            <w:r>
              <w:rPr>
                <w:rFonts w:ascii="Times New Roman" w:hAnsi="Times New Roman" w:eastAsia="仿宋_GB2312" w:cs="Times New Roman"/>
                <w:color w:val="000000"/>
                <w:highlight w:val="none"/>
              </w:rPr>
              <w:t>500</w:t>
            </w:r>
            <w:r>
              <w:rPr>
                <w:rFonts w:hint="eastAsia" w:ascii="Times New Roman" w:hAnsi="Times New Roman" w:eastAsia="仿宋_GB2312" w:cs="仿宋_GB2312"/>
                <w:color w:val="000000"/>
                <w:highlight w:val="none"/>
              </w:rPr>
              <w:t>千克</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500</w:t>
            </w:r>
            <w:r>
              <w:rPr>
                <w:rFonts w:hint="eastAsia" w:ascii="Times New Roman" w:hAnsi="Times New Roman" w:eastAsia="仿宋_GB2312" w:cs="仿宋_GB2312"/>
                <w:color w:val="000000"/>
                <w:highlight w:val="none"/>
              </w:rPr>
              <w:t>千克以上不足</w:t>
            </w:r>
            <w:r>
              <w:rPr>
                <w:rFonts w:ascii="Times New Roman" w:hAnsi="Times New Roman" w:eastAsia="仿宋_GB2312" w:cs="Times New Roman"/>
                <w:color w:val="000000"/>
                <w:highlight w:val="none"/>
              </w:rPr>
              <w:t>1000</w:t>
            </w:r>
            <w:r>
              <w:rPr>
                <w:rFonts w:hint="eastAsia" w:ascii="Times New Roman" w:hAnsi="Times New Roman" w:eastAsia="仿宋_GB2312" w:cs="仿宋_GB2312"/>
                <w:color w:val="000000"/>
                <w:highlight w:val="none"/>
              </w:rPr>
              <w:t>千克</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1000</w:t>
            </w:r>
            <w:r>
              <w:rPr>
                <w:rFonts w:hint="eastAsia" w:ascii="Times New Roman" w:hAnsi="Times New Roman" w:eastAsia="仿宋_GB2312" w:cs="仿宋_GB2312"/>
                <w:color w:val="000000"/>
                <w:highlight w:val="none"/>
              </w:rPr>
              <w:t>千克以上</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消耗臭氧层物质种类</w:t>
            </w: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允许使用类物质</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过渡性使用类物质</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禁止使用类物质</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逾期时间</w:t>
            </w: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个月以内</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仿宋_GB2312"/>
                <w:color w:val="000000"/>
                <w:highlight w:val="none"/>
              </w:rPr>
              <w:t>个月以上不满</w:t>
            </w: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6</w:t>
            </w:r>
            <w:r>
              <w:rPr>
                <w:rFonts w:hint="eastAsia" w:ascii="Times New Roman" w:hAnsi="Times New Roman" w:eastAsia="仿宋_GB2312" w:cs="仿宋_GB2312"/>
                <w:color w:val="000000"/>
                <w:highlight w:val="none"/>
              </w:rPr>
              <w:t>个月以上</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eastAsia="仿宋_GB2312" w:cs="Times New Roman"/>
          <w:sz w:val="10"/>
          <w:szCs w:val="10"/>
          <w:highlight w:val="none"/>
        </w:rPr>
      </w:pPr>
      <w:r>
        <w:rPr>
          <w:rFonts w:ascii="Times New Roman" w:hAnsi="Times New Roman" w:eastAsia="仿宋_GB2312" w:cs="Times New Roman"/>
          <w:sz w:val="32"/>
          <w:szCs w:val="32"/>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（八）其他类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vAlign w:val="center"/>
          </w:tcPr>
          <w:p>
            <w:pPr>
              <w:pStyle w:val="11"/>
              <w:snapToGrid w:val="0"/>
              <w:ind w:firstLine="42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依照规定应当向环境保护主管部门备案而未备案的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《消耗臭氧层物质管理条例》第十七条第一款</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消耗臭氧层物质的销售单位，应当按照国务院环境保护主管部门的规定办理备案手续。</w:t>
            </w:r>
          </w:p>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第十九条</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从事含消耗臭氧层物质的制冷设备、制冷系统或者灭火系统的维修、报废处理等经营活动的单位，应当向所在地县级人民政府环境保护主管部门备案。</w:t>
            </w:r>
          </w:p>
          <w:p>
            <w:pPr>
              <w:pStyle w:val="11"/>
              <w:ind w:firstLine="420"/>
              <w:rPr>
                <w:rFonts w:ascii="Times New Roman" w:hAnsi="Times New Roman" w:eastAsia="仿宋_GB2312" w:cs="Times New Roman"/>
                <w:b/>
                <w:bCs/>
                <w:sz w:val="21"/>
                <w:szCs w:val="21"/>
                <w:highlight w:val="none"/>
              </w:rPr>
            </w:pPr>
            <w:r>
              <w:rPr>
                <w:rFonts w:hint="eastAsia" w:ascii="Times New Roman" w:hAnsi="Times New Roman" w:eastAsia="仿宋_GB2312" w:cs="仿宋_GB2312"/>
                <w:sz w:val="21"/>
                <w:szCs w:val="21"/>
                <w:highlight w:val="none"/>
              </w:rPr>
              <w:t>专门从事消耗臭氧层物质回收、再生利用或者销毁等经营活动的单位，应当向所在地省、自治区、直辖市人民政府环境保护主管部门备案。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《消耗臭氧层物质管理条例》第三十八条第（一）项</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从事消耗臭氧层物质生产、销售、使用、进出口、回收、再生利用、销毁等经营活动的单位，以及从事含消耗臭氧层物质的制冷设备、制冷系统或者灭火系统的维修、报废处理等经营活动的单位有下列行为之一的，由所在地县级以上地方人民政府环境保护主管部门责令改正，处</w:t>
            </w:r>
            <w:r>
              <w:rPr>
                <w:rFonts w:ascii="Times New Roman" w:hAnsi="Times New Roman" w:eastAsia="仿宋_GB2312" w:cs="Times New Roman"/>
                <w:sz w:val="21"/>
                <w:szCs w:val="21"/>
                <w:highlight w:val="none"/>
              </w:rPr>
              <w:t>5000</w:t>
            </w:r>
            <w:r>
              <w:rPr>
                <w:rFonts w:hint="eastAsia" w:ascii="Times New Roman" w:hAnsi="Times New Roman" w:eastAsia="仿宋_GB2312" w:cs="仿宋_GB2312"/>
                <w:sz w:val="21"/>
                <w:szCs w:val="21"/>
                <w:highlight w:val="none"/>
              </w:rPr>
              <w:t>元以上</w:t>
            </w:r>
            <w:r>
              <w:rPr>
                <w:rFonts w:ascii="Times New Roman" w:hAnsi="Times New Roman" w:eastAsia="仿宋_GB2312" w:cs="Times New Roman"/>
                <w:sz w:val="21"/>
                <w:szCs w:val="21"/>
                <w:highlight w:val="none"/>
              </w:rPr>
              <w:t>2</w:t>
            </w:r>
            <w:r>
              <w:rPr>
                <w:rFonts w:hint="eastAsia" w:ascii="Times New Roman" w:hAnsi="Times New Roman" w:eastAsia="仿宋_GB2312" w:cs="仿宋_GB2312"/>
                <w:sz w:val="21"/>
                <w:szCs w:val="21"/>
                <w:highlight w:val="none"/>
              </w:rPr>
              <w:t>万元以下的罚款：</w:t>
            </w:r>
          </w:p>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（一）依照本条例规定应当向环境保护主管部门备案而未备案的。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8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spacing w:line="288" w:lineRule="auto"/>
              <w:jc w:val="center"/>
              <w:rPr>
                <w:rFonts w:ascii="Times New Roman" w:hAnsi="Times New Roman" w:cs="Times New Roman"/>
                <w:b/>
                <w:bCs/>
                <w:highlight w:val="none"/>
              </w:rPr>
            </w:pPr>
            <w:r>
              <w:rPr>
                <w:rFonts w:hint="eastAsia" w:ascii="Times New Roman" w:hAnsi="Times New Roman" w:cs="宋体"/>
                <w:b/>
                <w:bCs/>
                <w:highlight w:val="none"/>
              </w:rPr>
              <w:t>消耗臭氧层物质种类</w:t>
            </w:r>
            <w:r>
              <w:rPr>
                <w:rFonts w:hint="eastAsia" w:ascii="Times New Roman" w:hAnsi="Times New Roman" w:cs="宋体"/>
                <w:b/>
                <w:bCs/>
                <w:color w:val="000000"/>
                <w:highlight w:val="none"/>
              </w:rPr>
              <w:t>★</w:t>
            </w: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允许使用类物质</w:t>
            </w:r>
          </w:p>
        </w:tc>
        <w:tc>
          <w:tcPr>
            <w:tcW w:w="2689" w:type="dxa"/>
            <w:vAlign w:val="center"/>
          </w:tcPr>
          <w:p>
            <w:pPr>
              <w:snapToGrid w:val="0"/>
              <w:spacing w:line="288" w:lineRule="auto"/>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过渡性使用类物质</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禁止使用类物质</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违法时间</w:t>
            </w: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不满</w:t>
            </w:r>
            <w:r>
              <w:rPr>
                <w:rFonts w:ascii="Times New Roman" w:hAnsi="Times New Roman" w:eastAsia="仿宋_GB2312" w:cs="Times New Roman"/>
                <w:highlight w:val="none"/>
              </w:rPr>
              <w:t>1</w:t>
            </w:r>
            <w:r>
              <w:rPr>
                <w:rFonts w:hint="eastAsia" w:ascii="Times New Roman" w:hAnsi="Times New Roman" w:eastAsia="仿宋_GB2312" w:cs="仿宋_GB2312"/>
                <w:highlight w:val="none"/>
              </w:rPr>
              <w:t>个月</w:t>
            </w:r>
          </w:p>
        </w:tc>
        <w:tc>
          <w:tcPr>
            <w:tcW w:w="268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r>
              <w:rPr>
                <w:rFonts w:hint="eastAsia" w:ascii="Times New Roman" w:hAnsi="Times New Roman" w:eastAsia="仿宋_GB2312" w:cs="仿宋_GB2312"/>
                <w:highlight w:val="none"/>
              </w:rPr>
              <w:t>个月以上，不满</w:t>
            </w:r>
            <w:r>
              <w:rPr>
                <w:rFonts w:ascii="Times New Roman" w:hAnsi="Times New Roman" w:eastAsia="仿宋_GB2312" w:cs="Times New Roman"/>
                <w:highlight w:val="none"/>
              </w:rPr>
              <w:t>3</w:t>
            </w:r>
            <w:r>
              <w:rPr>
                <w:rFonts w:hint="eastAsia" w:ascii="Times New Roman" w:hAnsi="Times New Roman" w:eastAsia="仿宋_GB2312" w:cs="仿宋_GB2312"/>
                <w:highlight w:val="none"/>
              </w:rPr>
              <w:t>个月</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r>
              <w:rPr>
                <w:rFonts w:hint="eastAsia" w:ascii="Times New Roman" w:hAnsi="Times New Roman" w:eastAsia="仿宋_GB2312" w:cs="仿宋_GB2312"/>
                <w:highlight w:val="none"/>
              </w:rPr>
              <w:t>个月以上，不满</w:t>
            </w:r>
            <w:r>
              <w:rPr>
                <w:rFonts w:ascii="Times New Roman" w:hAnsi="Times New Roman" w:eastAsia="仿宋_GB2312" w:cs="Times New Roman"/>
                <w:highlight w:val="none"/>
              </w:rPr>
              <w:t>6</w:t>
            </w:r>
            <w:r>
              <w:rPr>
                <w:rFonts w:hint="eastAsia" w:ascii="Times New Roman" w:hAnsi="Times New Roman" w:eastAsia="仿宋_GB2312" w:cs="仿宋_GB2312"/>
                <w:highlight w:val="none"/>
              </w:rPr>
              <w:t>个月</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6</w:t>
            </w:r>
            <w:r>
              <w:rPr>
                <w:rFonts w:hint="eastAsia" w:ascii="Times New Roman" w:hAnsi="Times New Roman" w:eastAsia="仿宋_GB2312" w:cs="仿宋_GB2312"/>
                <w:highlight w:val="none"/>
              </w:rPr>
              <w:t>个月以上，不满</w:t>
            </w:r>
            <w:r>
              <w:rPr>
                <w:rFonts w:ascii="Times New Roman" w:hAnsi="Times New Roman" w:eastAsia="仿宋_GB2312" w:cs="Times New Roman"/>
                <w:highlight w:val="none"/>
              </w:rPr>
              <w:t>12</w:t>
            </w:r>
            <w:r>
              <w:rPr>
                <w:rFonts w:hint="eastAsia" w:ascii="Times New Roman" w:hAnsi="Times New Roman" w:eastAsia="仿宋_GB2312" w:cs="仿宋_GB2312"/>
                <w:highlight w:val="none"/>
              </w:rPr>
              <w:t>个月</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12</w:t>
            </w:r>
            <w:r>
              <w:rPr>
                <w:rFonts w:hint="eastAsia" w:ascii="Times New Roman" w:hAnsi="Times New Roman" w:eastAsia="仿宋_GB2312" w:cs="仿宋_GB2312"/>
                <w:highlight w:val="none"/>
              </w:rPr>
              <w:t>个月以上</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tcPr>
          <w:p>
            <w:pPr>
              <w:snapToGrid w:val="0"/>
              <w:ind w:firstLine="420"/>
              <w:jc w:val="center"/>
              <w:rPr>
                <w:rFonts w:ascii="Times New Roman" w:hAnsi="Times New Roman" w:cs="Times New Roman"/>
                <w:highlight w:val="none"/>
              </w:rPr>
            </w:pPr>
          </w:p>
        </w:tc>
      </w:tr>
    </w:tbl>
    <w:p>
      <w:pPr>
        <w:snapToGrid w:val="0"/>
        <w:rPr>
          <w:rFonts w:ascii="Times New Roman" w:hAnsi="Times New Roman" w:eastAsia="仿宋_GB2312" w:cs="Times New Roman"/>
          <w:sz w:val="10"/>
          <w:szCs w:val="10"/>
          <w:highlight w:val="none"/>
        </w:rPr>
      </w:pPr>
      <w:r>
        <w:rPr>
          <w:rFonts w:ascii="Times New Roman" w:hAnsi="Times New Roman" w:eastAsia="仿宋_GB2312" w:cs="Times New Roman"/>
          <w:sz w:val="32"/>
          <w:szCs w:val="32"/>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（八）其他类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vAlign w:val="center"/>
          </w:tcPr>
          <w:p>
            <w:pPr>
              <w:pStyle w:val="11"/>
              <w:snapToGrid w:val="0"/>
              <w:ind w:firstLine="42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未按照规定完整保存有关生产经营活动的原始资料的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《消耗臭氧层物质管理条例》第二十一条</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从事消耗臭氧层物质的生产、销售、使用、回收、再生利用、销毁等经营活动的单位，以及从事含消耗臭氧层物质的制冷设备、制冷系统或者灭火系统的维修、报废处理等经营活动的单位，应当完整保存有关生产经营活动的原始资料至少</w:t>
            </w:r>
            <w:r>
              <w:rPr>
                <w:rFonts w:ascii="Times New Roman" w:hAnsi="Times New Roman" w:eastAsia="仿宋_GB2312" w:cs="Times New Roman"/>
                <w:sz w:val="21"/>
                <w:szCs w:val="21"/>
                <w:highlight w:val="none"/>
              </w:rPr>
              <w:t>3</w:t>
            </w:r>
            <w:r>
              <w:rPr>
                <w:rFonts w:hint="eastAsia" w:ascii="Times New Roman" w:hAnsi="Times New Roman" w:eastAsia="仿宋_GB2312" w:cs="仿宋_GB2312"/>
                <w:sz w:val="21"/>
                <w:szCs w:val="21"/>
                <w:highlight w:val="none"/>
              </w:rPr>
              <w:t>年，并按照国务院环境保护主管部门的规定报送相关数据。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《消耗臭氧层物质管理条例》第三十八条第（二）项</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从事消耗臭氧层物质生产、销售、使用、进出口、回收、再生利用、销毁等经营活动的单位，以及从事含消耗臭氧层物质的制冷设备、制冷系统或者灭火系统的维修、报废处理等经营活动的单位有下列行为之一的，由所在地县级以上地方人民政府环境保护主管部门责令改正，处</w:t>
            </w:r>
            <w:r>
              <w:rPr>
                <w:rFonts w:ascii="Times New Roman" w:hAnsi="Times New Roman" w:eastAsia="仿宋_GB2312" w:cs="Times New Roman"/>
                <w:sz w:val="21"/>
                <w:szCs w:val="21"/>
                <w:highlight w:val="none"/>
              </w:rPr>
              <w:t>5000</w:t>
            </w:r>
            <w:r>
              <w:rPr>
                <w:rFonts w:hint="eastAsia" w:ascii="Times New Roman" w:hAnsi="Times New Roman" w:eastAsia="仿宋_GB2312" w:cs="仿宋_GB2312"/>
                <w:sz w:val="21"/>
                <w:szCs w:val="21"/>
                <w:highlight w:val="none"/>
              </w:rPr>
              <w:t>元以上</w:t>
            </w:r>
            <w:r>
              <w:rPr>
                <w:rFonts w:ascii="Times New Roman" w:hAnsi="Times New Roman" w:eastAsia="仿宋_GB2312" w:cs="Times New Roman"/>
                <w:sz w:val="21"/>
                <w:szCs w:val="21"/>
                <w:highlight w:val="none"/>
              </w:rPr>
              <w:t>2</w:t>
            </w:r>
            <w:r>
              <w:rPr>
                <w:rFonts w:hint="eastAsia" w:ascii="Times New Roman" w:hAnsi="Times New Roman" w:eastAsia="仿宋_GB2312" w:cs="仿宋_GB2312"/>
                <w:sz w:val="21"/>
                <w:szCs w:val="21"/>
                <w:highlight w:val="none"/>
              </w:rPr>
              <w:t>万元以下的罚款：</w:t>
            </w:r>
          </w:p>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（二）未按照规定完整保存有关生产经营活动的原始资料的。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8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违法事实</w:t>
            </w:r>
            <w:r>
              <w:rPr>
                <w:rFonts w:hint="eastAsia" w:ascii="Times New Roman" w:hAnsi="Times New Roman" w:cs="宋体"/>
                <w:b/>
                <w:bCs/>
                <w:color w:val="000000"/>
                <w:highlight w:val="none"/>
              </w:rPr>
              <w:t>★</w:t>
            </w: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已完整保存原始资料，但不规范的</w:t>
            </w:r>
          </w:p>
        </w:tc>
        <w:tc>
          <w:tcPr>
            <w:tcW w:w="268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保存部分原始资料，但不完整的</w:t>
            </w:r>
          </w:p>
        </w:tc>
        <w:tc>
          <w:tcPr>
            <w:tcW w:w="268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未保存原始资料的</w:t>
            </w:r>
          </w:p>
        </w:tc>
        <w:tc>
          <w:tcPr>
            <w:tcW w:w="268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消耗臭氧层物质种类</w:t>
            </w: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允许使用类物质</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过渡性使用类物质</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禁止使用类物质</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保存时限</w:t>
            </w: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r>
              <w:rPr>
                <w:rFonts w:hint="eastAsia" w:ascii="Times New Roman" w:hAnsi="Times New Roman" w:eastAsia="仿宋_GB2312" w:cs="仿宋_GB2312"/>
                <w:highlight w:val="none"/>
              </w:rPr>
              <w:t>年以上</w:t>
            </w:r>
            <w:r>
              <w:rPr>
                <w:rFonts w:ascii="Times New Roman" w:hAnsi="Times New Roman" w:eastAsia="仿宋_GB2312" w:cs="Times New Roman"/>
                <w:highlight w:val="none"/>
              </w:rPr>
              <w:t>3</w:t>
            </w:r>
            <w:r>
              <w:rPr>
                <w:rFonts w:hint="eastAsia" w:ascii="Times New Roman" w:hAnsi="Times New Roman" w:eastAsia="仿宋_GB2312" w:cs="仿宋_GB2312"/>
                <w:highlight w:val="none"/>
              </w:rPr>
              <w:t>年以内的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r>
              <w:rPr>
                <w:rFonts w:hint="eastAsia" w:ascii="Times New Roman" w:hAnsi="Times New Roman" w:eastAsia="仿宋_GB2312" w:cs="仿宋_GB2312"/>
                <w:highlight w:val="none"/>
              </w:rPr>
              <w:t>年以上</w:t>
            </w:r>
            <w:r>
              <w:rPr>
                <w:rFonts w:ascii="Times New Roman" w:hAnsi="Times New Roman" w:eastAsia="仿宋_GB2312" w:cs="Times New Roman"/>
                <w:highlight w:val="none"/>
              </w:rPr>
              <w:t>2</w:t>
            </w:r>
            <w:r>
              <w:rPr>
                <w:rFonts w:hint="eastAsia" w:ascii="Times New Roman" w:hAnsi="Times New Roman" w:eastAsia="仿宋_GB2312" w:cs="仿宋_GB2312"/>
                <w:highlight w:val="none"/>
              </w:rPr>
              <w:t>年以内的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不足</w:t>
            </w:r>
            <w:r>
              <w:rPr>
                <w:rFonts w:ascii="Times New Roman" w:hAnsi="Times New Roman" w:eastAsia="仿宋_GB2312" w:cs="Times New Roman"/>
                <w:highlight w:val="none"/>
              </w:rPr>
              <w:t>1</w:t>
            </w:r>
            <w:r>
              <w:rPr>
                <w:rFonts w:hint="eastAsia" w:ascii="Times New Roman" w:hAnsi="Times New Roman" w:eastAsia="仿宋_GB2312" w:cs="仿宋_GB2312"/>
                <w:highlight w:val="none"/>
              </w:rPr>
              <w:t>年的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eastAsia="仿宋_GB2312" w:cs="Times New Roman"/>
          <w:sz w:val="10"/>
          <w:szCs w:val="10"/>
          <w:highlight w:val="none"/>
        </w:rPr>
      </w:pPr>
      <w:r>
        <w:rPr>
          <w:rFonts w:ascii="Times New Roman" w:hAnsi="Times New Roman" w:eastAsia="仿宋_GB2312" w:cs="Times New Roman"/>
          <w:sz w:val="32"/>
          <w:szCs w:val="32"/>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（八）其他类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902" w:type="dxa"/>
            <w:gridSpan w:val="2"/>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02" w:type="dxa"/>
            <w:gridSpan w:val="2"/>
            <w:vAlign w:val="center"/>
          </w:tcPr>
          <w:p>
            <w:pPr>
              <w:pStyle w:val="11"/>
              <w:snapToGrid w:val="0"/>
              <w:ind w:firstLine="42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未按时申报或者谎报、瞒报有关经营活动的数据资料的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《消耗臭氧层物质管理条例》第二十一条</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从事消耗臭氧层物质的生产、销售、使用、回收、再生利用、销毁等经营活动的单位，以及从事含消耗臭氧层物质的制冷设备、制冷系统或者灭火系统的维修、报废处理等经营活动的单位，应当完整保存有关生产经营活动的原始资料至少</w:t>
            </w:r>
            <w:r>
              <w:rPr>
                <w:rFonts w:ascii="Times New Roman" w:hAnsi="Times New Roman" w:eastAsia="仿宋_GB2312" w:cs="Times New Roman"/>
                <w:sz w:val="21"/>
                <w:szCs w:val="21"/>
                <w:highlight w:val="none"/>
              </w:rPr>
              <w:t>3</w:t>
            </w:r>
            <w:r>
              <w:rPr>
                <w:rFonts w:hint="eastAsia" w:ascii="Times New Roman" w:hAnsi="Times New Roman" w:eastAsia="仿宋_GB2312" w:cs="仿宋_GB2312"/>
                <w:sz w:val="21"/>
                <w:szCs w:val="21"/>
                <w:highlight w:val="none"/>
              </w:rPr>
              <w:t>年，并按照国务院环境保护主管部门的规定报送相关数据。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《消耗臭氧层物质管理条例》第三十八条第（三）项</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从事消耗臭氧层物质生产、销售、使用、进出口、回收、再生利用、销毁等经营活动的单位，以及从事含消耗臭氧层物质的制冷设备、制冷系统或者灭火系统的维修、报废处理等经营活动的单位有下列行为之一的，由所在地县级以上地方人民政府环境保护主管部门责令改正，处</w:t>
            </w:r>
            <w:r>
              <w:rPr>
                <w:rFonts w:ascii="Times New Roman" w:hAnsi="Times New Roman" w:eastAsia="仿宋_GB2312" w:cs="Times New Roman"/>
                <w:sz w:val="21"/>
                <w:szCs w:val="21"/>
                <w:highlight w:val="none"/>
              </w:rPr>
              <w:t>5000</w:t>
            </w:r>
            <w:r>
              <w:rPr>
                <w:rFonts w:hint="eastAsia" w:ascii="Times New Roman" w:hAnsi="Times New Roman" w:eastAsia="仿宋_GB2312" w:cs="仿宋_GB2312"/>
                <w:sz w:val="21"/>
                <w:szCs w:val="21"/>
                <w:highlight w:val="none"/>
              </w:rPr>
              <w:t>元以上</w:t>
            </w:r>
            <w:r>
              <w:rPr>
                <w:rFonts w:ascii="Times New Roman" w:hAnsi="Times New Roman" w:eastAsia="仿宋_GB2312" w:cs="Times New Roman"/>
                <w:sz w:val="21"/>
                <w:szCs w:val="21"/>
                <w:highlight w:val="none"/>
              </w:rPr>
              <w:t>2</w:t>
            </w:r>
            <w:r>
              <w:rPr>
                <w:rFonts w:hint="eastAsia" w:ascii="Times New Roman" w:hAnsi="Times New Roman" w:eastAsia="仿宋_GB2312" w:cs="仿宋_GB2312"/>
                <w:sz w:val="21"/>
                <w:szCs w:val="21"/>
                <w:highlight w:val="none"/>
              </w:rPr>
              <w:t>万元以下的罚款：</w:t>
            </w:r>
          </w:p>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（三）未按时申报或者谎报、瞒报有关经营活动的数据资料的。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8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1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未按时申报有关经营活动的部分数据资料的</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未按时申报有关经营活动的全部数据资料的</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1"/>
              <w:snapToGrid w:val="0"/>
              <w:jc w:val="center"/>
              <w:rPr>
                <w:rFonts w:ascii="Times New Roman" w:hAnsi="Times New Roman" w:eastAsia="仿宋_GB2312" w:cs="仿宋_GB2312"/>
                <w:color w:val="000000"/>
                <w:sz w:val="21"/>
                <w:szCs w:val="21"/>
                <w:highlight w:val="none"/>
              </w:rPr>
            </w:pPr>
            <w:r>
              <w:rPr>
                <w:rFonts w:hint="eastAsia" w:ascii="Times New Roman" w:hAnsi="Times New Roman" w:eastAsia="仿宋_GB2312" w:cs="仿宋_GB2312"/>
                <w:color w:val="000000"/>
                <w:sz w:val="21"/>
                <w:szCs w:val="21"/>
                <w:highlight w:val="none"/>
              </w:rPr>
              <w:t>谎报、瞒报有关经营活动的部分数据资料的</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1"/>
              <w:snapToGrid w:val="0"/>
              <w:jc w:val="center"/>
              <w:rPr>
                <w:rFonts w:ascii="Times New Roman" w:hAnsi="Times New Roman" w:eastAsia="仿宋_GB2312" w:cs="仿宋_GB2312"/>
                <w:color w:val="000000"/>
                <w:sz w:val="21"/>
                <w:szCs w:val="21"/>
                <w:highlight w:val="none"/>
              </w:rPr>
            </w:pPr>
            <w:r>
              <w:rPr>
                <w:rFonts w:hint="eastAsia" w:ascii="Times New Roman" w:hAnsi="Times New Roman" w:eastAsia="仿宋_GB2312" w:cs="仿宋_GB2312"/>
                <w:color w:val="000000"/>
                <w:sz w:val="21"/>
                <w:szCs w:val="21"/>
                <w:highlight w:val="none"/>
              </w:rPr>
              <w:t>谎报、瞒报有关经营活动的全部数据资料的</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消耗臭氧层物质种类</w:t>
            </w: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允许使用类物质</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过渡性使用类物质</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禁止使用类物质</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eastAsia="仿宋_GB2312" w:cs="Times New Roman"/>
          <w:sz w:val="10"/>
          <w:szCs w:val="10"/>
          <w:highlight w:val="none"/>
        </w:rPr>
      </w:pPr>
      <w:r>
        <w:rPr>
          <w:rFonts w:ascii="Times New Roman" w:hAnsi="Times New Roman" w:eastAsia="仿宋_GB2312" w:cs="Times New Roman"/>
          <w:sz w:val="32"/>
          <w:szCs w:val="32"/>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（八）其他类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vAlign w:val="center"/>
          </w:tcPr>
          <w:p>
            <w:pPr>
              <w:pStyle w:val="11"/>
              <w:snapToGrid w:val="0"/>
              <w:ind w:firstLine="42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未按照监督检查人员的要求提供必要的资料的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《消耗臭氧层物质管理条例》第二十六条第二款</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被检查单位应当予以配合，如实反映情况，提供必要资料，不得拒绝和阻碍。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《消耗臭氧层物质管理条例》第三十八条第（四）项</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从事消耗臭氧层物质生产、销售、使用、进出口、回收、再生利用、销毁等经营活动的单位，以及从事含消耗臭氧层物质的制冷设备、制冷系统或者灭火系统的维修、报废处理等经营活动的单位有下列行为之一的，由所在地县级以上地方人民政府环境保护主管部门责令改正，处</w:t>
            </w:r>
            <w:r>
              <w:rPr>
                <w:rFonts w:ascii="Times New Roman" w:hAnsi="Times New Roman" w:eastAsia="仿宋_GB2312" w:cs="Times New Roman"/>
                <w:sz w:val="21"/>
                <w:szCs w:val="21"/>
                <w:highlight w:val="none"/>
              </w:rPr>
              <w:t>5000</w:t>
            </w:r>
            <w:r>
              <w:rPr>
                <w:rFonts w:hint="eastAsia" w:ascii="Times New Roman" w:hAnsi="Times New Roman" w:eastAsia="仿宋_GB2312" w:cs="仿宋_GB2312"/>
                <w:sz w:val="21"/>
                <w:szCs w:val="21"/>
                <w:highlight w:val="none"/>
              </w:rPr>
              <w:t>元以上</w:t>
            </w:r>
            <w:r>
              <w:rPr>
                <w:rFonts w:ascii="Times New Roman" w:hAnsi="Times New Roman" w:eastAsia="仿宋_GB2312" w:cs="Times New Roman"/>
                <w:sz w:val="21"/>
                <w:szCs w:val="21"/>
                <w:highlight w:val="none"/>
              </w:rPr>
              <w:t>2</w:t>
            </w:r>
            <w:r>
              <w:rPr>
                <w:rFonts w:hint="eastAsia" w:ascii="Times New Roman" w:hAnsi="Times New Roman" w:eastAsia="仿宋_GB2312" w:cs="仿宋_GB2312"/>
                <w:sz w:val="21"/>
                <w:szCs w:val="21"/>
                <w:highlight w:val="none"/>
              </w:rPr>
              <w:t>万元以下的罚款：</w:t>
            </w:r>
          </w:p>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（四）未按照监督检查人员的要求提供必要的资料的。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8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提供资料</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情况</w:t>
            </w:r>
            <w:r>
              <w:rPr>
                <w:rFonts w:hint="eastAsia" w:ascii="Times New Roman" w:hAnsi="Times New Roman" w:cs="宋体"/>
                <w:b/>
                <w:bCs/>
                <w:color w:val="000000"/>
                <w:highlight w:val="none"/>
              </w:rPr>
              <w:t>★</w:t>
            </w: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提供资料不全</w:t>
            </w:r>
          </w:p>
        </w:tc>
        <w:tc>
          <w:tcPr>
            <w:tcW w:w="268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提供假信息</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伪造现场或证据</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消耗臭氧层物质种类</w:t>
            </w: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允许使用类物质</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过渡性使用类物质</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禁止使用类物质</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tcPr>
          <w:p>
            <w:pPr>
              <w:snapToGrid w:val="0"/>
              <w:ind w:firstLine="420"/>
              <w:jc w:val="center"/>
              <w:rPr>
                <w:rFonts w:ascii="Times New Roman" w:hAnsi="Times New Roman" w:cs="Times New Roman"/>
                <w:highlight w:val="none"/>
              </w:rPr>
            </w:pPr>
          </w:p>
        </w:tc>
      </w:tr>
    </w:tbl>
    <w:p>
      <w:pPr>
        <w:snapToGrid w:val="0"/>
        <w:rPr>
          <w:rFonts w:ascii="Times New Roman" w:hAnsi="Times New Roman" w:eastAsia="仿宋_GB2312" w:cs="Times New Roman"/>
          <w:sz w:val="10"/>
          <w:szCs w:val="10"/>
          <w:highlight w:val="none"/>
        </w:rPr>
      </w:pPr>
      <w:r>
        <w:rPr>
          <w:rFonts w:ascii="Times New Roman" w:hAnsi="Times New Roman" w:eastAsia="仿宋_GB2312" w:cs="Times New Roman"/>
          <w:sz w:val="32"/>
          <w:szCs w:val="32"/>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（八）其他类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拒绝、阻碍环境保护主管部门或者其他有关部门的监督检查，或者在接受监督检查时弄虚作假的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《消耗臭氧层物质管理条例》第二十六条第二款</w:t>
            </w:r>
            <w:r>
              <w:rPr>
                <w:rFonts w:ascii="Times New Roman" w:hAnsi="Times New Roman" w:eastAsia="仿宋_GB2312" w:cs="Times New Roman"/>
                <w:sz w:val="21"/>
                <w:szCs w:val="21"/>
                <w:highlight w:val="none"/>
              </w:rPr>
              <w:t xml:space="preserve">  </w:t>
            </w:r>
            <w:r>
              <w:rPr>
                <w:rFonts w:hint="eastAsia" w:ascii="Times New Roman" w:hAnsi="Times New Roman" w:eastAsia="仿宋_GB2312" w:cs="仿宋_GB2312"/>
                <w:sz w:val="21"/>
                <w:szCs w:val="21"/>
                <w:highlight w:val="none"/>
              </w:rPr>
              <w:t>被检查单位应当予以配合，如实反映情况，提供必要资料，不得拒绝和阻碍。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Pr>
          <w:p>
            <w:pPr>
              <w:pStyle w:val="11"/>
              <w:ind w:firstLine="420"/>
              <w:rPr>
                <w:rFonts w:ascii="Times New Roman" w:hAnsi="Times New Roman" w:eastAsia="仿宋_GB2312" w:cs="Times New Roman"/>
                <w:sz w:val="21"/>
                <w:szCs w:val="21"/>
                <w:highlight w:val="none"/>
              </w:rPr>
            </w:pPr>
            <w:r>
              <w:rPr>
                <w:rFonts w:hint="eastAsia" w:ascii="Times New Roman" w:hAnsi="Times New Roman" w:eastAsia="仿宋_GB2312" w:cs="仿宋_GB2312"/>
                <w:b/>
                <w:bCs/>
                <w:sz w:val="21"/>
                <w:szCs w:val="21"/>
                <w:highlight w:val="none"/>
              </w:rPr>
              <w:t>《消耗臭氧层物质管理条例》第三十九条</w:t>
            </w:r>
            <w:r>
              <w:rPr>
                <w:rFonts w:ascii="Times New Roman" w:hAnsi="Times New Roman" w:eastAsia="仿宋_GB2312" w:cs="Times New Roman"/>
                <w:b/>
                <w:bCs/>
                <w:sz w:val="21"/>
                <w:szCs w:val="21"/>
                <w:highlight w:val="none"/>
              </w:rPr>
              <w:t xml:space="preserve">  </w:t>
            </w:r>
            <w:r>
              <w:rPr>
                <w:rFonts w:hint="eastAsia" w:ascii="Times New Roman" w:hAnsi="Times New Roman" w:eastAsia="仿宋_GB2312" w:cs="仿宋_GB2312"/>
                <w:sz w:val="21"/>
                <w:szCs w:val="21"/>
                <w:highlight w:val="none"/>
              </w:rPr>
              <w:t>拒绝、阻碍环境保护主管部门或者其他有关部门的监督检查，或者在接受监督检查时弄虚作假的，由监督检查部门责令改正，处</w:t>
            </w:r>
            <w:r>
              <w:rPr>
                <w:rFonts w:ascii="Times New Roman" w:hAnsi="Times New Roman" w:eastAsia="仿宋_GB2312" w:cs="Times New Roman"/>
                <w:sz w:val="21"/>
                <w:szCs w:val="21"/>
                <w:highlight w:val="none"/>
              </w:rPr>
              <w:t>1</w:t>
            </w:r>
            <w:r>
              <w:rPr>
                <w:rFonts w:hint="eastAsia" w:ascii="Times New Roman" w:hAnsi="Times New Roman" w:eastAsia="仿宋_GB2312" w:cs="仿宋_GB2312"/>
                <w:sz w:val="21"/>
                <w:szCs w:val="21"/>
                <w:highlight w:val="none"/>
              </w:rPr>
              <w:t>万元以上</w:t>
            </w:r>
            <w:r>
              <w:rPr>
                <w:rFonts w:ascii="Times New Roman" w:hAnsi="Times New Roman" w:eastAsia="仿宋_GB2312" w:cs="Times New Roman"/>
                <w:sz w:val="21"/>
                <w:szCs w:val="21"/>
                <w:highlight w:val="none"/>
              </w:rPr>
              <w:t>2</w:t>
            </w:r>
            <w:r>
              <w:rPr>
                <w:rFonts w:hint="eastAsia" w:ascii="Times New Roman" w:hAnsi="Times New Roman" w:eastAsia="仿宋_GB2312" w:cs="仿宋_GB2312"/>
                <w:sz w:val="21"/>
                <w:szCs w:val="21"/>
                <w:highlight w:val="none"/>
              </w:rPr>
              <w:t>万元以下的罚款；构成违反治安管理行为的，由公安机关依法给予治安管理处罚；构成犯罪的，依法追究刑事责任。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8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违法事实</w:t>
            </w:r>
            <w:r>
              <w:rPr>
                <w:rFonts w:hint="eastAsia" w:ascii="Times New Roman" w:hAnsi="Times New Roman" w:cs="宋体"/>
                <w:b/>
                <w:bCs/>
                <w:color w:val="000000"/>
                <w:highlight w:val="none"/>
              </w:rPr>
              <w:t>★</w:t>
            </w:r>
          </w:p>
        </w:tc>
        <w:tc>
          <w:tcPr>
            <w:tcW w:w="5213"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迟滞</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分钟以上</w:t>
            </w:r>
            <w:r>
              <w:rPr>
                <w:rFonts w:ascii="Times New Roman" w:hAnsi="Times New Roman" w:eastAsia="仿宋_GB2312" w:cs="Times New Roman"/>
                <w:sz w:val="21"/>
                <w:szCs w:val="21"/>
                <w:highlight w:val="none"/>
              </w:rPr>
              <w:t>30</w:t>
            </w:r>
            <w:r>
              <w:rPr>
                <w:rFonts w:hint="eastAsia" w:ascii="Times New Roman" w:hAnsi="Times New Roman" w:eastAsia="仿宋_GB2312" w:cs="仿宋_GB2312"/>
                <w:sz w:val="21"/>
                <w:szCs w:val="21"/>
                <w:highlight w:val="none"/>
              </w:rPr>
              <w:t>分钟以内/提供非关键性假信息</w:t>
            </w:r>
          </w:p>
        </w:tc>
        <w:tc>
          <w:tcPr>
            <w:tcW w:w="268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迟滞超过半小时</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阻碍或隐匿部分资料/提供假信息</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围堵、滞留执法人员或拒绝提供资料</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暴力抗法/伪造现场或证据</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eastAsia="仿宋_GB2312" w:cs="Times New Roman"/>
          <w:sz w:val="10"/>
          <w:szCs w:val="10"/>
          <w:highlight w:val="none"/>
        </w:rPr>
      </w:pPr>
      <w:r>
        <w:rPr>
          <w:rFonts w:ascii="Times New Roman" w:hAnsi="Times New Roman" w:eastAsia="仿宋_GB2312" w:cs="Times New Roman"/>
          <w:sz w:val="10"/>
          <w:szCs w:val="10"/>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（八）其他类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tcBorders>
              <w:top w:val="single" w:color="auto" w:sz="4" w:space="0"/>
              <w:left w:val="single" w:color="auto" w:sz="4" w:space="0"/>
              <w:bottom w:val="single" w:color="auto" w:sz="4" w:space="0"/>
              <w:right w:val="single" w:color="auto" w:sz="4" w:space="0"/>
            </w:tcBorders>
            <w:vAlign w:val="center"/>
          </w:tcPr>
          <w:p>
            <w:pPr>
              <w:pStyle w:val="11"/>
              <w:ind w:firstLine="420"/>
              <w:rPr>
                <w:rFonts w:ascii="Times New Roman" w:hAnsi="Times New Roman" w:eastAsia="仿宋_GB2312" w:cs="Times New Roman"/>
                <w:color w:val="000000"/>
                <w:sz w:val="21"/>
                <w:szCs w:val="21"/>
                <w:highlight w:val="none"/>
              </w:rPr>
            </w:pPr>
            <w:r>
              <w:rPr>
                <w:rFonts w:hint="eastAsia" w:ascii="仿宋_GB2312" w:hAnsi="Times New Roman" w:eastAsia="仿宋_GB2312" w:cs="Times New Roman"/>
                <w:color w:val="000000"/>
                <w:sz w:val="21"/>
                <w:szCs w:val="21"/>
                <w:highlight w:val="none"/>
              </w:rPr>
              <w:t>未取得排污许可证排放污染物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Borders>
              <w:top w:val="single" w:color="auto" w:sz="4" w:space="0"/>
              <w:left w:val="single" w:color="auto" w:sz="4" w:space="0"/>
              <w:bottom w:val="single" w:color="auto" w:sz="4" w:space="0"/>
              <w:right w:val="single" w:color="auto" w:sz="4" w:space="0"/>
            </w:tcBorders>
          </w:tcPr>
          <w:p>
            <w:pPr>
              <w:pStyle w:val="11"/>
              <w:ind w:firstLine="420"/>
              <w:rPr>
                <w:rFonts w:ascii="仿宋_GB2312" w:hAnsi="Times New Roman" w:eastAsia="仿宋_GB2312" w:cs="Times New Roman"/>
                <w:color w:val="000000"/>
                <w:sz w:val="21"/>
                <w:szCs w:val="21"/>
                <w:highlight w:val="none"/>
              </w:rPr>
            </w:pPr>
            <w:r>
              <w:rPr>
                <w:rFonts w:hint="eastAsia" w:ascii="仿宋_GB2312" w:hAnsi="Times New Roman" w:eastAsia="仿宋_GB2312" w:cs="Times New Roman"/>
                <w:b/>
                <w:bCs/>
                <w:color w:val="000000"/>
                <w:sz w:val="21"/>
                <w:szCs w:val="21"/>
                <w:highlight w:val="none"/>
              </w:rPr>
              <w:t>《排污许可管理条例》第二条第一款</w:t>
            </w:r>
            <w:r>
              <w:rPr>
                <w:rFonts w:ascii="Times New Roman" w:hAnsi="Times New Roman" w:eastAsia="仿宋_GB2312" w:cs="Times New Roman"/>
                <w:color w:val="000000"/>
                <w:sz w:val="21"/>
                <w:szCs w:val="21"/>
                <w:highlight w:val="none"/>
              </w:rPr>
              <w:t xml:space="preserve"> </w:t>
            </w:r>
            <w:r>
              <w:rPr>
                <w:rFonts w:hint="eastAsia" w:ascii="仿宋_GB2312" w:hAnsi="Times New Roman" w:eastAsia="仿宋_GB2312" w:cs="Times New Roman"/>
                <w:color w:val="000000"/>
                <w:sz w:val="21"/>
                <w:szCs w:val="21"/>
                <w:highlight w:val="none"/>
              </w:rPr>
              <w:t>依照法律规定实行排污许可管理的企业事业单位和其他生产经营者（以下称排污单位），应当依照本条例规定申请取得排污许可证；未取得排污许可证的，不得排放污染物。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Borders>
              <w:top w:val="single" w:color="auto" w:sz="4" w:space="0"/>
              <w:left w:val="single" w:color="auto" w:sz="4" w:space="0"/>
              <w:bottom w:val="single" w:color="auto" w:sz="4" w:space="0"/>
              <w:right w:val="single" w:color="auto" w:sz="4" w:space="0"/>
            </w:tcBorders>
          </w:tcPr>
          <w:p>
            <w:pPr>
              <w:pStyle w:val="11"/>
              <w:ind w:firstLine="420"/>
              <w:rPr>
                <w:rFonts w:ascii="Times New Roman" w:hAnsi="Times New Roman" w:eastAsia="仿宋_GB2312" w:cs="Times New Roman"/>
                <w:color w:val="000000"/>
                <w:sz w:val="21"/>
                <w:szCs w:val="21"/>
                <w:highlight w:val="none"/>
              </w:rPr>
            </w:pPr>
            <w:r>
              <w:rPr>
                <w:rFonts w:hint="eastAsia" w:ascii="仿宋_GB2312" w:hAnsi="Times New Roman" w:eastAsia="仿宋_GB2312" w:cs="Times New Roman"/>
                <w:b/>
                <w:bCs/>
                <w:color w:val="000000"/>
                <w:sz w:val="21"/>
                <w:szCs w:val="21"/>
                <w:highlight w:val="none"/>
              </w:rPr>
              <w:t>《排污许可管理条例》第三十三条</w:t>
            </w:r>
            <w:r>
              <w:rPr>
                <w:rFonts w:hint="eastAsia" w:ascii="Times New Roman" w:hAnsi="Times New Roman" w:eastAsia="仿宋_GB2312" w:cs="Times New Roman"/>
                <w:b/>
                <w:bCs/>
                <w:color w:val="000000"/>
                <w:sz w:val="21"/>
                <w:szCs w:val="21"/>
                <w:highlight w:val="none"/>
              </w:rPr>
              <w:t xml:space="preserve"> </w:t>
            </w:r>
            <w:r>
              <w:rPr>
                <w:rFonts w:hint="eastAsia" w:ascii="仿宋_GB2312" w:hAnsi="Times New Roman" w:eastAsia="仿宋_GB2312" w:cs="Times New Roman"/>
                <w:color w:val="000000"/>
                <w:sz w:val="21"/>
                <w:szCs w:val="21"/>
                <w:highlight w:val="none"/>
              </w:rPr>
              <w:t>违反本条例规定，排污单位有下列行为之一的，由生态环境主管部门责令改正或者限制生产、停产整治，处</w:t>
            </w:r>
            <w:r>
              <w:rPr>
                <w:rFonts w:hint="eastAsia" w:ascii="Times New Roman" w:hAnsi="Times New Roman" w:eastAsia="仿宋_GB2312" w:cs="Times New Roman"/>
                <w:color w:val="000000"/>
                <w:sz w:val="21"/>
                <w:szCs w:val="21"/>
                <w:highlight w:val="none"/>
              </w:rPr>
              <w:t>20</w:t>
            </w:r>
            <w:r>
              <w:rPr>
                <w:rFonts w:hint="eastAsia" w:ascii="仿宋_GB2312" w:hAnsi="Times New Roman" w:eastAsia="仿宋_GB2312" w:cs="Times New Roman"/>
                <w:color w:val="000000"/>
                <w:sz w:val="21"/>
                <w:szCs w:val="21"/>
                <w:highlight w:val="none"/>
              </w:rPr>
              <w:t>万元以上</w:t>
            </w:r>
            <w:r>
              <w:rPr>
                <w:rFonts w:hint="eastAsia" w:ascii="Times New Roman" w:hAnsi="Times New Roman" w:eastAsia="仿宋_GB2312" w:cs="Times New Roman"/>
                <w:color w:val="000000"/>
                <w:sz w:val="21"/>
                <w:szCs w:val="21"/>
                <w:highlight w:val="none"/>
              </w:rPr>
              <w:t>100</w:t>
            </w:r>
            <w:r>
              <w:rPr>
                <w:rFonts w:hint="eastAsia" w:ascii="仿宋_GB2312" w:hAnsi="Times New Roman" w:eastAsia="仿宋_GB2312" w:cs="Times New Roman"/>
                <w:color w:val="000000"/>
                <w:sz w:val="21"/>
                <w:szCs w:val="21"/>
                <w:highlight w:val="none"/>
              </w:rPr>
              <w:t>万元以下的罚款；情节严重的，报经有批准权的人民政府批准，责令停业、关闭：</w:t>
            </w:r>
          </w:p>
          <w:p>
            <w:pPr>
              <w:pStyle w:val="11"/>
              <w:ind w:firstLine="420"/>
              <w:rPr>
                <w:rFonts w:ascii="Times New Roman" w:hAnsi="Times New Roman" w:eastAsia="仿宋_GB2312" w:cs="Times New Roman"/>
                <w:color w:val="000000"/>
                <w:sz w:val="21"/>
                <w:szCs w:val="21"/>
                <w:highlight w:val="none"/>
              </w:rPr>
            </w:pPr>
            <w:r>
              <w:rPr>
                <w:rFonts w:hint="eastAsia" w:ascii="仿宋_GB2312" w:hAnsi="Times New Roman" w:eastAsia="仿宋_GB2312" w:cs="Times New Roman"/>
                <w:color w:val="000000"/>
                <w:sz w:val="21"/>
                <w:szCs w:val="21"/>
                <w:highlight w:val="none"/>
              </w:rPr>
              <w:t>（一）未取得排污许可证排放污染物；</w:t>
            </w:r>
          </w:p>
          <w:p>
            <w:pPr>
              <w:pStyle w:val="11"/>
              <w:ind w:firstLine="420"/>
              <w:rPr>
                <w:rFonts w:ascii="Times New Roman" w:hAnsi="Times New Roman" w:eastAsia="仿宋_GB2312" w:cs="Times New Roman"/>
                <w:color w:val="000000"/>
                <w:sz w:val="21"/>
                <w:szCs w:val="21"/>
                <w:highlight w:val="none"/>
              </w:rPr>
            </w:pPr>
            <w:r>
              <w:rPr>
                <w:rFonts w:hint="eastAsia" w:ascii="仿宋_GB2312" w:hAnsi="Times New Roman" w:eastAsia="仿宋_GB2312" w:cs="Times New Roman"/>
                <w:color w:val="000000"/>
                <w:sz w:val="21"/>
                <w:szCs w:val="21"/>
                <w:highlight w:val="none"/>
              </w:rPr>
              <w:t>（二）排污许可证有效期届满未申请延续或者延续申请未经批准排放污染物；</w:t>
            </w:r>
          </w:p>
          <w:p>
            <w:pPr>
              <w:pStyle w:val="11"/>
              <w:ind w:firstLine="420"/>
              <w:rPr>
                <w:rFonts w:ascii="Times New Roman" w:hAnsi="Times New Roman" w:eastAsia="仿宋_GB2312" w:cs="Times New Roman"/>
                <w:color w:val="000000"/>
                <w:sz w:val="21"/>
                <w:szCs w:val="21"/>
                <w:highlight w:val="none"/>
              </w:rPr>
            </w:pPr>
            <w:r>
              <w:rPr>
                <w:rFonts w:hint="eastAsia" w:ascii="仿宋_GB2312" w:hAnsi="Times New Roman" w:eastAsia="仿宋_GB2312" w:cs="Times New Roman"/>
                <w:color w:val="000000"/>
                <w:sz w:val="21"/>
                <w:szCs w:val="21"/>
                <w:highlight w:val="none"/>
              </w:rPr>
              <w:t>（三）被依法撤销、注销、吊销排污许可证后排放污染物；</w:t>
            </w:r>
          </w:p>
          <w:p>
            <w:pPr>
              <w:pStyle w:val="11"/>
              <w:ind w:firstLine="420"/>
              <w:rPr>
                <w:rFonts w:ascii="仿宋_GB2312" w:hAnsi="Times New Roman" w:eastAsia="仿宋_GB2312" w:cs="Times New Roman"/>
                <w:color w:val="000000"/>
                <w:sz w:val="21"/>
                <w:szCs w:val="21"/>
                <w:highlight w:val="none"/>
              </w:rPr>
            </w:pPr>
            <w:r>
              <w:rPr>
                <w:rFonts w:hint="eastAsia" w:ascii="仿宋_GB2312" w:hAnsi="Times New Roman" w:eastAsia="仿宋_GB2312" w:cs="Times New Roman"/>
                <w:color w:val="000000"/>
                <w:sz w:val="21"/>
                <w:szCs w:val="21"/>
                <w:highlight w:val="none"/>
              </w:rPr>
              <w:t>（四）依法应当重新申请取得排污许可证，未重新申请取得排污许可证排放污染物。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8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Times New Roman"/>
                <w:b/>
                <w:bCs/>
                <w:color w:val="000000"/>
                <w:highlight w:val="none"/>
              </w:rPr>
              <w:t>排污单位</w:t>
            </w:r>
          </w:p>
          <w:p>
            <w:pPr>
              <w:snapToGrid w:val="0"/>
              <w:jc w:val="center"/>
              <w:rPr>
                <w:rFonts w:ascii="Times New Roman" w:hAnsi="Times New Roman" w:cs="Times New Roman"/>
                <w:b/>
                <w:bCs/>
                <w:color w:val="000000"/>
                <w:highlight w:val="none"/>
              </w:rPr>
            </w:pPr>
            <w:r>
              <w:rPr>
                <w:rFonts w:ascii="Times New Roman" w:hAnsi="Times New Roman" w:cs="Times New Roman"/>
                <w:b/>
                <w:bCs/>
                <w:color w:val="000000"/>
                <w:highlight w:val="none"/>
              </w:rPr>
              <w:t>管理类别</w:t>
            </w:r>
            <w:r>
              <w:rPr>
                <w:rFonts w:hint="eastAsia" w:ascii="Times New Roman" w:hAnsi="Times New Roman" w:cs="宋体"/>
                <w:b/>
                <w:bCs/>
                <w:color w:val="000000"/>
                <w:highlight w:val="none"/>
              </w:rPr>
              <w:t>★</w:t>
            </w: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Times New Roman"/>
                <w:color w:val="000000"/>
                <w:sz w:val="21"/>
                <w:szCs w:val="21"/>
                <w:highlight w:val="none"/>
              </w:rPr>
              <w:t>简化</w:t>
            </w:r>
            <w:r>
              <w:rPr>
                <w:rFonts w:ascii="Times New Roman" w:hAnsi="Times New Roman" w:eastAsia="仿宋_GB2312" w:cs="Times New Roman"/>
                <w:color w:val="000000"/>
                <w:sz w:val="21"/>
                <w:szCs w:val="21"/>
                <w:highlight w:val="none"/>
              </w:rPr>
              <w:t>管理</w:t>
            </w:r>
          </w:p>
        </w:tc>
        <w:tc>
          <w:tcPr>
            <w:tcW w:w="2689"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Times New Roman"/>
                <w:color w:val="000000"/>
                <w:sz w:val="21"/>
                <w:szCs w:val="21"/>
                <w:highlight w:val="none"/>
              </w:rPr>
              <w:t>重点</w:t>
            </w:r>
            <w:r>
              <w:rPr>
                <w:rFonts w:ascii="Times New Roman" w:hAnsi="Times New Roman" w:eastAsia="仿宋_GB2312" w:cs="Times New Roman"/>
                <w:color w:val="000000"/>
                <w:sz w:val="21"/>
                <w:szCs w:val="21"/>
                <w:highlight w:val="none"/>
              </w:rPr>
              <w:t>管理</w:t>
            </w:r>
          </w:p>
        </w:tc>
        <w:tc>
          <w:tcPr>
            <w:tcW w:w="2689"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Times New Roman"/>
                <w:color w:val="000000"/>
                <w:sz w:val="21"/>
                <w:szCs w:val="21"/>
                <w:highlight w:val="none"/>
              </w:rPr>
              <w:t>重点管理（化工、电镀、皮革、造纸、制浆、冶炼、放射性、印染、染料、炼焦、炼油项目）</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Times New Roman"/>
                <w:b/>
                <w:bCs/>
                <w:color w:val="000000"/>
                <w:highlight w:val="none"/>
              </w:rPr>
              <w:t>污染物</w:t>
            </w:r>
            <w:r>
              <w:rPr>
                <w:rFonts w:ascii="Times New Roman" w:hAnsi="Times New Roman" w:cs="Times New Roman"/>
                <w:b/>
                <w:bCs/>
                <w:color w:val="000000"/>
                <w:highlight w:val="none"/>
              </w:rPr>
              <w:t>类别</w:t>
            </w: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排放生活、服务、农业等废气、废水或其他污染物</w:t>
            </w:r>
          </w:p>
        </w:tc>
        <w:tc>
          <w:tcPr>
            <w:tcW w:w="2689" w:type="dxa"/>
            <w:vAlign w:val="center"/>
          </w:tcPr>
          <w:p>
            <w:pPr>
              <w:snapToGrid w:val="0"/>
              <w:jc w:val="center"/>
              <w:rPr>
                <w:rFonts w:ascii="Times New Roman" w:hAnsi="Times New Roman" w:cs="Times New Roman"/>
                <w:highlight w:val="none"/>
              </w:rPr>
            </w:pPr>
            <w:r>
              <w:rPr>
                <w:rFonts w:hint="eastAsia"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排放一般工业废气、废水或其他污染物</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排放含有毒有害物质的废气或废水、医疗废水、含一类污染物或重金属、病原体、放射性物质的废水或其他污染物</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Times New Roman"/>
                <w:b/>
                <w:bCs/>
                <w:color w:val="000000"/>
                <w:highlight w:val="none"/>
              </w:rPr>
              <w:t>项目</w:t>
            </w:r>
            <w:r>
              <w:rPr>
                <w:rFonts w:ascii="Times New Roman" w:hAnsi="Times New Roman" w:cs="Times New Roman"/>
                <w:b/>
                <w:bCs/>
                <w:color w:val="000000"/>
                <w:highlight w:val="none"/>
              </w:rPr>
              <w:t>建设</w:t>
            </w:r>
          </w:p>
          <w:p>
            <w:pPr>
              <w:snapToGrid w:val="0"/>
              <w:jc w:val="center"/>
              <w:rPr>
                <w:rFonts w:ascii="Times New Roman" w:hAnsi="Times New Roman" w:cs="Times New Roman"/>
                <w:b/>
                <w:bCs/>
                <w:color w:val="000000"/>
                <w:highlight w:val="none"/>
              </w:rPr>
            </w:pPr>
            <w:r>
              <w:rPr>
                <w:rFonts w:ascii="Times New Roman" w:hAnsi="Times New Roman" w:cs="Times New Roman"/>
                <w:b/>
                <w:bCs/>
                <w:color w:val="000000"/>
                <w:highlight w:val="none"/>
              </w:rPr>
              <w:t>地</w:t>
            </w:r>
            <w:r>
              <w:rPr>
                <w:rFonts w:hint="eastAsia" w:ascii="Times New Roman" w:hAnsi="Times New Roman" w:cs="Times New Roman"/>
                <w:b/>
                <w:bCs/>
                <w:color w:val="000000"/>
                <w:highlight w:val="none"/>
              </w:rPr>
              <w:t>点</w:t>
            </w: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一般控制区</w:t>
            </w:r>
          </w:p>
        </w:tc>
        <w:tc>
          <w:tcPr>
            <w:tcW w:w="2689"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continue"/>
            <w:vAlign w:val="center"/>
          </w:tcPr>
          <w:p>
            <w:pPr>
              <w:snapToGrid w:val="0"/>
              <w:jc w:val="center"/>
              <w:rPr>
                <w:rFonts w:ascii="Times New Roman" w:hAnsi="Times New Roman" w:cs="Times New Roman"/>
                <w:b/>
                <w:bCs/>
                <w:color w:val="FF0000"/>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重点</w:t>
            </w:r>
            <w:r>
              <w:rPr>
                <w:rFonts w:ascii="Times New Roman" w:hAnsi="Times New Roman" w:eastAsia="仿宋_GB2312" w:cs="Times New Roman"/>
                <w:highlight w:val="none"/>
              </w:rPr>
              <w:t>控制区</w:t>
            </w:r>
          </w:p>
        </w:tc>
        <w:tc>
          <w:tcPr>
            <w:tcW w:w="2689"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continue"/>
            <w:vAlign w:val="center"/>
          </w:tcPr>
          <w:p>
            <w:pPr>
              <w:snapToGrid w:val="0"/>
              <w:jc w:val="center"/>
              <w:rPr>
                <w:rFonts w:ascii="Times New Roman" w:hAnsi="Times New Roman" w:cs="Times New Roman"/>
                <w:b/>
                <w:bCs/>
                <w:color w:val="FF0000"/>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核心</w:t>
            </w:r>
            <w:r>
              <w:rPr>
                <w:rFonts w:ascii="Times New Roman" w:hAnsi="Times New Roman" w:eastAsia="仿宋_GB2312" w:cs="Times New Roman"/>
                <w:highlight w:val="none"/>
              </w:rPr>
              <w:t>控制区</w:t>
            </w:r>
          </w:p>
        </w:tc>
        <w:tc>
          <w:tcPr>
            <w:tcW w:w="2689"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Times New Roman"/>
                <w:b/>
                <w:bCs/>
                <w:highlight w:val="none"/>
              </w:rPr>
              <w:t>违法持续</w:t>
            </w:r>
          </w:p>
          <w:p>
            <w:pPr>
              <w:snapToGrid w:val="0"/>
              <w:jc w:val="center"/>
              <w:rPr>
                <w:rFonts w:ascii="Times New Roman" w:hAnsi="Times New Roman" w:cs="Times New Roman"/>
                <w:b/>
                <w:bCs/>
                <w:highlight w:val="none"/>
              </w:rPr>
            </w:pPr>
            <w:r>
              <w:rPr>
                <w:rFonts w:ascii="Times New Roman" w:hAnsi="Times New Roman" w:cs="Times New Roman"/>
                <w:b/>
                <w:bCs/>
                <w:highlight w:val="none"/>
              </w:rPr>
              <w:t>时间</w:t>
            </w: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不足1个月</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1个月</w:t>
            </w:r>
            <w:r>
              <w:rPr>
                <w:rFonts w:ascii="Times New Roman" w:hAnsi="Times New Roman" w:eastAsia="仿宋_GB2312" w:cs="Times New Roman"/>
                <w:highlight w:val="none"/>
              </w:rPr>
              <w:t>以上不足</w:t>
            </w:r>
            <w:r>
              <w:rPr>
                <w:rFonts w:hint="eastAsia" w:ascii="Times New Roman" w:hAnsi="Times New Roman" w:eastAsia="仿宋_GB2312" w:cs="Times New Roman"/>
                <w:highlight w:val="none"/>
              </w:rPr>
              <w:t>3个月</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3个月</w:t>
            </w:r>
            <w:r>
              <w:rPr>
                <w:rFonts w:ascii="Times New Roman" w:hAnsi="Times New Roman" w:eastAsia="仿宋_GB2312" w:cs="Times New Roman"/>
                <w:highlight w:val="none"/>
              </w:rPr>
              <w:t>以上</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vAlign w:val="center"/>
          </w:tcPr>
          <w:p>
            <w:pPr>
              <w:snapToGrid w:val="0"/>
              <w:ind w:firstLine="420"/>
              <w:jc w:val="center"/>
              <w:rPr>
                <w:rFonts w:ascii="Times New Roman" w:hAnsi="Times New Roman" w:cs="Times New Roman"/>
                <w:highlight w:val="none"/>
              </w:rPr>
            </w:pPr>
          </w:p>
        </w:tc>
      </w:tr>
    </w:tbl>
    <w:p>
      <w:pPr>
        <w:rPr>
          <w:sz w:val="10"/>
          <w:szCs w:val="10"/>
          <w:highlight w:val="none"/>
        </w:rPr>
      </w:pPr>
      <w:r>
        <w:rPr>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（八）其他类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tcBorders>
              <w:top w:val="single" w:color="auto" w:sz="4" w:space="0"/>
              <w:left w:val="single" w:color="auto" w:sz="4" w:space="0"/>
              <w:bottom w:val="single" w:color="auto" w:sz="4" w:space="0"/>
              <w:right w:val="single" w:color="auto" w:sz="4" w:space="0"/>
            </w:tcBorders>
            <w:vAlign w:val="center"/>
          </w:tcPr>
          <w:p>
            <w:pPr>
              <w:pStyle w:val="11"/>
              <w:ind w:firstLine="420"/>
              <w:rPr>
                <w:rFonts w:ascii="Times New Roman" w:hAnsi="Times New Roman" w:eastAsia="仿宋_GB2312" w:cs="Times New Roman"/>
                <w:color w:val="000000"/>
                <w:sz w:val="21"/>
                <w:szCs w:val="21"/>
                <w:highlight w:val="none"/>
              </w:rPr>
            </w:pPr>
            <w:r>
              <w:rPr>
                <w:rFonts w:hint="eastAsia" w:ascii="仿宋_GB2312" w:hAnsi="Times New Roman" w:eastAsia="仿宋_GB2312" w:cs="Times New Roman"/>
                <w:color w:val="000000"/>
                <w:sz w:val="21"/>
                <w:szCs w:val="21"/>
                <w:highlight w:val="none"/>
              </w:rPr>
              <w:t>超过许可排放浓度、许可排放量排放污染物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Borders>
              <w:top w:val="single" w:color="auto" w:sz="4" w:space="0"/>
              <w:left w:val="single" w:color="auto" w:sz="4" w:space="0"/>
              <w:bottom w:val="single" w:color="auto" w:sz="4" w:space="0"/>
              <w:right w:val="single" w:color="auto" w:sz="4" w:space="0"/>
            </w:tcBorders>
          </w:tcPr>
          <w:p>
            <w:pPr>
              <w:pStyle w:val="11"/>
              <w:ind w:firstLine="420"/>
              <w:rPr>
                <w:rFonts w:ascii="Times New Roman" w:hAnsi="Times New Roman" w:eastAsia="仿宋_GB2312" w:cs="Times New Roman"/>
                <w:sz w:val="21"/>
                <w:szCs w:val="21"/>
                <w:highlight w:val="none"/>
              </w:rPr>
            </w:pPr>
            <w:r>
              <w:rPr>
                <w:rFonts w:hint="eastAsia" w:ascii="仿宋_GB2312" w:hAnsi="Times New Roman" w:eastAsia="仿宋_GB2312" w:cs="Times New Roman"/>
                <w:b/>
                <w:bCs/>
                <w:sz w:val="21"/>
                <w:szCs w:val="21"/>
                <w:highlight w:val="none"/>
              </w:rPr>
              <w:t>《排污许可管理条例》第十七条</w:t>
            </w:r>
            <w:r>
              <w:rPr>
                <w:rFonts w:ascii="Times New Roman" w:hAnsi="Times New Roman" w:eastAsia="仿宋_GB2312" w:cs="Times New Roman"/>
                <w:sz w:val="21"/>
                <w:szCs w:val="21"/>
                <w:highlight w:val="none"/>
              </w:rPr>
              <w:t xml:space="preserve"> </w:t>
            </w:r>
            <w:r>
              <w:rPr>
                <w:rFonts w:hint="eastAsia" w:ascii="仿宋_GB2312" w:hAnsi="Times New Roman" w:eastAsia="仿宋_GB2312" w:cs="Times New Roman"/>
                <w:sz w:val="21"/>
                <w:szCs w:val="21"/>
                <w:highlight w:val="none"/>
              </w:rPr>
              <w:t>排污许可证是对排污单位进行生态环境监管的主要依据。</w:t>
            </w:r>
          </w:p>
          <w:p>
            <w:pPr>
              <w:pStyle w:val="11"/>
              <w:ind w:firstLine="420"/>
              <w:rPr>
                <w:rFonts w:ascii="Times New Roman" w:hAnsi="Times New Roman" w:eastAsia="仿宋_GB2312" w:cs="Times New Roman"/>
                <w:sz w:val="21"/>
                <w:szCs w:val="21"/>
                <w:highlight w:val="none"/>
              </w:rPr>
            </w:pPr>
            <w:r>
              <w:rPr>
                <w:rFonts w:hint="eastAsia" w:ascii="仿宋_GB2312" w:hAnsi="Times New Roman" w:eastAsia="仿宋_GB2312" w:cs="Times New Roman"/>
                <w:sz w:val="21"/>
                <w:szCs w:val="21"/>
                <w:highlight w:val="none"/>
              </w:rPr>
              <w:t>排污单位应当遵守排污许可证规定，按照生态环境管理要求运行和维护污染防治设施，建立环境管理制度，严格控制污染物排放。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Borders>
              <w:top w:val="single" w:color="auto" w:sz="4" w:space="0"/>
              <w:left w:val="single" w:color="auto" w:sz="4" w:space="0"/>
              <w:bottom w:val="single" w:color="auto" w:sz="4" w:space="0"/>
              <w:right w:val="single" w:color="auto" w:sz="4" w:space="0"/>
            </w:tcBorders>
          </w:tcPr>
          <w:p>
            <w:pPr>
              <w:pStyle w:val="11"/>
              <w:ind w:firstLine="420"/>
              <w:rPr>
                <w:rFonts w:ascii="Times New Roman" w:hAnsi="Times New Roman" w:eastAsia="仿宋_GB2312" w:cs="Times New Roman"/>
                <w:sz w:val="21"/>
                <w:szCs w:val="21"/>
                <w:highlight w:val="none"/>
              </w:rPr>
            </w:pPr>
            <w:r>
              <w:rPr>
                <w:rFonts w:hint="eastAsia" w:ascii="仿宋_GB2312" w:hAnsi="Times New Roman" w:eastAsia="仿宋_GB2312" w:cs="Times New Roman"/>
                <w:b/>
                <w:bCs/>
                <w:sz w:val="21"/>
                <w:szCs w:val="21"/>
                <w:highlight w:val="none"/>
              </w:rPr>
              <w:t>《排污许可管理条例》第三十四条</w:t>
            </w:r>
            <w:r>
              <w:rPr>
                <w:rFonts w:hint="eastAsia" w:ascii="Times New Roman" w:hAnsi="Times New Roman" w:eastAsia="仿宋_GB2312" w:cs="Times New Roman"/>
                <w:b/>
                <w:bCs/>
                <w:sz w:val="21"/>
                <w:szCs w:val="21"/>
                <w:highlight w:val="none"/>
              </w:rPr>
              <w:t xml:space="preserve"> </w:t>
            </w:r>
            <w:r>
              <w:rPr>
                <w:rFonts w:hint="eastAsia" w:ascii="仿宋_GB2312" w:hAnsi="Times New Roman" w:eastAsia="仿宋_GB2312" w:cs="Times New Roman"/>
                <w:sz w:val="21"/>
                <w:szCs w:val="21"/>
                <w:highlight w:val="none"/>
              </w:rPr>
              <w:t>违反本条例规定，排污单位有下列行为之一的，由生态环境主管部门责令改正或者限制生产、停产整治，处</w:t>
            </w:r>
            <w:r>
              <w:rPr>
                <w:rFonts w:hint="eastAsia" w:ascii="Times New Roman" w:hAnsi="Times New Roman" w:eastAsia="仿宋_GB2312" w:cs="Times New Roman"/>
                <w:sz w:val="21"/>
                <w:szCs w:val="21"/>
                <w:highlight w:val="none"/>
              </w:rPr>
              <w:t>20</w:t>
            </w:r>
            <w:r>
              <w:rPr>
                <w:rFonts w:hint="eastAsia" w:ascii="仿宋_GB2312" w:hAnsi="Times New Roman" w:eastAsia="仿宋_GB2312" w:cs="Times New Roman"/>
                <w:sz w:val="21"/>
                <w:szCs w:val="21"/>
                <w:highlight w:val="none"/>
              </w:rPr>
              <w:t>万元以上</w:t>
            </w:r>
            <w:r>
              <w:rPr>
                <w:rFonts w:hint="eastAsia" w:ascii="Times New Roman" w:hAnsi="Times New Roman" w:eastAsia="仿宋_GB2312" w:cs="Times New Roman"/>
                <w:sz w:val="21"/>
                <w:szCs w:val="21"/>
                <w:highlight w:val="none"/>
              </w:rPr>
              <w:t>100</w:t>
            </w:r>
            <w:r>
              <w:rPr>
                <w:rFonts w:hint="eastAsia" w:ascii="仿宋_GB2312" w:hAnsi="Times New Roman" w:eastAsia="仿宋_GB2312" w:cs="Times New Roman"/>
                <w:sz w:val="21"/>
                <w:szCs w:val="21"/>
                <w:highlight w:val="none"/>
              </w:rPr>
              <w:t>万元以下的罚款；情节严重的，吊销排污许可证，报经有批准权的人民政府批准，责令停业、关闭：</w:t>
            </w:r>
          </w:p>
          <w:p>
            <w:pPr>
              <w:pStyle w:val="11"/>
              <w:ind w:firstLine="420"/>
              <w:rPr>
                <w:rFonts w:ascii="Times New Roman" w:hAnsi="Times New Roman" w:eastAsia="仿宋_GB2312" w:cs="Times New Roman"/>
                <w:sz w:val="21"/>
                <w:szCs w:val="21"/>
                <w:highlight w:val="none"/>
              </w:rPr>
            </w:pPr>
            <w:r>
              <w:rPr>
                <w:rFonts w:hint="eastAsia" w:ascii="仿宋_GB2312" w:hAnsi="Times New Roman" w:eastAsia="仿宋_GB2312" w:cs="Times New Roman"/>
                <w:sz w:val="21"/>
                <w:szCs w:val="21"/>
                <w:highlight w:val="none"/>
              </w:rPr>
              <w:t>（一）超过许可排放浓度、许可排放量排放污染物；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8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Times New Roman"/>
                <w:b/>
                <w:bCs/>
                <w:color w:val="000000"/>
                <w:highlight w:val="none"/>
              </w:rPr>
              <w:t>排污单位</w:t>
            </w:r>
          </w:p>
          <w:p>
            <w:pPr>
              <w:snapToGrid w:val="0"/>
              <w:jc w:val="center"/>
              <w:rPr>
                <w:rFonts w:ascii="Times New Roman" w:hAnsi="Times New Roman" w:cs="Times New Roman"/>
                <w:b/>
                <w:bCs/>
                <w:color w:val="000000"/>
                <w:highlight w:val="none"/>
              </w:rPr>
            </w:pPr>
            <w:r>
              <w:rPr>
                <w:rFonts w:ascii="Times New Roman" w:hAnsi="Times New Roman" w:cs="Times New Roman"/>
                <w:b/>
                <w:bCs/>
                <w:color w:val="000000"/>
                <w:highlight w:val="none"/>
              </w:rPr>
              <w:t>管理类别</w:t>
            </w:r>
            <w:r>
              <w:rPr>
                <w:rFonts w:hint="eastAsia" w:ascii="Times New Roman" w:hAnsi="Times New Roman" w:cs="宋体"/>
                <w:b/>
                <w:bCs/>
                <w:color w:val="000000"/>
                <w:highlight w:val="none"/>
              </w:rPr>
              <w:t>★</w:t>
            </w:r>
          </w:p>
        </w:tc>
        <w:tc>
          <w:tcPr>
            <w:tcW w:w="521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Times New Roman"/>
                <w:color w:val="000000"/>
                <w:sz w:val="21"/>
                <w:szCs w:val="21"/>
                <w:highlight w:val="none"/>
              </w:rPr>
              <w:t>简化</w:t>
            </w:r>
            <w:r>
              <w:rPr>
                <w:rFonts w:ascii="Times New Roman" w:hAnsi="Times New Roman" w:eastAsia="仿宋_GB2312" w:cs="Times New Roman"/>
                <w:color w:val="000000"/>
                <w:sz w:val="21"/>
                <w:szCs w:val="21"/>
                <w:highlight w:val="none"/>
              </w:rPr>
              <w:t>管理</w:t>
            </w:r>
          </w:p>
        </w:tc>
        <w:tc>
          <w:tcPr>
            <w:tcW w:w="2689" w:type="dxa"/>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Times New Roman"/>
                <w:color w:val="000000"/>
                <w:sz w:val="21"/>
                <w:szCs w:val="21"/>
                <w:highlight w:val="none"/>
              </w:rPr>
              <w:t>重点</w:t>
            </w:r>
            <w:r>
              <w:rPr>
                <w:rFonts w:ascii="Times New Roman" w:hAnsi="Times New Roman" w:eastAsia="仿宋_GB2312" w:cs="Times New Roman"/>
                <w:color w:val="000000"/>
                <w:sz w:val="21"/>
                <w:szCs w:val="21"/>
                <w:highlight w:val="none"/>
              </w:rPr>
              <w:t>管理</w:t>
            </w:r>
          </w:p>
        </w:tc>
        <w:tc>
          <w:tcPr>
            <w:tcW w:w="2689" w:type="dxa"/>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Times New Roman"/>
                <w:color w:val="000000"/>
                <w:sz w:val="21"/>
                <w:szCs w:val="21"/>
                <w:highlight w:val="none"/>
              </w:rPr>
              <w:t>重点管理（化工、电镀、皮革、造纸、制浆、冶炼、放射性、印染、染料、炼焦、炼油项目）</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Times New Roman"/>
                <w:b/>
                <w:bCs/>
                <w:highlight w:val="none"/>
              </w:rPr>
              <w:t>超标</w:t>
            </w:r>
            <w:r>
              <w:rPr>
                <w:rFonts w:ascii="Times New Roman" w:hAnsi="Times New Roman" w:cs="Times New Roman"/>
                <w:b/>
                <w:bCs/>
                <w:highlight w:val="none"/>
              </w:rPr>
              <w:t>或超排放量</w:t>
            </w:r>
            <w:r>
              <w:rPr>
                <w:rFonts w:hint="eastAsia" w:ascii="Times New Roman" w:hAnsi="Times New Roman" w:cs="Times New Roman"/>
                <w:b/>
                <w:bCs/>
                <w:highlight w:val="none"/>
              </w:rPr>
              <w:t>因子</w:t>
            </w:r>
            <w:r>
              <w:rPr>
                <w:rFonts w:ascii="Times New Roman" w:hAnsi="Times New Roman" w:cs="Times New Roman"/>
                <w:b/>
                <w:bCs/>
                <w:highlight w:val="none"/>
              </w:rPr>
              <w:t>数目</w:t>
            </w:r>
          </w:p>
        </w:tc>
        <w:tc>
          <w:tcPr>
            <w:tcW w:w="5213" w:type="dxa"/>
            <w:vAlign w:val="center"/>
          </w:tcPr>
          <w:p>
            <w:pPr>
              <w:pStyle w:val="11"/>
              <w:snapToGrid w:val="0"/>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1</w:t>
            </w:r>
            <w:r>
              <w:rPr>
                <w:rFonts w:hint="eastAsia" w:ascii="Times New Roman" w:hAnsi="Times New Roman" w:eastAsia="仿宋_GB2312" w:cs="Times New Roman"/>
                <w:sz w:val="21"/>
                <w:szCs w:val="21"/>
                <w:highlight w:val="none"/>
              </w:rPr>
              <w:t>个</w:t>
            </w:r>
          </w:p>
        </w:tc>
        <w:tc>
          <w:tcPr>
            <w:tcW w:w="2689" w:type="dxa"/>
            <w:vAlign w:val="center"/>
          </w:tcPr>
          <w:p>
            <w:pPr>
              <w:snapToGrid w:val="0"/>
              <w:jc w:val="center"/>
              <w:rPr>
                <w:rFonts w:ascii="Times New Roman" w:hAnsi="Times New Roman" w:cs="Times New Roman"/>
                <w:highlight w:val="none"/>
              </w:rPr>
            </w:pPr>
            <w:r>
              <w:rPr>
                <w:rFonts w:hint="eastAsia"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2个</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3个</w:t>
            </w:r>
            <w:r>
              <w:rPr>
                <w:rFonts w:ascii="Times New Roman" w:hAnsi="Times New Roman" w:eastAsia="仿宋_GB2312" w:cs="Times New Roman"/>
                <w:sz w:val="21"/>
                <w:szCs w:val="21"/>
                <w:highlight w:val="none"/>
              </w:rPr>
              <w:t>及以上</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Times New Roman"/>
                <w:b/>
                <w:bCs/>
                <w:color w:val="000000"/>
                <w:highlight w:val="none"/>
              </w:rPr>
              <w:t>排放口</w:t>
            </w:r>
            <w:r>
              <w:rPr>
                <w:rFonts w:ascii="Times New Roman" w:hAnsi="Times New Roman" w:cs="Times New Roman"/>
                <w:b/>
                <w:bCs/>
                <w:color w:val="000000"/>
                <w:highlight w:val="none"/>
              </w:rPr>
              <w:t>所在区域</w:t>
            </w:r>
          </w:p>
        </w:tc>
        <w:tc>
          <w:tcPr>
            <w:tcW w:w="5213" w:type="dxa"/>
            <w:vAlign w:val="center"/>
          </w:tcPr>
          <w:p>
            <w:pPr>
              <w:snapToGrid w:val="0"/>
              <w:jc w:val="center"/>
              <w:rPr>
                <w:rFonts w:ascii="Times New Roman" w:hAnsi="Times New Roman" w:eastAsia="仿宋_GB2312" w:cs="Times New Roman"/>
                <w:color w:val="FF0000"/>
                <w:highlight w:val="none"/>
              </w:rPr>
            </w:pPr>
            <w:r>
              <w:rPr>
                <w:rFonts w:hint="eastAsia" w:ascii="Times New Roman" w:hAnsi="Times New Roman" w:eastAsia="仿宋_GB2312" w:cs="Times New Roman"/>
                <w:highlight w:val="none"/>
              </w:rPr>
              <w:t>一般控制区</w:t>
            </w:r>
          </w:p>
        </w:tc>
        <w:tc>
          <w:tcPr>
            <w:tcW w:w="2689" w:type="dxa"/>
            <w:vAlign w:val="center"/>
          </w:tcPr>
          <w:p>
            <w:pPr>
              <w:snapToGrid w:val="0"/>
              <w:jc w:val="center"/>
              <w:rPr>
                <w:rFonts w:ascii="Times New Roman" w:hAnsi="Times New Roman" w:cs="Times New Roman"/>
                <w:color w:val="FF0000"/>
                <w:highlight w:val="none"/>
              </w:rPr>
            </w:pPr>
            <w:r>
              <w:rPr>
                <w:rFonts w:hint="eastAsia"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FF0000"/>
                <w:highlight w:val="none"/>
              </w:rPr>
            </w:pPr>
          </w:p>
        </w:tc>
        <w:tc>
          <w:tcPr>
            <w:tcW w:w="5213" w:type="dxa"/>
            <w:vAlign w:val="center"/>
          </w:tcPr>
          <w:p>
            <w:pPr>
              <w:snapToGrid w:val="0"/>
              <w:jc w:val="center"/>
              <w:rPr>
                <w:rFonts w:ascii="Times New Roman" w:hAnsi="Times New Roman" w:eastAsia="仿宋_GB2312" w:cs="Times New Roman"/>
                <w:color w:val="FF0000"/>
                <w:highlight w:val="none"/>
              </w:rPr>
            </w:pPr>
            <w:r>
              <w:rPr>
                <w:rFonts w:hint="eastAsia" w:ascii="Times New Roman" w:hAnsi="Times New Roman" w:eastAsia="仿宋_GB2312" w:cs="Times New Roman"/>
                <w:highlight w:val="none"/>
              </w:rPr>
              <w:t>重点</w:t>
            </w:r>
            <w:r>
              <w:rPr>
                <w:rFonts w:ascii="Times New Roman" w:hAnsi="Times New Roman" w:eastAsia="仿宋_GB2312" w:cs="Times New Roman"/>
                <w:highlight w:val="none"/>
              </w:rPr>
              <w:t>控制区</w:t>
            </w:r>
          </w:p>
        </w:tc>
        <w:tc>
          <w:tcPr>
            <w:tcW w:w="2689" w:type="dxa"/>
            <w:vAlign w:val="center"/>
          </w:tcPr>
          <w:p>
            <w:pPr>
              <w:snapToGrid w:val="0"/>
              <w:jc w:val="center"/>
              <w:rPr>
                <w:rFonts w:ascii="Times New Roman" w:hAnsi="Times New Roman" w:eastAsia="仿宋_GB2312" w:cs="Times New Roman"/>
                <w:color w:val="FF0000"/>
                <w:highlight w:val="none"/>
              </w:rPr>
            </w:pPr>
            <w:r>
              <w:rPr>
                <w:rFonts w:hint="eastAsia"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FF0000"/>
                <w:highlight w:val="none"/>
              </w:rPr>
            </w:pPr>
          </w:p>
        </w:tc>
        <w:tc>
          <w:tcPr>
            <w:tcW w:w="5213" w:type="dxa"/>
            <w:vAlign w:val="center"/>
          </w:tcPr>
          <w:p>
            <w:pPr>
              <w:snapToGrid w:val="0"/>
              <w:jc w:val="center"/>
              <w:rPr>
                <w:rFonts w:ascii="Times New Roman" w:hAnsi="Times New Roman" w:eastAsia="仿宋_GB2312" w:cs="Times New Roman"/>
                <w:color w:val="FF0000"/>
                <w:highlight w:val="none"/>
              </w:rPr>
            </w:pPr>
            <w:r>
              <w:rPr>
                <w:rFonts w:hint="eastAsia" w:ascii="Times New Roman" w:hAnsi="Times New Roman" w:eastAsia="仿宋_GB2312" w:cs="Times New Roman"/>
                <w:highlight w:val="none"/>
              </w:rPr>
              <w:t>核心</w:t>
            </w:r>
            <w:r>
              <w:rPr>
                <w:rFonts w:ascii="Times New Roman" w:hAnsi="Times New Roman" w:eastAsia="仿宋_GB2312" w:cs="Times New Roman"/>
                <w:highlight w:val="none"/>
              </w:rPr>
              <w:t>控制区</w:t>
            </w:r>
          </w:p>
        </w:tc>
        <w:tc>
          <w:tcPr>
            <w:tcW w:w="2689" w:type="dxa"/>
            <w:vAlign w:val="center"/>
          </w:tcPr>
          <w:p>
            <w:pPr>
              <w:snapToGrid w:val="0"/>
              <w:jc w:val="center"/>
              <w:rPr>
                <w:rFonts w:ascii="Times New Roman" w:hAnsi="Times New Roman" w:eastAsia="仿宋_GB2312" w:cs="Times New Roman"/>
                <w:color w:val="FF0000"/>
                <w:highlight w:val="none"/>
              </w:rPr>
            </w:pPr>
            <w:r>
              <w:rPr>
                <w:rFonts w:hint="eastAsia"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Times New Roman"/>
                <w:b/>
                <w:bCs/>
                <w:highlight w:val="none"/>
              </w:rPr>
              <w:t>超标</w:t>
            </w:r>
            <w:r>
              <w:rPr>
                <w:rFonts w:ascii="Times New Roman" w:hAnsi="Times New Roman" w:cs="Times New Roman"/>
                <w:b/>
                <w:bCs/>
                <w:highlight w:val="none"/>
              </w:rPr>
              <w:t>或超排放量情况</w:t>
            </w:r>
          </w:p>
        </w:tc>
        <w:tc>
          <w:tcPr>
            <w:tcW w:w="5213" w:type="dxa"/>
            <w:vAlign w:val="center"/>
          </w:tcPr>
          <w:p>
            <w:pPr>
              <w:snapToGrid w:val="0"/>
              <w:ind w:firstLine="420"/>
              <w:jc w:val="center"/>
              <w:rPr>
                <w:rFonts w:ascii="Times New Roman" w:hAnsi="Times New Roman" w:eastAsia="仿宋_GB2312" w:cs="Times New Roman"/>
                <w:color w:val="000000"/>
                <w:highlight w:val="none"/>
              </w:rPr>
            </w:pPr>
            <w:r>
              <w:rPr>
                <w:rFonts w:hint="eastAsia" w:ascii="Times New Roman" w:hAnsi="Times New Roman" w:eastAsia="仿宋_GB2312" w:cs="仿宋_GB2312"/>
                <w:highlight w:val="none"/>
              </w:rPr>
              <w:t>超标</w:t>
            </w:r>
            <w:r>
              <w:rPr>
                <w:rFonts w:ascii="Times New Roman" w:hAnsi="Times New Roman" w:eastAsia="仿宋_GB2312" w:cs="Times New Roman"/>
                <w:highlight w:val="none"/>
              </w:rPr>
              <w:t>0.5</w:t>
            </w:r>
            <w:r>
              <w:rPr>
                <w:rFonts w:hint="eastAsia" w:ascii="Times New Roman" w:hAnsi="Times New Roman" w:eastAsia="仿宋_GB2312" w:cs="仿宋_GB2312"/>
                <w:highlight w:val="none"/>
              </w:rPr>
              <w:t>倍以下</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超排放量5%以下</w:t>
            </w:r>
          </w:p>
        </w:tc>
        <w:tc>
          <w:tcPr>
            <w:tcW w:w="2689"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highlight w:val="none"/>
              </w:rPr>
              <w:t>超标</w:t>
            </w:r>
            <w:r>
              <w:rPr>
                <w:rFonts w:ascii="Times New Roman" w:hAnsi="Times New Roman" w:eastAsia="仿宋_GB2312" w:cs="Times New Roman"/>
                <w:highlight w:val="none"/>
              </w:rPr>
              <w:t>0.5</w:t>
            </w:r>
            <w:r>
              <w:rPr>
                <w:rFonts w:hint="eastAsia" w:ascii="Times New Roman" w:hAnsi="Times New Roman" w:eastAsia="仿宋_GB2312" w:cs="仿宋_GB2312"/>
                <w:highlight w:val="none"/>
              </w:rPr>
              <w:t>倍以上</w:t>
            </w:r>
            <w:r>
              <w:rPr>
                <w:rFonts w:ascii="Times New Roman" w:hAnsi="Times New Roman" w:eastAsia="仿宋_GB2312" w:cs="Times New Roman"/>
                <w:highlight w:val="none"/>
              </w:rPr>
              <w:t>1</w:t>
            </w:r>
            <w:r>
              <w:rPr>
                <w:rFonts w:hint="eastAsia" w:ascii="Times New Roman" w:hAnsi="Times New Roman" w:eastAsia="仿宋_GB2312" w:cs="仿宋_GB2312"/>
                <w:highlight w:val="none"/>
              </w:rPr>
              <w:t>倍以下</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超排放量5%以上10%以下</w:t>
            </w:r>
          </w:p>
        </w:tc>
        <w:tc>
          <w:tcPr>
            <w:tcW w:w="2689"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highlight w:val="none"/>
              </w:rPr>
              <w:t>超标</w:t>
            </w:r>
            <w:r>
              <w:rPr>
                <w:rFonts w:ascii="Times New Roman" w:hAnsi="Times New Roman" w:eastAsia="仿宋_GB2312" w:cs="Times New Roman"/>
                <w:highlight w:val="none"/>
              </w:rPr>
              <w:t>1</w:t>
            </w:r>
            <w:r>
              <w:rPr>
                <w:rFonts w:hint="eastAsia" w:ascii="Times New Roman" w:hAnsi="Times New Roman" w:eastAsia="仿宋_GB2312" w:cs="仿宋_GB2312"/>
                <w:highlight w:val="none"/>
              </w:rPr>
              <w:t>倍以上</w:t>
            </w:r>
            <w:r>
              <w:rPr>
                <w:rFonts w:ascii="Times New Roman" w:hAnsi="Times New Roman" w:eastAsia="仿宋_GB2312" w:cs="Times New Roman"/>
                <w:highlight w:val="none"/>
              </w:rPr>
              <w:t>3</w:t>
            </w:r>
            <w:r>
              <w:rPr>
                <w:rFonts w:hint="eastAsia" w:ascii="Times New Roman" w:hAnsi="Times New Roman" w:eastAsia="仿宋_GB2312" w:cs="仿宋_GB2312"/>
                <w:highlight w:val="none"/>
              </w:rPr>
              <w:t>倍以下</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超排放量</w:t>
            </w:r>
            <w:r>
              <w:rPr>
                <w:rFonts w:ascii="Times New Roman" w:hAnsi="Times New Roman" w:eastAsia="仿宋_GB2312" w:cs="仿宋_GB2312"/>
                <w:highlight w:val="none"/>
              </w:rPr>
              <w:t>10</w:t>
            </w:r>
            <w:r>
              <w:rPr>
                <w:rFonts w:hint="eastAsia" w:ascii="Times New Roman" w:hAnsi="Times New Roman" w:eastAsia="仿宋_GB2312" w:cs="仿宋_GB2312"/>
                <w:highlight w:val="none"/>
              </w:rPr>
              <w:t>%以上</w:t>
            </w:r>
            <w:r>
              <w:rPr>
                <w:rFonts w:ascii="Times New Roman" w:hAnsi="Times New Roman" w:eastAsia="仿宋_GB2312" w:cs="仿宋_GB2312"/>
                <w:highlight w:val="none"/>
              </w:rPr>
              <w:t>15</w:t>
            </w:r>
            <w:r>
              <w:rPr>
                <w:rFonts w:hint="eastAsia" w:ascii="Times New Roman" w:hAnsi="Times New Roman" w:eastAsia="仿宋_GB2312" w:cs="仿宋_GB2312"/>
                <w:highlight w:val="none"/>
              </w:rPr>
              <w:t>%以下</w:t>
            </w:r>
          </w:p>
        </w:tc>
        <w:tc>
          <w:tcPr>
            <w:tcW w:w="2689"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超标</w:t>
            </w:r>
            <w:r>
              <w:rPr>
                <w:rFonts w:ascii="Times New Roman" w:hAnsi="Times New Roman" w:eastAsia="仿宋_GB2312" w:cs="Times New Roman"/>
                <w:highlight w:val="none"/>
              </w:rPr>
              <w:t>3</w:t>
            </w:r>
            <w:r>
              <w:rPr>
                <w:rFonts w:hint="eastAsia" w:ascii="Times New Roman" w:hAnsi="Times New Roman" w:eastAsia="仿宋_GB2312" w:cs="仿宋_GB2312"/>
                <w:highlight w:val="none"/>
              </w:rPr>
              <w:t>倍以上</w:t>
            </w:r>
            <w:r>
              <w:rPr>
                <w:rFonts w:ascii="Times New Roman" w:hAnsi="Times New Roman" w:eastAsia="仿宋_GB2312" w:cs="Times New Roman"/>
                <w:highlight w:val="none"/>
              </w:rPr>
              <w:t>5</w:t>
            </w:r>
            <w:r>
              <w:rPr>
                <w:rFonts w:hint="eastAsia" w:ascii="Times New Roman" w:hAnsi="Times New Roman" w:eastAsia="仿宋_GB2312" w:cs="仿宋_GB2312"/>
                <w:highlight w:val="none"/>
              </w:rPr>
              <w:t>倍以下</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超排放量</w:t>
            </w:r>
            <w:r>
              <w:rPr>
                <w:rFonts w:ascii="Times New Roman" w:hAnsi="Times New Roman" w:eastAsia="仿宋_GB2312" w:cs="仿宋_GB2312"/>
                <w:highlight w:val="none"/>
              </w:rPr>
              <w:t>15</w:t>
            </w:r>
            <w:r>
              <w:rPr>
                <w:rFonts w:hint="eastAsia" w:ascii="Times New Roman" w:hAnsi="Times New Roman" w:eastAsia="仿宋_GB2312" w:cs="仿宋_GB2312"/>
                <w:highlight w:val="none"/>
              </w:rPr>
              <w:t>%以上</w:t>
            </w:r>
            <w:r>
              <w:rPr>
                <w:rFonts w:ascii="Times New Roman" w:hAnsi="Times New Roman" w:eastAsia="仿宋_GB2312" w:cs="仿宋_GB2312"/>
                <w:highlight w:val="none"/>
              </w:rPr>
              <w:t>20</w:t>
            </w:r>
            <w:r>
              <w:rPr>
                <w:rFonts w:hint="eastAsia" w:ascii="Times New Roman" w:hAnsi="Times New Roman" w:eastAsia="仿宋_GB2312" w:cs="仿宋_GB2312"/>
                <w:highlight w:val="none"/>
              </w:rPr>
              <w:t>%以下</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超标</w:t>
            </w:r>
            <w:r>
              <w:rPr>
                <w:rFonts w:ascii="Times New Roman" w:hAnsi="Times New Roman" w:eastAsia="仿宋_GB2312" w:cs="Times New Roman"/>
                <w:highlight w:val="none"/>
              </w:rPr>
              <w:t>5</w:t>
            </w:r>
            <w:r>
              <w:rPr>
                <w:rFonts w:hint="eastAsia" w:ascii="Times New Roman" w:hAnsi="Times New Roman" w:eastAsia="仿宋_GB2312" w:cs="仿宋_GB2312"/>
                <w:highlight w:val="none"/>
              </w:rPr>
              <w:t>倍以上</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超排放量</w:t>
            </w:r>
            <w:r>
              <w:rPr>
                <w:rFonts w:ascii="Times New Roman" w:hAnsi="Times New Roman" w:eastAsia="仿宋_GB2312" w:cs="仿宋_GB2312"/>
                <w:highlight w:val="none"/>
              </w:rPr>
              <w:t>20</w:t>
            </w:r>
            <w:r>
              <w:rPr>
                <w:rFonts w:hint="eastAsia" w:ascii="Times New Roman" w:hAnsi="Times New Roman" w:eastAsia="仿宋_GB2312" w:cs="仿宋_GB2312"/>
                <w:highlight w:val="none"/>
              </w:rPr>
              <w:t>%以上</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Times New Roman"/>
                <w:b/>
                <w:bCs/>
                <w:highlight w:val="none"/>
              </w:rPr>
              <w:t>主观</w:t>
            </w:r>
            <w:r>
              <w:rPr>
                <w:rFonts w:ascii="Times New Roman" w:hAnsi="Times New Roman" w:cs="Times New Roman"/>
                <w:b/>
                <w:bCs/>
                <w:highlight w:val="none"/>
              </w:rPr>
              <w:t>故意及整改情况</w:t>
            </w:r>
          </w:p>
        </w:tc>
        <w:tc>
          <w:tcPr>
            <w:tcW w:w="5213" w:type="dxa"/>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采取</w:t>
            </w:r>
            <w:r>
              <w:rPr>
                <w:rFonts w:ascii="Times New Roman" w:hAnsi="Times New Roman" w:eastAsia="仿宋_GB2312" w:cs="仿宋_GB2312"/>
                <w:highlight w:val="none"/>
              </w:rPr>
              <w:t>停产</w:t>
            </w:r>
            <w:r>
              <w:rPr>
                <w:rFonts w:hint="eastAsia" w:ascii="Times New Roman" w:hAnsi="Times New Roman" w:eastAsia="仿宋_GB2312" w:cs="仿宋_GB2312"/>
                <w:highlight w:val="none"/>
              </w:rPr>
              <w:t>整治</w:t>
            </w:r>
            <w:r>
              <w:rPr>
                <w:rFonts w:ascii="Times New Roman" w:hAnsi="Times New Roman" w:eastAsia="仿宋_GB2312" w:cs="仿宋_GB2312"/>
                <w:highlight w:val="none"/>
              </w:rPr>
              <w:t>措施</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采取了</w:t>
            </w:r>
            <w:r>
              <w:rPr>
                <w:rFonts w:ascii="Times New Roman" w:hAnsi="Times New Roman" w:eastAsia="仿宋_GB2312" w:cs="仿宋_GB2312"/>
                <w:highlight w:val="none"/>
              </w:rPr>
              <w:t>限产等部分整改措施</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仿宋_GB2312"/>
                <w:highlight w:val="none"/>
              </w:rPr>
            </w:pPr>
            <w:r>
              <w:rPr>
                <w:rFonts w:hint="eastAsia" w:ascii="Times New Roman" w:hAnsi="Times New Roman" w:eastAsia="仿宋_GB2312" w:cs="仿宋_GB2312"/>
                <w:highlight w:val="none"/>
              </w:rPr>
              <w:t>未采取</w:t>
            </w:r>
            <w:r>
              <w:rPr>
                <w:rFonts w:ascii="Times New Roman" w:hAnsi="Times New Roman" w:eastAsia="仿宋_GB2312" w:cs="仿宋_GB2312"/>
                <w:highlight w:val="none"/>
              </w:rPr>
              <w:t>措施</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vAlign w:val="center"/>
          </w:tcPr>
          <w:p>
            <w:pPr>
              <w:snapToGrid w:val="0"/>
              <w:ind w:firstLine="420"/>
              <w:jc w:val="center"/>
              <w:rPr>
                <w:rFonts w:ascii="Times New Roman" w:hAnsi="Times New Roman" w:cs="Times New Roman"/>
                <w:highlight w:val="none"/>
              </w:rPr>
            </w:pPr>
          </w:p>
        </w:tc>
      </w:tr>
    </w:tbl>
    <w:p>
      <w:pPr>
        <w:rPr>
          <w:rFonts w:ascii="Times New Roman" w:hAnsi="Times New Roman" w:eastAsia="仿宋_GB2312" w:cs="Times New Roman"/>
          <w:sz w:val="10"/>
          <w:szCs w:val="10"/>
          <w:highlight w:val="none"/>
        </w:rPr>
      </w:pPr>
      <w:r>
        <w:rPr>
          <w:rFonts w:ascii="Times New Roman" w:hAnsi="Times New Roman" w:eastAsia="仿宋_GB2312" w:cs="Times New Roman"/>
          <w:sz w:val="10"/>
          <w:szCs w:val="10"/>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（八）其他类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tcBorders>
              <w:top w:val="single" w:color="auto" w:sz="4" w:space="0"/>
              <w:left w:val="single" w:color="auto" w:sz="4" w:space="0"/>
              <w:bottom w:val="single" w:color="auto" w:sz="4" w:space="0"/>
              <w:right w:val="single" w:color="auto" w:sz="4" w:space="0"/>
            </w:tcBorders>
            <w:vAlign w:val="center"/>
          </w:tcPr>
          <w:p>
            <w:pPr>
              <w:widowControl/>
              <w:ind w:firstLine="420"/>
              <w:rPr>
                <w:rFonts w:ascii="Times New Roman" w:hAnsi="Times New Roman" w:eastAsia="仿宋_GB2312" w:cs="Times New Roman"/>
                <w:highlight w:val="none"/>
              </w:rPr>
            </w:pPr>
            <w:r>
              <w:rPr>
                <w:rFonts w:hint="eastAsia" w:ascii="仿宋_GB2312" w:hAnsi="Times New Roman" w:eastAsia="仿宋_GB2312" w:cs="Times New Roman"/>
                <w:highlight w:val="none"/>
              </w:rPr>
              <w:t>通过暗管、渗井、渗坑、灌注或者篡改、伪造监测数据，或者不正常运行污染防治设施等逃避监管的方式违法排放污染物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Borders>
              <w:top w:val="single" w:color="auto" w:sz="4" w:space="0"/>
              <w:left w:val="single" w:color="auto" w:sz="4" w:space="0"/>
              <w:bottom w:val="single" w:color="auto" w:sz="4" w:space="0"/>
              <w:right w:val="single" w:color="auto" w:sz="4" w:space="0"/>
            </w:tcBorders>
          </w:tcPr>
          <w:p>
            <w:pPr>
              <w:pStyle w:val="36"/>
              <w:ind w:firstLine="422"/>
              <w:rPr>
                <w:rFonts w:eastAsia="仿宋_GB2312"/>
                <w:highlight w:val="none"/>
              </w:rPr>
            </w:pPr>
            <w:r>
              <w:rPr>
                <w:rFonts w:hint="eastAsia" w:ascii="仿宋_GB2312" w:eastAsia="仿宋_GB2312"/>
                <w:b/>
                <w:bCs/>
                <w:highlight w:val="none"/>
              </w:rPr>
              <w:t>《排污许可管理条例》第十七条</w:t>
            </w:r>
            <w:r>
              <w:rPr>
                <w:rFonts w:eastAsia="仿宋_GB2312"/>
                <w:highlight w:val="none"/>
              </w:rPr>
              <w:t xml:space="preserve"> </w:t>
            </w:r>
            <w:r>
              <w:rPr>
                <w:rFonts w:hint="eastAsia" w:ascii="仿宋_GB2312" w:eastAsia="仿宋_GB2312"/>
                <w:highlight w:val="none"/>
              </w:rPr>
              <w:t>排污许可证是对排污单位进行生态环境监管的主要依据。</w:t>
            </w:r>
          </w:p>
          <w:p>
            <w:pPr>
              <w:pStyle w:val="11"/>
              <w:ind w:firstLine="420"/>
              <w:rPr>
                <w:rFonts w:ascii="Times New Roman" w:hAnsi="Times New Roman" w:eastAsia="仿宋_GB2312" w:cs="Times New Roman"/>
                <w:sz w:val="21"/>
                <w:szCs w:val="21"/>
                <w:highlight w:val="none"/>
              </w:rPr>
            </w:pPr>
            <w:r>
              <w:rPr>
                <w:rFonts w:hint="eastAsia" w:ascii="仿宋_GB2312" w:hAnsi="Times New Roman" w:eastAsia="仿宋_GB2312" w:cs="Times New Roman"/>
                <w:sz w:val="21"/>
                <w:szCs w:val="21"/>
                <w:highlight w:val="none"/>
              </w:rPr>
              <w:t>排污单位应当遵守排污许可证规定，按照生态环境管理要求运行和维护污染防治设施，建立环境管理制度，严格控制污染物排放。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Borders>
              <w:top w:val="single" w:color="auto" w:sz="4" w:space="0"/>
              <w:left w:val="single" w:color="auto" w:sz="4" w:space="0"/>
              <w:bottom w:val="single" w:color="auto" w:sz="4" w:space="0"/>
              <w:right w:val="single" w:color="auto" w:sz="4" w:space="0"/>
            </w:tcBorders>
          </w:tcPr>
          <w:p>
            <w:pPr>
              <w:widowControl/>
              <w:ind w:firstLine="420"/>
              <w:jc w:val="left"/>
              <w:rPr>
                <w:rFonts w:ascii="Times New Roman" w:hAnsi="Times New Roman" w:eastAsia="仿宋_GB2312" w:cs="宋体"/>
                <w:kern w:val="0"/>
                <w:highlight w:val="none"/>
              </w:rPr>
            </w:pPr>
            <w:r>
              <w:rPr>
                <w:rFonts w:hint="eastAsia" w:ascii="仿宋_GB2312" w:hAnsi="Times New Roman" w:eastAsia="仿宋_GB2312" w:cs="宋体"/>
                <w:b/>
                <w:bCs/>
                <w:kern w:val="0"/>
                <w:highlight w:val="none"/>
              </w:rPr>
              <w:t>《排污许可管理条例》第三十四条</w:t>
            </w:r>
            <w:r>
              <w:rPr>
                <w:rFonts w:hint="eastAsia" w:ascii="Times New Roman" w:hAnsi="Times New Roman" w:eastAsia="仿宋_GB2312" w:cs="宋体"/>
                <w:b/>
                <w:bCs/>
                <w:kern w:val="0"/>
                <w:highlight w:val="none"/>
              </w:rPr>
              <w:t xml:space="preserve"> </w:t>
            </w:r>
            <w:r>
              <w:rPr>
                <w:rFonts w:hint="eastAsia" w:ascii="仿宋_GB2312" w:hAnsi="Times New Roman" w:eastAsia="仿宋_GB2312" w:cs="宋体"/>
                <w:kern w:val="0"/>
                <w:highlight w:val="none"/>
              </w:rPr>
              <w:t>违反本条例规定，排污单位有下列行为之一的，由生态环境主管部门责令改正或者限制生产、停产整治，处</w:t>
            </w:r>
            <w:r>
              <w:rPr>
                <w:rFonts w:hint="eastAsia" w:ascii="Times New Roman" w:hAnsi="Times New Roman" w:eastAsia="仿宋_GB2312" w:cs="Times New Roman"/>
                <w:kern w:val="0"/>
                <w:highlight w:val="none"/>
              </w:rPr>
              <w:t>20</w:t>
            </w:r>
            <w:r>
              <w:rPr>
                <w:rFonts w:hint="eastAsia" w:ascii="仿宋_GB2312" w:hAnsi="Times New Roman" w:eastAsia="仿宋_GB2312" w:cs="宋体"/>
                <w:kern w:val="0"/>
                <w:highlight w:val="none"/>
              </w:rPr>
              <w:t>万元以上</w:t>
            </w:r>
            <w:r>
              <w:rPr>
                <w:rFonts w:hint="eastAsia" w:ascii="Times New Roman" w:hAnsi="Times New Roman" w:eastAsia="仿宋_GB2312" w:cs="Times New Roman"/>
                <w:kern w:val="0"/>
                <w:highlight w:val="none"/>
              </w:rPr>
              <w:t>100</w:t>
            </w:r>
            <w:r>
              <w:rPr>
                <w:rFonts w:hint="eastAsia" w:ascii="仿宋_GB2312" w:hAnsi="Times New Roman" w:eastAsia="仿宋_GB2312" w:cs="宋体"/>
                <w:kern w:val="0"/>
                <w:highlight w:val="none"/>
              </w:rPr>
              <w:t>万元以下的罚款；情节严重的，吊销排污许可证，报经有批准权的人民政府批准，责令停业、关闭：</w:t>
            </w:r>
          </w:p>
          <w:p>
            <w:pPr>
              <w:widowControl/>
              <w:numPr>
                <w:ilvl w:val="0"/>
                <w:numId w:val="3"/>
              </w:numPr>
              <w:ind w:firstLine="420"/>
              <w:jc w:val="left"/>
              <w:rPr>
                <w:rFonts w:ascii="Times New Roman" w:hAnsi="Times New Roman" w:eastAsia="仿宋_GB2312" w:cs="宋体"/>
                <w:highlight w:val="none"/>
              </w:rPr>
            </w:pPr>
            <w:r>
              <w:rPr>
                <w:rFonts w:hint="eastAsia" w:ascii="仿宋_GB2312" w:hAnsi="Times New Roman" w:eastAsia="仿宋_GB2312" w:cs="宋体"/>
                <w:kern w:val="0"/>
                <w:highlight w:val="none"/>
              </w:rPr>
              <w:t>通过暗管、渗井、渗坑、灌注或者篡改、伪造监测数据，或者不正常运行污染防治设施等逃避监管的方式违法排放污染物。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8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13"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部分处理设施不能正常运行</w:t>
            </w:r>
          </w:p>
        </w:tc>
        <w:tc>
          <w:tcPr>
            <w:tcW w:w="268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部分处理设施停运</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整体或关键处理设施不能正常运行</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整体或关键处理设施停运</w:t>
            </w:r>
            <w:r>
              <w:rPr>
                <w:rFonts w:ascii="Times New Roman" w:hAnsi="Times New Roman" w:eastAsia="仿宋_GB2312" w:cs="Times New Roman"/>
                <w:sz w:val="21"/>
                <w:szCs w:val="21"/>
                <w:highlight w:val="none"/>
              </w:rPr>
              <w:t>/</w:t>
            </w:r>
            <w:r>
              <w:rPr>
                <w:rFonts w:hint="eastAsia" w:ascii="Times New Roman" w:hAnsi="Times New Roman" w:eastAsia="仿宋_GB2312" w:cs="仿宋_GB2312"/>
                <w:sz w:val="21"/>
                <w:szCs w:val="21"/>
                <w:highlight w:val="none"/>
              </w:rPr>
              <w:t>为逃避现场检查临时停产</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正常生产时不通过处理设施利用其他方式直接排放或者关闭自动监测设备</w:t>
            </w:r>
            <w:r>
              <w:rPr>
                <w:rFonts w:ascii="Times New Roman" w:hAnsi="Times New Roman" w:eastAsia="仿宋_GB2312" w:cs="Times New Roman"/>
                <w:sz w:val="21"/>
                <w:szCs w:val="21"/>
                <w:highlight w:val="none"/>
              </w:rPr>
              <w:t>/</w:t>
            </w:r>
            <w:r>
              <w:rPr>
                <w:rFonts w:hint="eastAsia" w:ascii="Times New Roman" w:hAnsi="Times New Roman" w:eastAsia="仿宋_GB2312" w:cs="仿宋_GB2312"/>
                <w:sz w:val="21"/>
                <w:szCs w:val="21"/>
                <w:highlight w:val="none"/>
              </w:rPr>
              <w:t>篡改、伪造监测数据</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排污超标</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状况</w:t>
            </w: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超标</w:t>
            </w:r>
            <w:r>
              <w:rPr>
                <w:rFonts w:ascii="Times New Roman" w:hAnsi="Times New Roman" w:eastAsia="仿宋_GB2312" w:cs="Times New Roman"/>
                <w:highlight w:val="none"/>
              </w:rPr>
              <w:t>0.5</w:t>
            </w:r>
            <w:r>
              <w:rPr>
                <w:rFonts w:hint="eastAsia" w:ascii="Times New Roman" w:hAnsi="Times New Roman" w:eastAsia="仿宋_GB2312" w:cs="仿宋_GB2312"/>
                <w:highlight w:val="none"/>
              </w:rPr>
              <w:t>倍以下</w:t>
            </w:r>
          </w:p>
        </w:tc>
        <w:tc>
          <w:tcPr>
            <w:tcW w:w="2689"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超标</w:t>
            </w:r>
            <w:r>
              <w:rPr>
                <w:rFonts w:ascii="Times New Roman" w:hAnsi="Times New Roman" w:eastAsia="仿宋_GB2312" w:cs="Times New Roman"/>
                <w:highlight w:val="none"/>
              </w:rPr>
              <w:t>0.5</w:t>
            </w:r>
            <w:r>
              <w:rPr>
                <w:rFonts w:hint="eastAsia" w:ascii="Times New Roman" w:hAnsi="Times New Roman" w:eastAsia="仿宋_GB2312" w:cs="仿宋_GB2312"/>
                <w:highlight w:val="none"/>
              </w:rPr>
              <w:t>倍以上</w:t>
            </w:r>
            <w:r>
              <w:rPr>
                <w:rFonts w:ascii="Times New Roman" w:hAnsi="Times New Roman" w:eastAsia="仿宋_GB2312" w:cs="Times New Roman"/>
                <w:highlight w:val="none"/>
              </w:rPr>
              <w:t>1</w:t>
            </w:r>
            <w:r>
              <w:rPr>
                <w:rFonts w:hint="eastAsia" w:ascii="Times New Roman" w:hAnsi="Times New Roman" w:eastAsia="仿宋_GB2312" w:cs="仿宋_GB2312"/>
                <w:highlight w:val="none"/>
              </w:rPr>
              <w:t>倍以下</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超标</w:t>
            </w:r>
            <w:r>
              <w:rPr>
                <w:rFonts w:ascii="Times New Roman" w:hAnsi="Times New Roman" w:eastAsia="仿宋_GB2312" w:cs="Times New Roman"/>
                <w:highlight w:val="none"/>
              </w:rPr>
              <w:t>1</w:t>
            </w:r>
            <w:r>
              <w:rPr>
                <w:rFonts w:hint="eastAsia" w:ascii="Times New Roman" w:hAnsi="Times New Roman" w:eastAsia="仿宋_GB2312" w:cs="仿宋_GB2312"/>
                <w:highlight w:val="none"/>
              </w:rPr>
              <w:t>倍以上</w:t>
            </w:r>
            <w:r>
              <w:rPr>
                <w:rFonts w:ascii="Times New Roman" w:hAnsi="Times New Roman" w:eastAsia="仿宋_GB2312" w:cs="Times New Roman"/>
                <w:highlight w:val="none"/>
              </w:rPr>
              <w:t>3</w:t>
            </w:r>
            <w:r>
              <w:rPr>
                <w:rFonts w:hint="eastAsia" w:ascii="Times New Roman" w:hAnsi="Times New Roman" w:eastAsia="仿宋_GB2312" w:cs="仿宋_GB2312"/>
                <w:highlight w:val="none"/>
              </w:rPr>
              <w:t>倍以下</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ind w:firstLine="420"/>
              <w:jc w:val="center"/>
              <w:rPr>
                <w:rFonts w:ascii="Times New Roman" w:hAnsi="Times New Roman" w:eastAsia="仿宋_GB2312" w:cs="Times New Roman"/>
                <w:color w:val="000000"/>
                <w:highlight w:val="none"/>
              </w:rPr>
            </w:pPr>
            <w:r>
              <w:rPr>
                <w:rFonts w:hint="eastAsia" w:ascii="Times New Roman" w:hAnsi="Times New Roman" w:eastAsia="仿宋_GB2312" w:cs="仿宋_GB2312"/>
                <w:highlight w:val="none"/>
              </w:rPr>
              <w:t>超标</w:t>
            </w:r>
            <w:r>
              <w:rPr>
                <w:rFonts w:ascii="Times New Roman" w:hAnsi="Times New Roman" w:eastAsia="仿宋_GB2312" w:cs="Times New Roman"/>
                <w:highlight w:val="none"/>
              </w:rPr>
              <w:t>3</w:t>
            </w:r>
            <w:r>
              <w:rPr>
                <w:rFonts w:hint="eastAsia" w:ascii="Times New Roman" w:hAnsi="Times New Roman" w:eastAsia="仿宋_GB2312" w:cs="仿宋_GB2312"/>
                <w:highlight w:val="none"/>
              </w:rPr>
              <w:t>倍以上</w:t>
            </w:r>
            <w:r>
              <w:rPr>
                <w:rFonts w:ascii="Times New Roman" w:hAnsi="Times New Roman" w:eastAsia="仿宋_GB2312" w:cs="Times New Roman"/>
                <w:highlight w:val="none"/>
              </w:rPr>
              <w:t>5</w:t>
            </w:r>
            <w:r>
              <w:rPr>
                <w:rFonts w:hint="eastAsia" w:ascii="Times New Roman" w:hAnsi="Times New Roman" w:eastAsia="仿宋_GB2312" w:cs="仿宋_GB2312"/>
                <w:highlight w:val="none"/>
              </w:rPr>
              <w:t>倍以下</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highlight w:val="none"/>
              </w:rPr>
              <w:t>超标</w:t>
            </w:r>
            <w:r>
              <w:rPr>
                <w:rFonts w:ascii="Times New Roman" w:hAnsi="Times New Roman" w:eastAsia="仿宋_GB2312" w:cs="Times New Roman"/>
                <w:highlight w:val="none"/>
              </w:rPr>
              <w:t>5</w:t>
            </w:r>
            <w:r>
              <w:rPr>
                <w:rFonts w:hint="eastAsia" w:ascii="Times New Roman" w:hAnsi="Times New Roman" w:eastAsia="仿宋_GB2312" w:cs="仿宋_GB2312"/>
                <w:highlight w:val="none"/>
              </w:rPr>
              <w:t>倍以上</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Times New Roman"/>
                <w:b/>
                <w:bCs/>
                <w:highlight w:val="none"/>
              </w:rPr>
              <w:t>违法行为</w:t>
            </w:r>
            <w:r>
              <w:rPr>
                <w:rFonts w:ascii="Times New Roman" w:hAnsi="Times New Roman" w:cs="Times New Roman"/>
                <w:b/>
                <w:bCs/>
                <w:highlight w:val="none"/>
              </w:rPr>
              <w:t>发生时期环境敏感</w:t>
            </w:r>
            <w:r>
              <w:rPr>
                <w:rFonts w:hint="eastAsia" w:ascii="Times New Roman" w:hAnsi="Times New Roman" w:cs="Times New Roman"/>
                <w:b/>
                <w:bCs/>
                <w:highlight w:val="none"/>
              </w:rPr>
              <w:t>度</w:t>
            </w:r>
          </w:p>
        </w:tc>
        <w:tc>
          <w:tcPr>
            <w:tcW w:w="5213"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一般期间</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特殊或重大活动期间</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重污染天气预警期间</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vAlign w:val="center"/>
          </w:tcPr>
          <w:p>
            <w:pPr>
              <w:snapToGrid w:val="0"/>
              <w:ind w:firstLine="420"/>
              <w:jc w:val="center"/>
              <w:rPr>
                <w:rFonts w:ascii="Times New Roman" w:hAnsi="Times New Roman" w:cs="Times New Roman"/>
                <w:highlight w:val="none"/>
              </w:rPr>
            </w:pPr>
          </w:p>
        </w:tc>
      </w:tr>
    </w:tbl>
    <w:p>
      <w:pPr>
        <w:jc w:val="center"/>
        <w:rPr>
          <w:rFonts w:ascii="Times New Roman" w:hAnsi="Times New Roman" w:eastAsia="仿宋_GB2312" w:cs="Times New Roman"/>
          <w:sz w:val="10"/>
          <w:szCs w:val="10"/>
          <w:highlight w:val="none"/>
        </w:rPr>
      </w:pPr>
      <w:r>
        <w:rPr>
          <w:rFonts w:ascii="Times New Roman" w:hAnsi="Times New Roman" w:eastAsia="仿宋_GB2312" w:cs="Times New Roman"/>
          <w:sz w:val="32"/>
          <w:szCs w:val="32"/>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（八）其他类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0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02"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highlight w:val="none"/>
              </w:rPr>
            </w:pPr>
            <w:r>
              <w:rPr>
                <w:rFonts w:hint="eastAsia" w:ascii="仿宋_GB2312" w:hAnsi="Times New Roman" w:eastAsia="仿宋_GB2312" w:cs="Times New Roman"/>
                <w:color w:val="000000"/>
                <w:highlight w:val="none"/>
              </w:rPr>
              <w:t>未按照排污许可证规定控制大气污染物无组织排放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Borders>
              <w:top w:val="single" w:color="auto" w:sz="4" w:space="0"/>
              <w:left w:val="single" w:color="auto" w:sz="4" w:space="0"/>
              <w:bottom w:val="single" w:color="auto" w:sz="4" w:space="0"/>
              <w:right w:val="single" w:color="auto" w:sz="4" w:space="0"/>
            </w:tcBorders>
          </w:tcPr>
          <w:p>
            <w:pPr>
              <w:pStyle w:val="11"/>
              <w:ind w:firstLine="420"/>
              <w:rPr>
                <w:rFonts w:ascii="Times New Roman" w:hAnsi="Times New Roman" w:eastAsia="仿宋_GB2312" w:cs="Times New Roman"/>
                <w:sz w:val="21"/>
                <w:szCs w:val="21"/>
                <w:highlight w:val="none"/>
              </w:rPr>
            </w:pPr>
            <w:r>
              <w:rPr>
                <w:rFonts w:hint="eastAsia" w:ascii="仿宋_GB2312" w:hAnsi="Times New Roman" w:eastAsia="仿宋_GB2312" w:cs="Times New Roman"/>
                <w:b/>
                <w:bCs/>
                <w:sz w:val="21"/>
                <w:szCs w:val="21"/>
                <w:highlight w:val="none"/>
              </w:rPr>
              <w:t>《排污许可管理条例》第十七条</w:t>
            </w:r>
            <w:r>
              <w:rPr>
                <w:rFonts w:ascii="Times New Roman" w:hAnsi="Times New Roman" w:eastAsia="仿宋_GB2312" w:cs="Times New Roman"/>
                <w:sz w:val="21"/>
                <w:szCs w:val="21"/>
                <w:highlight w:val="none"/>
              </w:rPr>
              <w:t xml:space="preserve"> </w:t>
            </w:r>
            <w:r>
              <w:rPr>
                <w:rFonts w:hint="eastAsia" w:ascii="仿宋_GB2312" w:hAnsi="Times New Roman" w:eastAsia="仿宋_GB2312" w:cs="Times New Roman"/>
                <w:sz w:val="21"/>
                <w:szCs w:val="21"/>
                <w:highlight w:val="none"/>
              </w:rPr>
              <w:t>排污许可证是对排污单位进行生态环境监管的主要依据。</w:t>
            </w:r>
          </w:p>
          <w:p>
            <w:pPr>
              <w:pStyle w:val="11"/>
              <w:ind w:firstLine="420"/>
              <w:rPr>
                <w:rFonts w:ascii="Times New Roman" w:hAnsi="Times New Roman" w:eastAsia="仿宋_GB2312" w:cs="Times New Roman"/>
                <w:sz w:val="21"/>
                <w:szCs w:val="21"/>
                <w:highlight w:val="none"/>
              </w:rPr>
            </w:pPr>
            <w:r>
              <w:rPr>
                <w:rFonts w:hint="eastAsia" w:ascii="仿宋_GB2312" w:hAnsi="Times New Roman" w:eastAsia="仿宋_GB2312" w:cs="Times New Roman"/>
                <w:sz w:val="21"/>
                <w:szCs w:val="21"/>
                <w:highlight w:val="none"/>
              </w:rPr>
              <w:t>排污单位应当遵守排污许可证规定，按照生态环境管理要求运行和维护污染防治设施，建立环境管理制度，严格控制污染物排放。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Borders>
              <w:top w:val="single" w:color="auto" w:sz="4" w:space="0"/>
              <w:left w:val="single" w:color="auto" w:sz="4" w:space="0"/>
              <w:bottom w:val="single" w:color="auto" w:sz="4" w:space="0"/>
              <w:right w:val="single" w:color="auto" w:sz="4" w:space="0"/>
            </w:tcBorders>
          </w:tcPr>
          <w:p>
            <w:pPr>
              <w:pStyle w:val="11"/>
              <w:ind w:firstLine="420"/>
              <w:rPr>
                <w:rFonts w:ascii="Times New Roman" w:hAnsi="Times New Roman" w:eastAsia="仿宋_GB2312" w:cs="Times New Roman"/>
                <w:sz w:val="21"/>
                <w:szCs w:val="21"/>
                <w:highlight w:val="none"/>
              </w:rPr>
            </w:pPr>
            <w:r>
              <w:rPr>
                <w:rFonts w:hint="eastAsia" w:ascii="仿宋_GB2312" w:hAnsi="Times New Roman" w:eastAsia="仿宋_GB2312" w:cs="Times New Roman"/>
                <w:b/>
                <w:bCs/>
                <w:sz w:val="21"/>
                <w:szCs w:val="21"/>
                <w:highlight w:val="none"/>
              </w:rPr>
              <w:t>《排污许可管理条例》第三十五条</w:t>
            </w:r>
            <w:r>
              <w:rPr>
                <w:rFonts w:hint="eastAsia" w:ascii="仿宋" w:hAnsi="仿宋" w:eastAsia="仿宋" w:cs="Times New Roman"/>
                <w:sz w:val="36"/>
                <w:szCs w:val="36"/>
                <w:highlight w:val="none"/>
              </w:rPr>
              <w:t xml:space="preserve"> </w:t>
            </w:r>
            <w:r>
              <w:rPr>
                <w:rFonts w:hint="eastAsia" w:ascii="仿宋_GB2312" w:hAnsi="Times New Roman" w:eastAsia="仿宋_GB2312" w:cs="Times New Roman"/>
                <w:sz w:val="21"/>
                <w:szCs w:val="21"/>
                <w:highlight w:val="none"/>
              </w:rPr>
              <w:t>违反本条例规定，排污单位有下列行为之一的，由生态环境主管部门责令改正，处</w:t>
            </w:r>
            <w:r>
              <w:rPr>
                <w:rFonts w:hint="eastAsia" w:ascii="Times New Roman" w:hAnsi="Times New Roman" w:eastAsia="仿宋_GB2312" w:cs="Times New Roman"/>
                <w:sz w:val="21"/>
                <w:szCs w:val="21"/>
                <w:highlight w:val="none"/>
              </w:rPr>
              <w:t>5</w:t>
            </w:r>
            <w:r>
              <w:rPr>
                <w:rFonts w:hint="eastAsia" w:ascii="仿宋_GB2312" w:hAnsi="Times New Roman" w:eastAsia="仿宋_GB2312" w:cs="Times New Roman"/>
                <w:sz w:val="21"/>
                <w:szCs w:val="21"/>
                <w:highlight w:val="none"/>
              </w:rPr>
              <w:t>万元以上</w:t>
            </w:r>
            <w:r>
              <w:rPr>
                <w:rFonts w:hint="eastAsia" w:ascii="Times New Roman" w:hAnsi="Times New Roman" w:eastAsia="仿宋_GB2312" w:cs="Times New Roman"/>
                <w:sz w:val="21"/>
                <w:szCs w:val="21"/>
                <w:highlight w:val="none"/>
              </w:rPr>
              <w:t>20</w:t>
            </w:r>
            <w:r>
              <w:rPr>
                <w:rFonts w:hint="eastAsia" w:ascii="仿宋_GB2312" w:hAnsi="Times New Roman" w:eastAsia="仿宋_GB2312" w:cs="Times New Roman"/>
                <w:sz w:val="21"/>
                <w:szCs w:val="21"/>
                <w:highlight w:val="none"/>
              </w:rPr>
              <w:t>万元以下的罚款；情节严重的，处</w:t>
            </w:r>
            <w:r>
              <w:rPr>
                <w:rFonts w:hint="eastAsia" w:ascii="Times New Roman" w:hAnsi="Times New Roman" w:eastAsia="仿宋_GB2312" w:cs="Times New Roman"/>
                <w:sz w:val="21"/>
                <w:szCs w:val="21"/>
                <w:highlight w:val="none"/>
              </w:rPr>
              <w:t>20</w:t>
            </w:r>
            <w:r>
              <w:rPr>
                <w:rFonts w:hint="eastAsia" w:ascii="仿宋_GB2312" w:hAnsi="Times New Roman" w:eastAsia="仿宋_GB2312" w:cs="Times New Roman"/>
                <w:sz w:val="21"/>
                <w:szCs w:val="21"/>
                <w:highlight w:val="none"/>
              </w:rPr>
              <w:t>万元以上</w:t>
            </w:r>
            <w:r>
              <w:rPr>
                <w:rFonts w:hint="eastAsia" w:ascii="Times New Roman" w:hAnsi="Times New Roman" w:eastAsia="仿宋_GB2312" w:cs="Times New Roman"/>
                <w:sz w:val="21"/>
                <w:szCs w:val="21"/>
                <w:highlight w:val="none"/>
              </w:rPr>
              <w:t>100</w:t>
            </w:r>
            <w:r>
              <w:rPr>
                <w:rFonts w:hint="eastAsia" w:ascii="仿宋_GB2312" w:hAnsi="Times New Roman" w:eastAsia="仿宋_GB2312" w:cs="Times New Roman"/>
                <w:sz w:val="21"/>
                <w:szCs w:val="21"/>
                <w:highlight w:val="none"/>
              </w:rPr>
              <w:t>万元以下的罚款，责令限制生产、停产整治：</w:t>
            </w:r>
          </w:p>
          <w:p>
            <w:pPr>
              <w:rPr>
                <w:rFonts w:cs="Times New Roman"/>
                <w:highlight w:val="none"/>
              </w:rPr>
            </w:pPr>
            <w:r>
              <w:rPr>
                <w:rFonts w:hint="eastAsia" w:ascii="仿宋_GB2312" w:hAnsi="Times New Roman" w:eastAsia="仿宋_GB2312" w:cs="Times New Roman"/>
                <w:highlight w:val="none"/>
              </w:rPr>
              <w:t>（一）未按照排污许可证规定控制大气污染物无组织排放；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8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Times New Roman"/>
                <w:b/>
                <w:bCs/>
                <w:highlight w:val="none"/>
              </w:rPr>
              <w:t>违法事实</w:t>
            </w:r>
            <w:r>
              <w:rPr>
                <w:rFonts w:hint="eastAsia" w:ascii="Times New Roman" w:hAnsi="Times New Roman" w:cs="宋体"/>
                <w:b/>
                <w:bCs/>
                <w:color w:val="000000"/>
                <w:highlight w:val="none"/>
              </w:rPr>
              <w:t>★</w:t>
            </w: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已采取</w:t>
            </w:r>
            <w:r>
              <w:rPr>
                <w:rFonts w:ascii="Times New Roman" w:hAnsi="Times New Roman" w:eastAsia="仿宋_GB2312" w:cs="Times New Roman"/>
                <w:highlight w:val="none"/>
              </w:rPr>
              <w:t>措施，</w:t>
            </w:r>
            <w:r>
              <w:rPr>
                <w:rFonts w:hint="eastAsia" w:ascii="Times New Roman" w:hAnsi="Times New Roman" w:eastAsia="仿宋_GB2312" w:cs="Times New Roman"/>
                <w:highlight w:val="none"/>
              </w:rPr>
              <w:t>但不符合</w:t>
            </w:r>
            <w:r>
              <w:rPr>
                <w:rFonts w:ascii="Times New Roman" w:hAnsi="Times New Roman" w:eastAsia="仿宋_GB2312" w:cs="Times New Roman"/>
                <w:highlight w:val="none"/>
              </w:rPr>
              <w:t>排污许可证规定</w:t>
            </w:r>
          </w:p>
        </w:tc>
        <w:tc>
          <w:tcPr>
            <w:tcW w:w="268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已采取部分</w:t>
            </w:r>
            <w:r>
              <w:rPr>
                <w:rFonts w:ascii="Times New Roman" w:hAnsi="Times New Roman" w:eastAsia="仿宋_GB2312" w:cs="Times New Roman"/>
                <w:highlight w:val="none"/>
              </w:rPr>
              <w:t>措施控制大气污染物无组织排放</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未采取</w:t>
            </w:r>
            <w:r>
              <w:rPr>
                <w:rFonts w:ascii="Times New Roman" w:hAnsi="Times New Roman" w:eastAsia="仿宋_GB2312" w:cs="Times New Roman"/>
                <w:highlight w:val="none"/>
              </w:rPr>
              <w:t>措施控制大气污染物无组织排放</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Times New Roman"/>
                <w:b/>
                <w:bCs/>
                <w:color w:val="000000"/>
                <w:highlight w:val="none"/>
              </w:rPr>
              <w:t>排污单位</w:t>
            </w:r>
          </w:p>
          <w:p>
            <w:pPr>
              <w:snapToGrid w:val="0"/>
              <w:jc w:val="center"/>
              <w:rPr>
                <w:rFonts w:ascii="Times New Roman" w:hAnsi="Times New Roman" w:cs="Times New Roman"/>
                <w:b/>
                <w:bCs/>
                <w:color w:val="000000"/>
                <w:highlight w:val="none"/>
              </w:rPr>
            </w:pPr>
            <w:r>
              <w:rPr>
                <w:rFonts w:ascii="Times New Roman" w:hAnsi="Times New Roman" w:cs="Times New Roman"/>
                <w:b/>
                <w:bCs/>
                <w:color w:val="000000"/>
                <w:highlight w:val="none"/>
              </w:rPr>
              <w:t>管理类别</w:t>
            </w:r>
          </w:p>
        </w:tc>
        <w:tc>
          <w:tcPr>
            <w:tcW w:w="5213" w:type="dxa"/>
            <w:vAlign w:val="center"/>
          </w:tcPr>
          <w:p>
            <w:pPr>
              <w:pStyle w:val="11"/>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sz w:val="21"/>
                <w:szCs w:val="21"/>
                <w:highlight w:val="none"/>
              </w:rPr>
              <w:t>简化</w:t>
            </w:r>
            <w:r>
              <w:rPr>
                <w:rFonts w:ascii="Times New Roman" w:hAnsi="Times New Roman" w:eastAsia="仿宋_GB2312" w:cs="Times New Roman"/>
                <w:color w:val="000000"/>
                <w:sz w:val="21"/>
                <w:szCs w:val="21"/>
                <w:highlight w:val="none"/>
              </w:rPr>
              <w:t>管理</w:t>
            </w:r>
          </w:p>
        </w:tc>
        <w:tc>
          <w:tcPr>
            <w:tcW w:w="2689"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sz w:val="21"/>
                <w:szCs w:val="21"/>
                <w:highlight w:val="none"/>
              </w:rPr>
              <w:t>重点</w:t>
            </w:r>
            <w:r>
              <w:rPr>
                <w:rFonts w:ascii="Times New Roman" w:hAnsi="Times New Roman" w:eastAsia="仿宋_GB2312" w:cs="Times New Roman"/>
                <w:color w:val="000000"/>
                <w:sz w:val="21"/>
                <w:szCs w:val="21"/>
                <w:highlight w:val="none"/>
              </w:rPr>
              <w:t>管理</w:t>
            </w:r>
          </w:p>
        </w:tc>
        <w:tc>
          <w:tcPr>
            <w:tcW w:w="2689"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Times New Roman"/>
                <w:color w:val="000000"/>
                <w:sz w:val="21"/>
                <w:szCs w:val="21"/>
                <w:highlight w:val="none"/>
              </w:rPr>
              <w:t>重点管理（化工、电镀、皮革、造纸、制浆、冶炼、放射性、印染、染料、炼焦、炼油项目）</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宋体"/>
                <w:b/>
                <w:bCs/>
                <w:highlight w:val="none"/>
              </w:rPr>
            </w:pPr>
            <w:r>
              <w:rPr>
                <w:rFonts w:hint="eastAsia" w:ascii="Times New Roman" w:hAnsi="Times New Roman" w:cs="宋体"/>
                <w:b/>
                <w:bCs/>
                <w:highlight w:val="none"/>
              </w:rPr>
              <w:t>排放区域</w:t>
            </w:r>
          </w:p>
        </w:tc>
        <w:tc>
          <w:tcPr>
            <w:tcW w:w="5213" w:type="dxa"/>
            <w:vAlign w:val="center"/>
          </w:tcPr>
          <w:p>
            <w:pPr>
              <w:snapToGrid w:val="0"/>
              <w:ind w:firstLine="420"/>
              <w:jc w:val="center"/>
              <w:rPr>
                <w:rFonts w:ascii="Times New Roman" w:hAnsi="Times New Roman" w:eastAsia="仿宋_GB2312" w:cs="仿宋_GB2312"/>
                <w:color w:val="000000"/>
                <w:highlight w:val="none"/>
              </w:rPr>
            </w:pPr>
            <w:r>
              <w:rPr>
                <w:rFonts w:hint="eastAsia" w:ascii="Times New Roman" w:hAnsi="Times New Roman" w:eastAsia="仿宋_GB2312" w:cs="Times New Roman"/>
                <w:highlight w:val="none"/>
              </w:rPr>
              <w:t>一般控制区</w:t>
            </w:r>
          </w:p>
        </w:tc>
        <w:tc>
          <w:tcPr>
            <w:tcW w:w="2689"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宋体"/>
                <w:b/>
                <w:bCs/>
                <w:highlight w:val="none"/>
              </w:rPr>
            </w:pPr>
          </w:p>
        </w:tc>
        <w:tc>
          <w:tcPr>
            <w:tcW w:w="5213" w:type="dxa"/>
            <w:vAlign w:val="center"/>
          </w:tcPr>
          <w:p>
            <w:pPr>
              <w:snapToGrid w:val="0"/>
              <w:ind w:firstLine="420"/>
              <w:jc w:val="center"/>
              <w:rPr>
                <w:rFonts w:ascii="Times New Roman" w:hAnsi="Times New Roman" w:eastAsia="仿宋_GB2312" w:cs="仿宋_GB2312"/>
                <w:color w:val="000000"/>
                <w:highlight w:val="none"/>
              </w:rPr>
            </w:pPr>
            <w:r>
              <w:rPr>
                <w:rFonts w:hint="eastAsia" w:ascii="Times New Roman" w:hAnsi="Times New Roman" w:eastAsia="仿宋_GB2312" w:cs="Times New Roman"/>
                <w:highlight w:val="none"/>
              </w:rPr>
              <w:t>重点</w:t>
            </w:r>
            <w:r>
              <w:rPr>
                <w:rFonts w:ascii="Times New Roman" w:hAnsi="Times New Roman" w:eastAsia="仿宋_GB2312" w:cs="Times New Roman"/>
                <w:highlight w:val="none"/>
              </w:rPr>
              <w:t>控制区</w:t>
            </w:r>
          </w:p>
        </w:tc>
        <w:tc>
          <w:tcPr>
            <w:tcW w:w="2689"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宋体"/>
                <w:b/>
                <w:bCs/>
                <w:highlight w:val="none"/>
              </w:rPr>
            </w:pPr>
          </w:p>
        </w:tc>
        <w:tc>
          <w:tcPr>
            <w:tcW w:w="5213" w:type="dxa"/>
            <w:vAlign w:val="center"/>
          </w:tcPr>
          <w:p>
            <w:pPr>
              <w:snapToGrid w:val="0"/>
              <w:ind w:firstLine="420"/>
              <w:jc w:val="center"/>
              <w:rPr>
                <w:rFonts w:ascii="Times New Roman" w:hAnsi="Times New Roman" w:eastAsia="仿宋_GB2312" w:cs="仿宋_GB2312"/>
                <w:color w:val="000000"/>
                <w:highlight w:val="none"/>
              </w:rPr>
            </w:pPr>
            <w:r>
              <w:rPr>
                <w:rFonts w:hint="eastAsia" w:ascii="Times New Roman" w:hAnsi="Times New Roman" w:eastAsia="仿宋_GB2312" w:cs="Times New Roman"/>
                <w:highlight w:val="none"/>
              </w:rPr>
              <w:t>核心</w:t>
            </w:r>
            <w:r>
              <w:rPr>
                <w:rFonts w:ascii="Times New Roman" w:hAnsi="Times New Roman" w:eastAsia="仿宋_GB2312" w:cs="Times New Roman"/>
                <w:highlight w:val="none"/>
              </w:rPr>
              <w:t>控制区</w:t>
            </w:r>
          </w:p>
        </w:tc>
        <w:tc>
          <w:tcPr>
            <w:tcW w:w="2689"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vAlign w:val="center"/>
          </w:tcPr>
          <w:p>
            <w:pPr>
              <w:snapToGrid w:val="0"/>
              <w:ind w:firstLine="420"/>
              <w:jc w:val="center"/>
              <w:rPr>
                <w:rFonts w:ascii="Times New Roman" w:hAnsi="Times New Roman" w:cs="Times New Roman"/>
                <w:highlight w:val="none"/>
              </w:rPr>
            </w:pPr>
          </w:p>
        </w:tc>
      </w:tr>
    </w:tbl>
    <w:p>
      <w:pPr>
        <w:rPr>
          <w:rFonts w:ascii="Times New Roman" w:hAnsi="Times New Roman" w:eastAsia="仿宋_GB2312" w:cs="Times New Roman"/>
          <w:sz w:val="10"/>
          <w:szCs w:val="10"/>
          <w:highlight w:val="none"/>
        </w:rPr>
      </w:pPr>
      <w:r>
        <w:rPr>
          <w:rFonts w:ascii="Times New Roman" w:hAnsi="Times New Roman" w:eastAsia="仿宋_GB2312" w:cs="Times New Roman"/>
          <w:sz w:val="10"/>
          <w:szCs w:val="10"/>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604"/>
        <w:gridCol w:w="2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（八）其他类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0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02" w:type="dxa"/>
            <w:gridSpan w:val="2"/>
            <w:tcBorders>
              <w:top w:val="single" w:color="auto" w:sz="4" w:space="0"/>
              <w:left w:val="single" w:color="auto" w:sz="4" w:space="0"/>
              <w:bottom w:val="single" w:color="auto" w:sz="4" w:space="0"/>
              <w:right w:val="single" w:color="auto" w:sz="4" w:space="0"/>
            </w:tcBorders>
            <w:vAlign w:val="center"/>
          </w:tcPr>
          <w:p>
            <w:pPr>
              <w:pStyle w:val="36"/>
              <w:ind w:firstLine="480"/>
              <w:rPr>
                <w:color w:val="000000"/>
                <w:highlight w:val="none"/>
              </w:rPr>
            </w:pPr>
            <w:r>
              <w:rPr>
                <w:rFonts w:hint="eastAsia" w:ascii="仿宋_GB2312" w:eastAsia="仿宋_GB2312"/>
                <w:color w:val="000000"/>
                <w:highlight w:val="none"/>
              </w:rPr>
              <w:t>特殊时段未按照排污许可证规定停止或者限制排放污染物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Borders>
              <w:top w:val="single" w:color="auto" w:sz="4" w:space="0"/>
              <w:left w:val="single" w:color="auto" w:sz="4" w:space="0"/>
              <w:bottom w:val="single" w:color="auto" w:sz="4" w:space="0"/>
              <w:right w:val="single" w:color="auto" w:sz="4" w:space="0"/>
            </w:tcBorders>
          </w:tcPr>
          <w:p>
            <w:pPr>
              <w:pStyle w:val="11"/>
              <w:ind w:firstLine="420"/>
              <w:rPr>
                <w:rFonts w:ascii="Times New Roman" w:hAnsi="Times New Roman" w:eastAsia="仿宋_GB2312" w:cs="Times New Roman"/>
                <w:sz w:val="21"/>
                <w:szCs w:val="21"/>
                <w:highlight w:val="none"/>
              </w:rPr>
            </w:pPr>
            <w:r>
              <w:rPr>
                <w:rFonts w:hint="eastAsia" w:ascii="仿宋_GB2312" w:hAnsi="Times New Roman" w:eastAsia="仿宋_GB2312" w:cs="Times New Roman"/>
                <w:b/>
                <w:bCs/>
                <w:sz w:val="21"/>
                <w:szCs w:val="21"/>
                <w:highlight w:val="none"/>
              </w:rPr>
              <w:t>《排污许可管理条例》第十七条</w:t>
            </w:r>
            <w:r>
              <w:rPr>
                <w:rFonts w:ascii="Times New Roman" w:hAnsi="Times New Roman" w:eastAsia="仿宋_GB2312" w:cs="Times New Roman"/>
                <w:sz w:val="21"/>
                <w:szCs w:val="21"/>
                <w:highlight w:val="none"/>
              </w:rPr>
              <w:t xml:space="preserve"> </w:t>
            </w:r>
            <w:r>
              <w:rPr>
                <w:rFonts w:hint="eastAsia" w:ascii="仿宋_GB2312" w:hAnsi="Times New Roman" w:eastAsia="仿宋_GB2312" w:cs="Times New Roman"/>
                <w:sz w:val="21"/>
                <w:szCs w:val="21"/>
                <w:highlight w:val="none"/>
              </w:rPr>
              <w:t>排污许可证是对排污单位进行生态环境监管的主要依据。</w:t>
            </w:r>
          </w:p>
          <w:p>
            <w:pPr>
              <w:pStyle w:val="11"/>
              <w:ind w:firstLine="420"/>
              <w:rPr>
                <w:rFonts w:ascii="Times New Roman" w:hAnsi="Times New Roman" w:eastAsia="仿宋_GB2312" w:cs="Times New Roman"/>
                <w:sz w:val="21"/>
                <w:szCs w:val="21"/>
                <w:highlight w:val="none"/>
              </w:rPr>
            </w:pPr>
            <w:r>
              <w:rPr>
                <w:rFonts w:hint="eastAsia" w:ascii="仿宋_GB2312" w:hAnsi="Times New Roman" w:eastAsia="仿宋_GB2312" w:cs="Times New Roman"/>
                <w:sz w:val="21"/>
                <w:szCs w:val="21"/>
                <w:highlight w:val="none"/>
              </w:rPr>
              <w:t>排污单位应当遵守排污许可证规定，按照生态环境管理要求运行和维护污染防治设施，建立环境管理制度，严格控制污染物排放。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Borders>
              <w:top w:val="single" w:color="auto" w:sz="4" w:space="0"/>
              <w:left w:val="single" w:color="auto" w:sz="4" w:space="0"/>
              <w:bottom w:val="single" w:color="auto" w:sz="4" w:space="0"/>
              <w:right w:val="single" w:color="auto" w:sz="4" w:space="0"/>
            </w:tcBorders>
          </w:tcPr>
          <w:p>
            <w:pPr>
              <w:pStyle w:val="11"/>
              <w:ind w:firstLine="420"/>
              <w:rPr>
                <w:rFonts w:ascii="Times New Roman" w:hAnsi="Times New Roman" w:eastAsia="仿宋_GB2312" w:cs="Times New Roman"/>
                <w:sz w:val="21"/>
                <w:szCs w:val="21"/>
                <w:highlight w:val="none"/>
              </w:rPr>
            </w:pPr>
            <w:r>
              <w:rPr>
                <w:rFonts w:hint="eastAsia" w:ascii="仿宋_GB2312" w:hAnsi="Times New Roman" w:eastAsia="仿宋_GB2312" w:cs="Times New Roman"/>
                <w:b/>
                <w:bCs/>
                <w:sz w:val="21"/>
                <w:szCs w:val="21"/>
                <w:highlight w:val="none"/>
              </w:rPr>
              <w:t>《排污许可管理条例》第三十五条</w:t>
            </w:r>
            <w:r>
              <w:rPr>
                <w:rFonts w:hint="eastAsia" w:ascii="仿宋" w:hAnsi="仿宋" w:eastAsia="仿宋" w:cs="Times New Roman"/>
                <w:sz w:val="36"/>
                <w:szCs w:val="36"/>
                <w:highlight w:val="none"/>
              </w:rPr>
              <w:t xml:space="preserve"> </w:t>
            </w:r>
            <w:r>
              <w:rPr>
                <w:rFonts w:hint="eastAsia" w:ascii="仿宋_GB2312" w:hAnsi="Times New Roman" w:eastAsia="仿宋_GB2312" w:cs="Times New Roman"/>
                <w:sz w:val="21"/>
                <w:szCs w:val="21"/>
                <w:highlight w:val="none"/>
              </w:rPr>
              <w:t>违反本条例规定，排污单位有下列行为之一的，由生态环境主管部门责令改正，处</w:t>
            </w:r>
            <w:r>
              <w:rPr>
                <w:rFonts w:hint="eastAsia" w:ascii="Times New Roman" w:hAnsi="Times New Roman" w:eastAsia="仿宋_GB2312" w:cs="Times New Roman"/>
                <w:sz w:val="21"/>
                <w:szCs w:val="21"/>
                <w:highlight w:val="none"/>
              </w:rPr>
              <w:t>5</w:t>
            </w:r>
            <w:r>
              <w:rPr>
                <w:rFonts w:hint="eastAsia" w:ascii="仿宋_GB2312" w:hAnsi="Times New Roman" w:eastAsia="仿宋_GB2312" w:cs="Times New Roman"/>
                <w:sz w:val="21"/>
                <w:szCs w:val="21"/>
                <w:highlight w:val="none"/>
              </w:rPr>
              <w:t>万元以上</w:t>
            </w:r>
            <w:r>
              <w:rPr>
                <w:rFonts w:hint="eastAsia" w:ascii="Times New Roman" w:hAnsi="Times New Roman" w:eastAsia="仿宋_GB2312" w:cs="Times New Roman"/>
                <w:sz w:val="21"/>
                <w:szCs w:val="21"/>
                <w:highlight w:val="none"/>
              </w:rPr>
              <w:t>20</w:t>
            </w:r>
            <w:r>
              <w:rPr>
                <w:rFonts w:hint="eastAsia" w:ascii="仿宋_GB2312" w:hAnsi="Times New Roman" w:eastAsia="仿宋_GB2312" w:cs="Times New Roman"/>
                <w:sz w:val="21"/>
                <w:szCs w:val="21"/>
                <w:highlight w:val="none"/>
              </w:rPr>
              <w:t>万元以下的罚款；情节严重的，处</w:t>
            </w:r>
            <w:r>
              <w:rPr>
                <w:rFonts w:hint="eastAsia" w:ascii="Times New Roman" w:hAnsi="Times New Roman" w:eastAsia="仿宋_GB2312" w:cs="Times New Roman"/>
                <w:sz w:val="21"/>
                <w:szCs w:val="21"/>
                <w:highlight w:val="none"/>
              </w:rPr>
              <w:t>20</w:t>
            </w:r>
            <w:r>
              <w:rPr>
                <w:rFonts w:hint="eastAsia" w:ascii="仿宋_GB2312" w:hAnsi="Times New Roman" w:eastAsia="仿宋_GB2312" w:cs="Times New Roman"/>
                <w:sz w:val="21"/>
                <w:szCs w:val="21"/>
                <w:highlight w:val="none"/>
              </w:rPr>
              <w:t>万元以上</w:t>
            </w:r>
            <w:r>
              <w:rPr>
                <w:rFonts w:hint="eastAsia" w:ascii="Times New Roman" w:hAnsi="Times New Roman" w:eastAsia="仿宋_GB2312" w:cs="Times New Roman"/>
                <w:sz w:val="21"/>
                <w:szCs w:val="21"/>
                <w:highlight w:val="none"/>
              </w:rPr>
              <w:t>100</w:t>
            </w:r>
            <w:r>
              <w:rPr>
                <w:rFonts w:hint="eastAsia" w:ascii="仿宋_GB2312" w:hAnsi="Times New Roman" w:eastAsia="仿宋_GB2312" w:cs="Times New Roman"/>
                <w:sz w:val="21"/>
                <w:szCs w:val="21"/>
                <w:highlight w:val="none"/>
              </w:rPr>
              <w:t>万元以下的罚款，责令限制生产、停产整治：</w:t>
            </w:r>
          </w:p>
          <w:p>
            <w:pPr>
              <w:ind w:firstLine="420" w:firstLineChars="200"/>
              <w:rPr>
                <w:rFonts w:cs="Times New Roman"/>
                <w:highlight w:val="none"/>
              </w:rPr>
            </w:pPr>
            <w:r>
              <w:rPr>
                <w:rFonts w:hint="eastAsia" w:ascii="仿宋_GB2312" w:hAnsi="Times New Roman" w:eastAsia="仿宋_GB2312" w:cs="Times New Roman"/>
                <w:highlight w:val="none"/>
              </w:rPr>
              <w:t>（二）特殊时段未按照排污许可证规定停止或者限制排放污染物。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604"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298"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Times New Roman"/>
                <w:b/>
                <w:bCs/>
                <w:highlight w:val="none"/>
              </w:rPr>
              <w:t>违法事实</w:t>
            </w:r>
            <w:r>
              <w:rPr>
                <w:rFonts w:hint="eastAsia" w:ascii="Times New Roman" w:hAnsi="Times New Roman" w:cs="宋体"/>
                <w:b/>
                <w:bCs/>
                <w:color w:val="000000"/>
                <w:highlight w:val="none"/>
              </w:rPr>
              <w:t>★</w:t>
            </w:r>
          </w:p>
        </w:tc>
        <w:tc>
          <w:tcPr>
            <w:tcW w:w="5604"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停止</w:t>
            </w:r>
            <w:r>
              <w:rPr>
                <w:rFonts w:ascii="Times New Roman" w:hAnsi="Times New Roman" w:eastAsia="仿宋_GB2312" w:cs="Times New Roman"/>
                <w:highlight w:val="none"/>
              </w:rPr>
              <w:t>部分污染物排放</w:t>
            </w:r>
          </w:p>
        </w:tc>
        <w:tc>
          <w:tcPr>
            <w:tcW w:w="2298"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604"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限制</w:t>
            </w:r>
            <w:r>
              <w:rPr>
                <w:rFonts w:ascii="Times New Roman" w:hAnsi="Times New Roman" w:eastAsia="仿宋_GB2312" w:cs="Times New Roman"/>
                <w:highlight w:val="none"/>
              </w:rPr>
              <w:t>部分污染物排放</w:t>
            </w:r>
          </w:p>
        </w:tc>
        <w:tc>
          <w:tcPr>
            <w:tcW w:w="2298"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604"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未停止或者限制排放污染物</w:t>
            </w:r>
          </w:p>
        </w:tc>
        <w:tc>
          <w:tcPr>
            <w:tcW w:w="2298"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Times New Roman"/>
                <w:b/>
                <w:bCs/>
                <w:color w:val="000000"/>
                <w:highlight w:val="none"/>
              </w:rPr>
              <w:t>排污单位</w:t>
            </w:r>
          </w:p>
          <w:p>
            <w:pPr>
              <w:snapToGrid w:val="0"/>
              <w:jc w:val="center"/>
              <w:rPr>
                <w:rFonts w:ascii="Times New Roman" w:hAnsi="Times New Roman" w:cs="Times New Roman"/>
                <w:b/>
                <w:bCs/>
                <w:color w:val="000000"/>
                <w:highlight w:val="none"/>
              </w:rPr>
            </w:pPr>
            <w:r>
              <w:rPr>
                <w:rFonts w:ascii="Times New Roman" w:hAnsi="Times New Roman" w:cs="Times New Roman"/>
                <w:b/>
                <w:bCs/>
                <w:color w:val="000000"/>
                <w:highlight w:val="none"/>
              </w:rPr>
              <w:t>管理类别</w:t>
            </w:r>
          </w:p>
        </w:tc>
        <w:tc>
          <w:tcPr>
            <w:tcW w:w="5604" w:type="dxa"/>
            <w:vAlign w:val="center"/>
          </w:tcPr>
          <w:p>
            <w:pPr>
              <w:pStyle w:val="11"/>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sz w:val="21"/>
                <w:szCs w:val="21"/>
                <w:highlight w:val="none"/>
              </w:rPr>
              <w:t>简化</w:t>
            </w:r>
            <w:r>
              <w:rPr>
                <w:rFonts w:ascii="Times New Roman" w:hAnsi="Times New Roman" w:eastAsia="仿宋_GB2312" w:cs="Times New Roman"/>
                <w:color w:val="000000"/>
                <w:sz w:val="21"/>
                <w:szCs w:val="21"/>
                <w:highlight w:val="none"/>
              </w:rPr>
              <w:t>管理</w:t>
            </w:r>
          </w:p>
        </w:tc>
        <w:tc>
          <w:tcPr>
            <w:tcW w:w="2298"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604" w:type="dxa"/>
            <w:vAlign w:val="center"/>
          </w:tcPr>
          <w:p>
            <w:pPr>
              <w:pStyle w:val="12"/>
              <w:snapToGrid w:val="0"/>
              <w:spacing w:before="0" w:beforeAutospacing="0" w:after="0" w:afterAutospacing="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sz w:val="21"/>
                <w:szCs w:val="21"/>
                <w:highlight w:val="none"/>
              </w:rPr>
              <w:t>重点</w:t>
            </w:r>
            <w:r>
              <w:rPr>
                <w:rFonts w:ascii="Times New Roman" w:hAnsi="Times New Roman" w:eastAsia="仿宋_GB2312" w:cs="Times New Roman"/>
                <w:color w:val="000000"/>
                <w:sz w:val="21"/>
                <w:szCs w:val="21"/>
                <w:highlight w:val="none"/>
              </w:rPr>
              <w:t>管理</w:t>
            </w:r>
          </w:p>
        </w:tc>
        <w:tc>
          <w:tcPr>
            <w:tcW w:w="2298"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604"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Times New Roman"/>
                <w:color w:val="000000"/>
                <w:sz w:val="21"/>
                <w:szCs w:val="21"/>
                <w:highlight w:val="none"/>
              </w:rPr>
              <w:t>重点管理（化工、电镀、皮革、造纸、制浆、冶炼、放射性、印染、染料、炼焦、炼油项目）</w:t>
            </w:r>
          </w:p>
        </w:tc>
        <w:tc>
          <w:tcPr>
            <w:tcW w:w="2298"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宋体"/>
                <w:b/>
                <w:bCs/>
                <w:highlight w:val="none"/>
              </w:rPr>
            </w:pPr>
            <w:r>
              <w:rPr>
                <w:rFonts w:hint="eastAsia" w:ascii="Times New Roman" w:hAnsi="Times New Roman" w:cs="Times New Roman"/>
                <w:b/>
                <w:bCs/>
                <w:highlight w:val="none"/>
              </w:rPr>
              <w:t>污染物</w:t>
            </w:r>
            <w:r>
              <w:rPr>
                <w:rFonts w:ascii="Times New Roman" w:hAnsi="Times New Roman" w:cs="Times New Roman"/>
                <w:b/>
                <w:bCs/>
                <w:highlight w:val="none"/>
              </w:rPr>
              <w:t>类别</w:t>
            </w:r>
          </w:p>
        </w:tc>
        <w:tc>
          <w:tcPr>
            <w:tcW w:w="5604"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Times New Roman"/>
                <w:highlight w:val="none"/>
              </w:rPr>
              <w:t>排放生活、服务、农业等废气、废水或其他污染物</w:t>
            </w:r>
          </w:p>
        </w:tc>
        <w:tc>
          <w:tcPr>
            <w:tcW w:w="2298"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宋体"/>
                <w:b/>
                <w:bCs/>
                <w:highlight w:val="none"/>
              </w:rPr>
            </w:pPr>
          </w:p>
        </w:tc>
        <w:tc>
          <w:tcPr>
            <w:tcW w:w="5604"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Times New Roman"/>
                <w:highlight w:val="none"/>
              </w:rPr>
              <w:t>排放一般工业废气、废水或其他污染物</w:t>
            </w:r>
          </w:p>
        </w:tc>
        <w:tc>
          <w:tcPr>
            <w:tcW w:w="2298"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宋体"/>
                <w:b/>
                <w:bCs/>
                <w:highlight w:val="none"/>
              </w:rPr>
            </w:pPr>
          </w:p>
        </w:tc>
        <w:tc>
          <w:tcPr>
            <w:tcW w:w="5604"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Times New Roman"/>
                <w:highlight w:val="none"/>
              </w:rPr>
              <w:t>排放含有毒有害物质的废气或废水、医疗废水、含一类污染物或重金属、病原体、放射性物质的废水或其他污染物</w:t>
            </w:r>
          </w:p>
        </w:tc>
        <w:tc>
          <w:tcPr>
            <w:tcW w:w="2298"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排放区域</w:t>
            </w:r>
          </w:p>
        </w:tc>
        <w:tc>
          <w:tcPr>
            <w:tcW w:w="5604"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一般控制区</w:t>
            </w:r>
          </w:p>
        </w:tc>
        <w:tc>
          <w:tcPr>
            <w:tcW w:w="2298"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604"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重点</w:t>
            </w:r>
            <w:r>
              <w:rPr>
                <w:rFonts w:ascii="Times New Roman" w:hAnsi="Times New Roman" w:eastAsia="仿宋_GB2312" w:cs="Times New Roman"/>
                <w:highlight w:val="none"/>
              </w:rPr>
              <w:t>控制区</w:t>
            </w:r>
          </w:p>
        </w:tc>
        <w:tc>
          <w:tcPr>
            <w:tcW w:w="2298"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604"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核心</w:t>
            </w:r>
            <w:r>
              <w:rPr>
                <w:rFonts w:ascii="Times New Roman" w:hAnsi="Times New Roman" w:eastAsia="仿宋_GB2312" w:cs="Times New Roman"/>
                <w:highlight w:val="none"/>
              </w:rPr>
              <w:t>控制区</w:t>
            </w:r>
          </w:p>
        </w:tc>
        <w:tc>
          <w:tcPr>
            <w:tcW w:w="2298"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vAlign w:val="center"/>
          </w:tcPr>
          <w:p>
            <w:pPr>
              <w:snapToGrid w:val="0"/>
              <w:ind w:firstLine="420"/>
              <w:jc w:val="center"/>
              <w:rPr>
                <w:rFonts w:ascii="Times New Roman" w:hAnsi="Times New Roman" w:cs="Times New Roman"/>
                <w:highlight w:val="none"/>
              </w:rPr>
            </w:pPr>
          </w:p>
        </w:tc>
      </w:tr>
    </w:tbl>
    <w:p>
      <w:pPr>
        <w:rPr>
          <w:rFonts w:ascii="Times New Roman" w:hAnsi="Times New Roman" w:eastAsia="仿宋_GB2312" w:cs="Times New Roman"/>
          <w:sz w:val="10"/>
          <w:szCs w:val="10"/>
          <w:highlight w:val="none"/>
        </w:rPr>
      </w:pPr>
      <w:r>
        <w:rPr>
          <w:rFonts w:ascii="Times New Roman" w:hAnsi="Times New Roman" w:eastAsia="仿宋_GB2312" w:cs="Times New Roman"/>
          <w:sz w:val="10"/>
          <w:szCs w:val="10"/>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604"/>
        <w:gridCol w:w="2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（八）其他类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0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02" w:type="dxa"/>
            <w:gridSpan w:val="2"/>
            <w:tcBorders>
              <w:top w:val="single" w:color="auto" w:sz="4" w:space="0"/>
              <w:left w:val="single" w:color="auto" w:sz="4" w:space="0"/>
              <w:bottom w:val="single" w:color="auto" w:sz="4" w:space="0"/>
              <w:right w:val="single" w:color="auto" w:sz="4" w:space="0"/>
            </w:tcBorders>
            <w:vAlign w:val="center"/>
          </w:tcPr>
          <w:p>
            <w:pPr>
              <w:pStyle w:val="36"/>
              <w:ind w:firstLine="480"/>
              <w:rPr>
                <w:color w:val="000000"/>
                <w:highlight w:val="none"/>
              </w:rPr>
            </w:pPr>
            <w:r>
              <w:rPr>
                <w:rFonts w:hint="eastAsia" w:ascii="仿宋_GB2312" w:eastAsia="仿宋_GB2312"/>
                <w:color w:val="000000"/>
                <w:highlight w:val="none"/>
              </w:rPr>
              <w:t>污染物排放口位置或者数量不符合排污许可证规定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Borders>
              <w:top w:val="single" w:color="auto" w:sz="4" w:space="0"/>
              <w:left w:val="single" w:color="auto" w:sz="4" w:space="0"/>
              <w:bottom w:val="single" w:color="auto" w:sz="4" w:space="0"/>
              <w:right w:val="single" w:color="auto" w:sz="4" w:space="0"/>
            </w:tcBorders>
          </w:tcPr>
          <w:p>
            <w:pPr>
              <w:pStyle w:val="11"/>
              <w:ind w:firstLine="420"/>
              <w:rPr>
                <w:rFonts w:ascii="Times New Roman" w:hAnsi="Times New Roman" w:eastAsia="仿宋_GB2312" w:cs="Times New Roman"/>
                <w:sz w:val="21"/>
                <w:szCs w:val="21"/>
                <w:highlight w:val="none"/>
              </w:rPr>
            </w:pPr>
            <w:r>
              <w:rPr>
                <w:rFonts w:hint="eastAsia" w:ascii="仿宋_GB2312" w:hAnsi="Times New Roman" w:eastAsia="仿宋_GB2312" w:cs="Times New Roman"/>
                <w:b/>
                <w:bCs/>
                <w:sz w:val="21"/>
                <w:szCs w:val="21"/>
                <w:highlight w:val="none"/>
              </w:rPr>
              <w:t>《排污许可管理条例》第十八条第一款、第二款</w:t>
            </w:r>
            <w:r>
              <w:rPr>
                <w:rFonts w:hint="eastAsia" w:ascii="仿宋" w:hAnsi="仿宋" w:eastAsia="仿宋" w:cs="Times New Roman"/>
                <w:sz w:val="36"/>
                <w:szCs w:val="36"/>
                <w:highlight w:val="none"/>
              </w:rPr>
              <w:t xml:space="preserve"> </w:t>
            </w:r>
            <w:r>
              <w:rPr>
                <w:rFonts w:hint="eastAsia" w:ascii="仿宋_GB2312" w:hAnsi="Times New Roman" w:eastAsia="仿宋_GB2312" w:cs="Times New Roman"/>
                <w:sz w:val="21"/>
                <w:szCs w:val="21"/>
                <w:highlight w:val="none"/>
              </w:rPr>
              <w:t>排污单位应当按照生态环境主管部门的规定建设规范化污染物排放口，并设置标志牌。</w:t>
            </w:r>
          </w:p>
          <w:p>
            <w:pPr>
              <w:pStyle w:val="11"/>
              <w:ind w:firstLine="420"/>
              <w:rPr>
                <w:rFonts w:ascii="Times New Roman" w:hAnsi="Times New Roman" w:eastAsia="仿宋_GB2312" w:cs="Times New Roman"/>
                <w:sz w:val="21"/>
                <w:szCs w:val="21"/>
                <w:highlight w:val="none"/>
              </w:rPr>
            </w:pPr>
            <w:r>
              <w:rPr>
                <w:rFonts w:hint="eastAsia" w:ascii="仿宋_GB2312" w:hAnsi="Times New Roman" w:eastAsia="仿宋_GB2312" w:cs="Times New Roman"/>
                <w:sz w:val="21"/>
                <w:szCs w:val="21"/>
                <w:highlight w:val="none"/>
              </w:rPr>
              <w:t>污染物排放口位置和数量、污染物排放方式和排放去向应当与排污许可证规定相符。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Borders>
              <w:top w:val="single" w:color="auto" w:sz="4" w:space="0"/>
              <w:left w:val="single" w:color="auto" w:sz="4" w:space="0"/>
              <w:bottom w:val="single" w:color="auto" w:sz="4" w:space="0"/>
              <w:right w:val="single" w:color="auto" w:sz="4" w:space="0"/>
            </w:tcBorders>
          </w:tcPr>
          <w:p>
            <w:pPr>
              <w:pStyle w:val="11"/>
              <w:ind w:firstLine="420"/>
              <w:rPr>
                <w:rFonts w:ascii="Times New Roman" w:hAnsi="Times New Roman" w:eastAsia="仿宋_GB2312" w:cs="Times New Roman"/>
                <w:sz w:val="21"/>
                <w:szCs w:val="21"/>
                <w:highlight w:val="none"/>
              </w:rPr>
            </w:pPr>
            <w:r>
              <w:rPr>
                <w:rFonts w:hint="eastAsia" w:ascii="仿宋_GB2312" w:hAnsi="Times New Roman" w:eastAsia="仿宋_GB2312" w:cs="Times New Roman"/>
                <w:b/>
                <w:bCs/>
                <w:sz w:val="21"/>
                <w:szCs w:val="21"/>
                <w:highlight w:val="none"/>
              </w:rPr>
              <w:t>《排污许可管理条例》第三十六条第（一）项</w:t>
            </w:r>
            <w:r>
              <w:rPr>
                <w:rFonts w:hint="eastAsia" w:ascii="仿宋" w:hAnsi="仿宋" w:eastAsia="仿宋" w:cs="Times New Roman"/>
                <w:sz w:val="36"/>
                <w:szCs w:val="36"/>
                <w:highlight w:val="none"/>
              </w:rPr>
              <w:t xml:space="preserve"> </w:t>
            </w:r>
            <w:r>
              <w:rPr>
                <w:rFonts w:hint="eastAsia" w:ascii="仿宋_GB2312" w:hAnsi="Times New Roman" w:eastAsia="仿宋_GB2312" w:cs="Times New Roman"/>
                <w:sz w:val="21"/>
                <w:szCs w:val="21"/>
                <w:highlight w:val="none"/>
              </w:rPr>
              <w:t>违反本条例规定，排污单位有下列行为之一的，由生态环境主管部门责令改正，处</w:t>
            </w:r>
            <w:r>
              <w:rPr>
                <w:rFonts w:hint="eastAsia" w:ascii="Times New Roman" w:hAnsi="Times New Roman" w:eastAsia="仿宋_GB2312" w:cs="Times New Roman"/>
                <w:sz w:val="21"/>
                <w:szCs w:val="21"/>
                <w:highlight w:val="none"/>
              </w:rPr>
              <w:t>2</w:t>
            </w:r>
            <w:r>
              <w:rPr>
                <w:rFonts w:hint="eastAsia" w:ascii="仿宋_GB2312" w:hAnsi="Times New Roman" w:eastAsia="仿宋_GB2312" w:cs="Times New Roman"/>
                <w:sz w:val="21"/>
                <w:szCs w:val="21"/>
                <w:highlight w:val="none"/>
              </w:rPr>
              <w:t>万元以上</w:t>
            </w:r>
            <w:r>
              <w:rPr>
                <w:rFonts w:hint="eastAsia" w:ascii="Times New Roman" w:hAnsi="Times New Roman" w:eastAsia="仿宋_GB2312" w:cs="Times New Roman"/>
                <w:sz w:val="21"/>
                <w:szCs w:val="21"/>
                <w:highlight w:val="none"/>
              </w:rPr>
              <w:t>20</w:t>
            </w:r>
            <w:r>
              <w:rPr>
                <w:rFonts w:hint="eastAsia" w:ascii="仿宋_GB2312" w:hAnsi="Times New Roman" w:eastAsia="仿宋_GB2312" w:cs="Times New Roman"/>
                <w:sz w:val="21"/>
                <w:szCs w:val="21"/>
                <w:highlight w:val="none"/>
              </w:rPr>
              <w:t>万元以下的罚款；拒不改正的，责令停产整治：</w:t>
            </w:r>
          </w:p>
          <w:p>
            <w:pPr>
              <w:ind w:firstLine="420" w:firstLineChars="200"/>
              <w:rPr>
                <w:rFonts w:cs="Times New Roman"/>
                <w:highlight w:val="none"/>
              </w:rPr>
            </w:pPr>
            <w:r>
              <w:rPr>
                <w:rFonts w:hint="eastAsia" w:ascii="仿宋_GB2312" w:hAnsi="Times New Roman" w:eastAsia="仿宋_GB2312" w:cs="Times New Roman"/>
                <w:highlight w:val="none"/>
              </w:rPr>
              <w:t>（一）污染物排放口位置或者数量不符合排污许可证规定；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604"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298"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604" w:type="dxa"/>
            <w:vAlign w:val="center"/>
          </w:tcPr>
          <w:p>
            <w:pPr>
              <w:pStyle w:val="11"/>
              <w:snapToGrid w:val="0"/>
              <w:ind w:firstLine="420" w:firstLineChars="200"/>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建设项目调试生产期间，未按规定设置污染物排放口的</w:t>
            </w:r>
          </w:p>
        </w:tc>
        <w:tc>
          <w:tcPr>
            <w:tcW w:w="2298" w:type="dxa"/>
            <w:vAlign w:val="center"/>
          </w:tcPr>
          <w:p>
            <w:pPr>
              <w:snapToGrid w:val="0"/>
              <w:jc w:val="center"/>
              <w:rPr>
                <w:rFonts w:ascii="Times New Roman" w:hAnsi="Times New Roman" w:cs="Times New Roman"/>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604" w:type="dxa"/>
            <w:vAlign w:val="center"/>
          </w:tcPr>
          <w:p>
            <w:pPr>
              <w:pStyle w:val="12"/>
              <w:snapToGrid w:val="0"/>
              <w:spacing w:before="0" w:beforeAutospacing="0" w:after="0" w:afterAutospacing="0"/>
              <w:ind w:firstLine="420" w:firstLineChars="200"/>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已投入生产，未按规定设置污染物排放口的</w:t>
            </w:r>
          </w:p>
        </w:tc>
        <w:tc>
          <w:tcPr>
            <w:tcW w:w="2298"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604" w:type="dxa"/>
            <w:vAlign w:val="center"/>
          </w:tcPr>
          <w:p>
            <w:pPr>
              <w:pStyle w:val="12"/>
              <w:snapToGrid w:val="0"/>
              <w:spacing w:before="0" w:beforeAutospacing="0" w:after="0" w:afterAutospacing="0"/>
              <w:ind w:firstLine="420" w:firstLineChars="200"/>
              <w:rPr>
                <w:rFonts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污染物排放口数量不符合排污许可证规定</w:t>
            </w:r>
          </w:p>
        </w:tc>
        <w:tc>
          <w:tcPr>
            <w:tcW w:w="2298"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Times New Roman"/>
                <w:b/>
                <w:bCs/>
                <w:color w:val="000000"/>
                <w:highlight w:val="none"/>
              </w:rPr>
              <w:t>排放口</w:t>
            </w:r>
          </w:p>
          <w:p>
            <w:pPr>
              <w:snapToGrid w:val="0"/>
              <w:jc w:val="center"/>
              <w:rPr>
                <w:rFonts w:ascii="Times New Roman" w:hAnsi="Times New Roman" w:cs="Times New Roman"/>
                <w:b/>
                <w:bCs/>
                <w:color w:val="000000"/>
                <w:highlight w:val="none"/>
              </w:rPr>
            </w:pPr>
            <w:r>
              <w:rPr>
                <w:rFonts w:ascii="Times New Roman" w:hAnsi="Times New Roman" w:cs="Times New Roman"/>
                <w:b/>
                <w:bCs/>
                <w:color w:val="000000"/>
                <w:highlight w:val="none"/>
              </w:rPr>
              <w:t>数量偏差</w:t>
            </w:r>
          </w:p>
        </w:tc>
        <w:tc>
          <w:tcPr>
            <w:tcW w:w="5604"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Times New Roman"/>
                <w:color w:val="000000"/>
                <w:sz w:val="21"/>
                <w:szCs w:val="21"/>
                <w:highlight w:val="none"/>
              </w:rPr>
              <w:t>1个</w:t>
            </w:r>
          </w:p>
        </w:tc>
        <w:tc>
          <w:tcPr>
            <w:tcW w:w="2298"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604"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Times New Roman"/>
                <w:color w:val="000000"/>
                <w:sz w:val="21"/>
                <w:szCs w:val="21"/>
                <w:highlight w:val="none"/>
              </w:rPr>
              <w:t>2个</w:t>
            </w:r>
          </w:p>
        </w:tc>
        <w:tc>
          <w:tcPr>
            <w:tcW w:w="2298"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604"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Times New Roman"/>
                <w:color w:val="000000"/>
                <w:sz w:val="21"/>
                <w:szCs w:val="21"/>
                <w:highlight w:val="none"/>
              </w:rPr>
              <w:t>3个及以上</w:t>
            </w:r>
          </w:p>
        </w:tc>
        <w:tc>
          <w:tcPr>
            <w:tcW w:w="2298"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Times New Roman"/>
                <w:b/>
                <w:bCs/>
                <w:color w:val="000000"/>
                <w:highlight w:val="none"/>
              </w:rPr>
              <w:t>涉及位置</w:t>
            </w:r>
          </w:p>
          <w:p>
            <w:pPr>
              <w:snapToGrid w:val="0"/>
              <w:jc w:val="center"/>
              <w:rPr>
                <w:rFonts w:ascii="Times New Roman" w:hAnsi="Times New Roman" w:cs="Times New Roman"/>
                <w:b/>
                <w:bCs/>
                <w:color w:val="000000"/>
                <w:highlight w:val="none"/>
              </w:rPr>
            </w:pPr>
            <w:r>
              <w:rPr>
                <w:rFonts w:hint="eastAsia" w:ascii="Times New Roman" w:hAnsi="Times New Roman" w:cs="Times New Roman"/>
                <w:b/>
                <w:bCs/>
                <w:color w:val="000000"/>
                <w:highlight w:val="none"/>
              </w:rPr>
              <w:t>偏差排放口</w:t>
            </w:r>
            <w:r>
              <w:rPr>
                <w:rFonts w:ascii="Times New Roman" w:hAnsi="Times New Roman" w:cs="Times New Roman"/>
                <w:b/>
                <w:bCs/>
                <w:color w:val="000000"/>
                <w:highlight w:val="none"/>
              </w:rPr>
              <w:t>数量</w:t>
            </w:r>
          </w:p>
        </w:tc>
        <w:tc>
          <w:tcPr>
            <w:tcW w:w="5604"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Times New Roman"/>
                <w:color w:val="000000"/>
                <w:sz w:val="21"/>
                <w:szCs w:val="21"/>
                <w:highlight w:val="none"/>
              </w:rPr>
              <w:t>1个</w:t>
            </w:r>
          </w:p>
        </w:tc>
        <w:tc>
          <w:tcPr>
            <w:tcW w:w="2298"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604"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Times New Roman"/>
                <w:color w:val="000000"/>
                <w:sz w:val="21"/>
                <w:szCs w:val="21"/>
                <w:highlight w:val="none"/>
              </w:rPr>
              <w:t>2个</w:t>
            </w:r>
          </w:p>
        </w:tc>
        <w:tc>
          <w:tcPr>
            <w:tcW w:w="2298"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604"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Times New Roman"/>
                <w:color w:val="000000"/>
                <w:sz w:val="21"/>
                <w:szCs w:val="21"/>
                <w:highlight w:val="none"/>
              </w:rPr>
              <w:t>3个及以上</w:t>
            </w:r>
          </w:p>
        </w:tc>
        <w:tc>
          <w:tcPr>
            <w:tcW w:w="2298"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Times New Roman"/>
                <w:b/>
                <w:bCs/>
                <w:color w:val="000000"/>
                <w:highlight w:val="none"/>
              </w:rPr>
              <w:t>排污单位</w:t>
            </w:r>
          </w:p>
          <w:p>
            <w:pPr>
              <w:snapToGrid w:val="0"/>
              <w:jc w:val="center"/>
              <w:rPr>
                <w:rFonts w:ascii="Times New Roman" w:hAnsi="Times New Roman" w:cs="Times New Roman"/>
                <w:b/>
                <w:bCs/>
                <w:color w:val="000000"/>
                <w:highlight w:val="none"/>
              </w:rPr>
            </w:pPr>
            <w:r>
              <w:rPr>
                <w:rFonts w:ascii="Times New Roman" w:hAnsi="Times New Roman" w:cs="Times New Roman"/>
                <w:b/>
                <w:bCs/>
                <w:color w:val="000000"/>
                <w:highlight w:val="none"/>
              </w:rPr>
              <w:t>管理类别</w:t>
            </w:r>
          </w:p>
        </w:tc>
        <w:tc>
          <w:tcPr>
            <w:tcW w:w="5604" w:type="dxa"/>
            <w:vAlign w:val="center"/>
          </w:tcPr>
          <w:p>
            <w:pPr>
              <w:pStyle w:val="11"/>
              <w:snapToGrid w:val="0"/>
              <w:jc w:val="center"/>
              <w:rPr>
                <w:rFonts w:ascii="Times New Roman" w:hAnsi="Times New Roman" w:eastAsia="仿宋_GB2312" w:cs="仿宋_GB2312"/>
                <w:color w:val="000000"/>
                <w:sz w:val="21"/>
                <w:szCs w:val="21"/>
                <w:highlight w:val="none"/>
              </w:rPr>
            </w:pPr>
            <w:r>
              <w:rPr>
                <w:rFonts w:hint="eastAsia" w:ascii="Times New Roman" w:hAnsi="Times New Roman" w:eastAsia="仿宋_GB2312" w:cs="Times New Roman"/>
                <w:color w:val="000000"/>
                <w:sz w:val="21"/>
                <w:szCs w:val="21"/>
                <w:highlight w:val="none"/>
              </w:rPr>
              <w:t>简化</w:t>
            </w:r>
            <w:r>
              <w:rPr>
                <w:rFonts w:ascii="Times New Roman" w:hAnsi="Times New Roman" w:eastAsia="仿宋_GB2312" w:cs="Times New Roman"/>
                <w:color w:val="000000"/>
                <w:sz w:val="21"/>
                <w:szCs w:val="21"/>
                <w:highlight w:val="none"/>
              </w:rPr>
              <w:t>管理</w:t>
            </w:r>
          </w:p>
        </w:tc>
        <w:tc>
          <w:tcPr>
            <w:tcW w:w="2298"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604" w:type="dxa"/>
            <w:vAlign w:val="center"/>
          </w:tcPr>
          <w:p>
            <w:pPr>
              <w:pStyle w:val="11"/>
              <w:snapToGrid w:val="0"/>
              <w:jc w:val="center"/>
              <w:rPr>
                <w:rFonts w:ascii="Times New Roman" w:hAnsi="Times New Roman" w:eastAsia="仿宋_GB2312" w:cs="仿宋_GB2312"/>
                <w:color w:val="000000"/>
                <w:sz w:val="21"/>
                <w:szCs w:val="21"/>
                <w:highlight w:val="none"/>
              </w:rPr>
            </w:pPr>
            <w:r>
              <w:rPr>
                <w:rFonts w:hint="eastAsia" w:ascii="Times New Roman" w:hAnsi="Times New Roman" w:eastAsia="仿宋_GB2312" w:cs="Times New Roman"/>
                <w:color w:val="000000"/>
                <w:sz w:val="21"/>
                <w:szCs w:val="21"/>
                <w:highlight w:val="none"/>
              </w:rPr>
              <w:t>重点</w:t>
            </w:r>
            <w:r>
              <w:rPr>
                <w:rFonts w:ascii="Times New Roman" w:hAnsi="Times New Roman" w:eastAsia="仿宋_GB2312" w:cs="Times New Roman"/>
                <w:color w:val="000000"/>
                <w:sz w:val="21"/>
                <w:szCs w:val="21"/>
                <w:highlight w:val="none"/>
              </w:rPr>
              <w:t>管理</w:t>
            </w:r>
          </w:p>
        </w:tc>
        <w:tc>
          <w:tcPr>
            <w:tcW w:w="2298"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604"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Times New Roman"/>
                <w:color w:val="000000"/>
                <w:sz w:val="21"/>
                <w:szCs w:val="21"/>
                <w:highlight w:val="none"/>
              </w:rPr>
              <w:t>重点管理（化工、电镀、皮革、造纸、制浆、冶炼、放射性、印染、染料、炼焦、炼油项目）</w:t>
            </w:r>
          </w:p>
        </w:tc>
        <w:tc>
          <w:tcPr>
            <w:tcW w:w="2298"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宋体"/>
                <w:b/>
                <w:bCs/>
                <w:highlight w:val="none"/>
              </w:rPr>
            </w:pPr>
            <w:r>
              <w:rPr>
                <w:rFonts w:hint="eastAsia" w:ascii="Times New Roman" w:hAnsi="Times New Roman" w:cs="Times New Roman"/>
                <w:b/>
                <w:bCs/>
                <w:highlight w:val="none"/>
              </w:rPr>
              <w:t>污染物类别</w:t>
            </w:r>
          </w:p>
        </w:tc>
        <w:tc>
          <w:tcPr>
            <w:tcW w:w="5604" w:type="dxa"/>
            <w:vAlign w:val="center"/>
          </w:tcPr>
          <w:p>
            <w:pPr>
              <w:pStyle w:val="12"/>
              <w:snapToGrid w:val="0"/>
              <w:spacing w:before="0" w:beforeAutospacing="0" w:after="0" w:afterAutospacing="0"/>
              <w:jc w:val="center"/>
              <w:rPr>
                <w:rFonts w:ascii="Times New Roman" w:hAnsi="Times New Roman" w:eastAsia="仿宋_GB2312" w:cs="仿宋_GB2312"/>
                <w:color w:val="000000"/>
                <w:sz w:val="21"/>
                <w:szCs w:val="21"/>
                <w:highlight w:val="none"/>
              </w:rPr>
            </w:pPr>
            <w:r>
              <w:rPr>
                <w:rFonts w:hint="eastAsia" w:ascii="Times New Roman" w:hAnsi="Times New Roman" w:eastAsia="仿宋_GB2312" w:cs="Times New Roman"/>
                <w:sz w:val="21"/>
                <w:szCs w:val="21"/>
                <w:highlight w:val="none"/>
              </w:rPr>
              <w:t>排放生活、服务、农业等废气、废水或其他污染物</w:t>
            </w:r>
          </w:p>
        </w:tc>
        <w:tc>
          <w:tcPr>
            <w:tcW w:w="2298"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宋体"/>
                <w:b/>
                <w:bCs/>
                <w:highlight w:val="none"/>
              </w:rPr>
            </w:pPr>
          </w:p>
        </w:tc>
        <w:tc>
          <w:tcPr>
            <w:tcW w:w="5604" w:type="dxa"/>
            <w:vAlign w:val="center"/>
          </w:tcPr>
          <w:p>
            <w:pPr>
              <w:pStyle w:val="12"/>
              <w:snapToGrid w:val="0"/>
              <w:spacing w:before="0" w:beforeAutospacing="0" w:after="0" w:afterAutospacing="0"/>
              <w:jc w:val="center"/>
              <w:rPr>
                <w:rFonts w:ascii="Times New Roman" w:hAnsi="Times New Roman" w:eastAsia="仿宋_GB2312" w:cs="仿宋_GB2312"/>
                <w:color w:val="000000"/>
                <w:sz w:val="21"/>
                <w:szCs w:val="21"/>
                <w:highlight w:val="none"/>
              </w:rPr>
            </w:pPr>
            <w:r>
              <w:rPr>
                <w:rFonts w:hint="eastAsia" w:ascii="Times New Roman" w:hAnsi="Times New Roman" w:eastAsia="仿宋_GB2312" w:cs="Times New Roman"/>
                <w:sz w:val="21"/>
                <w:szCs w:val="21"/>
                <w:highlight w:val="none"/>
              </w:rPr>
              <w:t>排放一般工业废气、废水或其他污染物</w:t>
            </w:r>
          </w:p>
        </w:tc>
        <w:tc>
          <w:tcPr>
            <w:tcW w:w="2298"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宋体"/>
                <w:b/>
                <w:bCs/>
                <w:highlight w:val="none"/>
              </w:rPr>
            </w:pPr>
          </w:p>
        </w:tc>
        <w:tc>
          <w:tcPr>
            <w:tcW w:w="5604" w:type="dxa"/>
            <w:vAlign w:val="center"/>
          </w:tcPr>
          <w:p>
            <w:pPr>
              <w:pStyle w:val="12"/>
              <w:snapToGrid w:val="0"/>
              <w:spacing w:before="0" w:beforeAutospacing="0" w:after="0" w:afterAutospacing="0"/>
              <w:jc w:val="center"/>
              <w:rPr>
                <w:rFonts w:ascii="Times New Roman" w:hAnsi="Times New Roman" w:eastAsia="仿宋_GB2312" w:cs="仿宋_GB2312"/>
                <w:color w:val="000000"/>
                <w:sz w:val="21"/>
                <w:szCs w:val="21"/>
                <w:highlight w:val="none"/>
              </w:rPr>
            </w:pPr>
            <w:r>
              <w:rPr>
                <w:rFonts w:hint="eastAsia" w:ascii="Times New Roman" w:hAnsi="Times New Roman" w:eastAsia="仿宋_GB2312" w:cs="Times New Roman"/>
                <w:sz w:val="21"/>
                <w:szCs w:val="21"/>
                <w:highlight w:val="none"/>
              </w:rPr>
              <w:t>排放含有毒有害物质的废气或废水、医疗废水、含一类污染物或重金属、病原体、放射性物质的废水或其他污染物</w:t>
            </w:r>
          </w:p>
        </w:tc>
        <w:tc>
          <w:tcPr>
            <w:tcW w:w="2298"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排放区域</w:t>
            </w:r>
          </w:p>
        </w:tc>
        <w:tc>
          <w:tcPr>
            <w:tcW w:w="5604"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一般控制区</w:t>
            </w:r>
          </w:p>
        </w:tc>
        <w:tc>
          <w:tcPr>
            <w:tcW w:w="2298"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604"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重点</w:t>
            </w:r>
            <w:r>
              <w:rPr>
                <w:rFonts w:ascii="Times New Roman" w:hAnsi="Times New Roman" w:eastAsia="仿宋_GB2312" w:cs="Times New Roman"/>
                <w:sz w:val="21"/>
                <w:szCs w:val="21"/>
                <w:highlight w:val="none"/>
              </w:rPr>
              <w:t>控制区</w:t>
            </w:r>
          </w:p>
        </w:tc>
        <w:tc>
          <w:tcPr>
            <w:tcW w:w="2298"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604"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核心</w:t>
            </w:r>
            <w:r>
              <w:rPr>
                <w:rFonts w:ascii="Times New Roman" w:hAnsi="Times New Roman" w:eastAsia="仿宋_GB2312" w:cs="Times New Roman"/>
                <w:sz w:val="21"/>
                <w:szCs w:val="21"/>
                <w:highlight w:val="none"/>
              </w:rPr>
              <w:t>控制区</w:t>
            </w:r>
          </w:p>
        </w:tc>
        <w:tc>
          <w:tcPr>
            <w:tcW w:w="2298"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vAlign w:val="center"/>
          </w:tcPr>
          <w:p>
            <w:pPr>
              <w:snapToGrid w:val="0"/>
              <w:ind w:firstLine="420"/>
              <w:jc w:val="center"/>
              <w:rPr>
                <w:rFonts w:ascii="Times New Roman" w:hAnsi="Times New Roman" w:cs="Times New Roman"/>
                <w:highlight w:val="none"/>
              </w:rPr>
            </w:pPr>
          </w:p>
        </w:tc>
      </w:tr>
    </w:tbl>
    <w:p>
      <w:pPr>
        <w:rPr>
          <w:rFonts w:ascii="Times New Roman" w:hAnsi="Times New Roman" w:eastAsia="仿宋_GB2312" w:cs="Times New Roman"/>
          <w:sz w:val="10"/>
          <w:szCs w:val="10"/>
          <w:highlight w:val="none"/>
        </w:rPr>
      </w:pPr>
      <w:r>
        <w:rPr>
          <w:rFonts w:ascii="Times New Roman" w:hAnsi="Times New Roman" w:eastAsia="仿宋_GB2312" w:cs="Times New Roman"/>
          <w:sz w:val="10"/>
          <w:szCs w:val="10"/>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（八）其他类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tcBorders>
              <w:top w:val="single" w:color="auto" w:sz="4" w:space="0"/>
              <w:left w:val="single" w:color="auto" w:sz="4" w:space="0"/>
              <w:bottom w:val="single" w:color="auto" w:sz="4" w:space="0"/>
              <w:right w:val="single" w:color="auto" w:sz="4" w:space="0"/>
            </w:tcBorders>
            <w:vAlign w:val="center"/>
          </w:tcPr>
          <w:p>
            <w:pPr>
              <w:pStyle w:val="36"/>
              <w:ind w:firstLine="480"/>
              <w:rPr>
                <w:highlight w:val="none"/>
              </w:rPr>
            </w:pPr>
            <w:r>
              <w:rPr>
                <w:rFonts w:hint="eastAsia" w:ascii="仿宋_GB2312" w:eastAsia="仿宋_GB2312"/>
                <w:highlight w:val="none"/>
              </w:rPr>
              <w:t>污染物排放方式或者排放去向不符合排污许可证规定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Borders>
              <w:top w:val="single" w:color="auto" w:sz="4" w:space="0"/>
              <w:left w:val="single" w:color="auto" w:sz="4" w:space="0"/>
              <w:bottom w:val="single" w:color="auto" w:sz="4" w:space="0"/>
              <w:right w:val="single" w:color="auto" w:sz="4" w:space="0"/>
            </w:tcBorders>
          </w:tcPr>
          <w:p>
            <w:pPr>
              <w:pStyle w:val="11"/>
              <w:ind w:firstLine="420"/>
              <w:rPr>
                <w:rFonts w:ascii="Times New Roman" w:hAnsi="Times New Roman" w:eastAsia="仿宋_GB2312" w:cs="Times New Roman"/>
                <w:sz w:val="21"/>
                <w:szCs w:val="21"/>
                <w:highlight w:val="none"/>
              </w:rPr>
            </w:pPr>
            <w:r>
              <w:rPr>
                <w:rFonts w:hint="eastAsia" w:ascii="仿宋_GB2312" w:hAnsi="Times New Roman" w:eastAsia="仿宋_GB2312" w:cs="Times New Roman"/>
                <w:b/>
                <w:bCs/>
                <w:sz w:val="21"/>
                <w:szCs w:val="21"/>
                <w:highlight w:val="none"/>
              </w:rPr>
              <w:t>《排污许可管理条例》第十八条第二款</w:t>
            </w:r>
            <w:r>
              <w:rPr>
                <w:rFonts w:hint="eastAsia" w:ascii="仿宋" w:hAnsi="仿宋" w:eastAsia="仿宋" w:cs="Times New Roman"/>
                <w:sz w:val="36"/>
                <w:szCs w:val="36"/>
                <w:highlight w:val="none"/>
              </w:rPr>
              <w:t xml:space="preserve"> </w:t>
            </w:r>
            <w:r>
              <w:rPr>
                <w:rFonts w:hint="eastAsia" w:ascii="仿宋_GB2312" w:hAnsi="Times New Roman" w:eastAsia="仿宋_GB2312" w:cs="Times New Roman"/>
                <w:sz w:val="21"/>
                <w:szCs w:val="21"/>
                <w:highlight w:val="none"/>
              </w:rPr>
              <w:t>污染物排放口位置和数量、污染物排放方式和排放去向应当与排污许可证规定相符。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Borders>
              <w:top w:val="single" w:color="auto" w:sz="4" w:space="0"/>
              <w:left w:val="single" w:color="auto" w:sz="4" w:space="0"/>
              <w:bottom w:val="single" w:color="auto" w:sz="4" w:space="0"/>
              <w:right w:val="single" w:color="auto" w:sz="4" w:space="0"/>
            </w:tcBorders>
          </w:tcPr>
          <w:p>
            <w:pPr>
              <w:pStyle w:val="11"/>
              <w:ind w:firstLine="420"/>
              <w:rPr>
                <w:rFonts w:ascii="Times New Roman" w:hAnsi="Times New Roman" w:eastAsia="仿宋_GB2312" w:cs="Times New Roman"/>
                <w:sz w:val="21"/>
                <w:szCs w:val="21"/>
                <w:highlight w:val="none"/>
              </w:rPr>
            </w:pPr>
            <w:r>
              <w:rPr>
                <w:rFonts w:hint="eastAsia" w:ascii="仿宋_GB2312" w:hAnsi="Times New Roman" w:eastAsia="仿宋_GB2312" w:cs="Times New Roman"/>
                <w:b/>
                <w:bCs/>
                <w:sz w:val="21"/>
                <w:szCs w:val="21"/>
                <w:highlight w:val="none"/>
              </w:rPr>
              <w:t>《排污许可管理条例》第三十六条第（二）项</w:t>
            </w:r>
            <w:r>
              <w:rPr>
                <w:rFonts w:hint="eastAsia" w:ascii="仿宋" w:hAnsi="仿宋" w:eastAsia="仿宋" w:cs="Times New Roman"/>
                <w:sz w:val="36"/>
                <w:szCs w:val="36"/>
                <w:highlight w:val="none"/>
              </w:rPr>
              <w:t xml:space="preserve"> </w:t>
            </w:r>
            <w:r>
              <w:rPr>
                <w:rFonts w:hint="eastAsia" w:ascii="仿宋_GB2312" w:hAnsi="Times New Roman" w:eastAsia="仿宋_GB2312" w:cs="Times New Roman"/>
                <w:sz w:val="21"/>
                <w:szCs w:val="21"/>
                <w:highlight w:val="none"/>
              </w:rPr>
              <w:t>违反本条例规定，排污单位有下列行为之一的，由生态环境主管部门责令改正，处</w:t>
            </w:r>
            <w:r>
              <w:rPr>
                <w:rFonts w:hint="eastAsia" w:ascii="Times New Roman" w:hAnsi="Times New Roman" w:eastAsia="仿宋_GB2312" w:cs="Times New Roman"/>
                <w:sz w:val="21"/>
                <w:szCs w:val="21"/>
                <w:highlight w:val="none"/>
              </w:rPr>
              <w:t>2</w:t>
            </w:r>
            <w:r>
              <w:rPr>
                <w:rFonts w:hint="eastAsia" w:ascii="仿宋_GB2312" w:hAnsi="Times New Roman" w:eastAsia="仿宋_GB2312" w:cs="Times New Roman"/>
                <w:sz w:val="21"/>
                <w:szCs w:val="21"/>
                <w:highlight w:val="none"/>
              </w:rPr>
              <w:t>万元以上</w:t>
            </w:r>
            <w:r>
              <w:rPr>
                <w:rFonts w:hint="eastAsia" w:ascii="Times New Roman" w:hAnsi="Times New Roman" w:eastAsia="仿宋_GB2312" w:cs="Times New Roman"/>
                <w:sz w:val="21"/>
                <w:szCs w:val="21"/>
                <w:highlight w:val="none"/>
              </w:rPr>
              <w:t>20</w:t>
            </w:r>
            <w:r>
              <w:rPr>
                <w:rFonts w:hint="eastAsia" w:ascii="仿宋_GB2312" w:hAnsi="Times New Roman" w:eastAsia="仿宋_GB2312" w:cs="Times New Roman"/>
                <w:sz w:val="21"/>
                <w:szCs w:val="21"/>
                <w:highlight w:val="none"/>
              </w:rPr>
              <w:t>万元以下的罚款；拒不改正的，责令停产整治：</w:t>
            </w:r>
          </w:p>
          <w:p>
            <w:pPr>
              <w:rPr>
                <w:rFonts w:cs="Times New Roman"/>
                <w:highlight w:val="none"/>
              </w:rPr>
            </w:pPr>
            <w:r>
              <w:rPr>
                <w:rFonts w:hint="eastAsia" w:ascii="仿宋_GB2312" w:hAnsi="Times New Roman" w:eastAsia="仿宋_GB2312" w:cs="Times New Roman"/>
                <w:highlight w:val="none"/>
              </w:rPr>
              <w:t>（二）污染物排放方式或者排放去向不符合排污许可证规定；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8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Times New Roman"/>
                <w:b/>
                <w:bCs/>
                <w:color w:val="000000"/>
                <w:highlight w:val="none"/>
              </w:rPr>
              <w:t>排污单位</w:t>
            </w:r>
          </w:p>
          <w:p>
            <w:pPr>
              <w:snapToGrid w:val="0"/>
              <w:jc w:val="center"/>
              <w:rPr>
                <w:rFonts w:ascii="Times New Roman" w:hAnsi="Times New Roman" w:cs="Times New Roman"/>
                <w:b/>
                <w:bCs/>
                <w:color w:val="000000"/>
                <w:highlight w:val="none"/>
              </w:rPr>
            </w:pPr>
            <w:r>
              <w:rPr>
                <w:rFonts w:ascii="Times New Roman" w:hAnsi="Times New Roman" w:cs="Times New Roman"/>
                <w:b/>
                <w:bCs/>
                <w:color w:val="000000"/>
                <w:highlight w:val="none"/>
              </w:rPr>
              <w:t>管理类别</w:t>
            </w:r>
          </w:p>
        </w:tc>
        <w:tc>
          <w:tcPr>
            <w:tcW w:w="521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Times New Roman"/>
                <w:color w:val="000000"/>
                <w:sz w:val="21"/>
                <w:szCs w:val="21"/>
                <w:highlight w:val="none"/>
              </w:rPr>
              <w:t>简化</w:t>
            </w:r>
            <w:r>
              <w:rPr>
                <w:rFonts w:ascii="Times New Roman" w:hAnsi="Times New Roman" w:eastAsia="仿宋_GB2312" w:cs="Times New Roman"/>
                <w:color w:val="000000"/>
                <w:sz w:val="21"/>
                <w:szCs w:val="21"/>
                <w:highlight w:val="none"/>
              </w:rPr>
              <w:t>管理</w:t>
            </w:r>
          </w:p>
        </w:tc>
        <w:tc>
          <w:tcPr>
            <w:tcW w:w="2689" w:type="dxa"/>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Times New Roman"/>
                <w:color w:val="000000"/>
                <w:sz w:val="21"/>
                <w:szCs w:val="21"/>
                <w:highlight w:val="none"/>
              </w:rPr>
              <w:t>重点</w:t>
            </w:r>
            <w:r>
              <w:rPr>
                <w:rFonts w:ascii="Times New Roman" w:hAnsi="Times New Roman" w:eastAsia="仿宋_GB2312" w:cs="Times New Roman"/>
                <w:color w:val="000000"/>
                <w:sz w:val="21"/>
                <w:szCs w:val="21"/>
                <w:highlight w:val="none"/>
              </w:rPr>
              <w:t>管理</w:t>
            </w:r>
          </w:p>
        </w:tc>
        <w:tc>
          <w:tcPr>
            <w:tcW w:w="2689"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Times New Roman"/>
                <w:color w:val="000000"/>
                <w:sz w:val="21"/>
                <w:szCs w:val="21"/>
                <w:highlight w:val="none"/>
              </w:rPr>
              <w:t>重点管理（化工、电镀、皮革、造纸、制浆、冶炼、放射性、印染、染料、炼焦、炼油项目）</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Times New Roman"/>
                <w:b/>
                <w:bCs/>
                <w:highlight w:val="none"/>
              </w:rPr>
              <w:t>违法事实</w:t>
            </w:r>
            <w:r>
              <w:rPr>
                <w:rFonts w:hint="eastAsia" w:ascii="Times New Roman" w:hAnsi="Times New Roman" w:cs="宋体"/>
                <w:b/>
                <w:bCs/>
                <w:color w:val="000000"/>
                <w:highlight w:val="none"/>
              </w:rPr>
              <w:t>★</w:t>
            </w: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部分污染</w:t>
            </w:r>
            <w:r>
              <w:rPr>
                <w:rFonts w:ascii="Times New Roman" w:hAnsi="Times New Roman" w:eastAsia="仿宋_GB2312" w:cs="Times New Roman"/>
                <w:highlight w:val="none"/>
              </w:rPr>
              <w:t>物排放</w:t>
            </w:r>
            <w:r>
              <w:rPr>
                <w:rFonts w:hint="eastAsia" w:ascii="Times New Roman" w:hAnsi="Times New Roman" w:eastAsia="仿宋_GB2312" w:cs="Times New Roman"/>
                <w:highlight w:val="none"/>
              </w:rPr>
              <w:t>去向</w:t>
            </w:r>
            <w:r>
              <w:rPr>
                <w:rFonts w:ascii="Times New Roman" w:hAnsi="Times New Roman" w:eastAsia="仿宋_GB2312" w:cs="Times New Roman"/>
                <w:highlight w:val="none"/>
              </w:rPr>
              <w:t>不符合规定</w:t>
            </w:r>
          </w:p>
        </w:tc>
        <w:tc>
          <w:tcPr>
            <w:tcW w:w="2689" w:type="dxa"/>
            <w:vAlign w:val="center"/>
          </w:tcPr>
          <w:p>
            <w:pPr>
              <w:snapToGrid w:val="0"/>
              <w:jc w:val="center"/>
              <w:rPr>
                <w:rFonts w:ascii="Times New Roman" w:hAnsi="Times New Roman" w:cs="Times New Roman"/>
                <w:highlight w:val="none"/>
              </w:rPr>
            </w:pPr>
            <w:r>
              <w:rPr>
                <w:rFonts w:hint="eastAsia"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部分污染</w:t>
            </w:r>
            <w:r>
              <w:rPr>
                <w:rFonts w:ascii="Times New Roman" w:hAnsi="Times New Roman" w:eastAsia="仿宋_GB2312" w:cs="Times New Roman"/>
                <w:highlight w:val="none"/>
              </w:rPr>
              <w:t>物排放方式不符合规定</w:t>
            </w:r>
          </w:p>
        </w:tc>
        <w:tc>
          <w:tcPr>
            <w:tcW w:w="2689" w:type="dxa"/>
            <w:vAlign w:val="center"/>
          </w:tcPr>
          <w:p>
            <w:pPr>
              <w:snapToGrid w:val="0"/>
              <w:jc w:val="center"/>
              <w:rPr>
                <w:rFonts w:ascii="Times New Roman" w:hAnsi="Times New Roman" w:cs="Times New Roman"/>
                <w:highlight w:val="none"/>
              </w:rPr>
            </w:pPr>
            <w:r>
              <w:rPr>
                <w:rFonts w:hint="eastAsia"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仿宋_GB2312" w:eastAsia="仿宋_GB2312"/>
                <w:highlight w:val="none"/>
              </w:rPr>
              <w:t>污染物排放方式或者排放去向不符合规定</w:t>
            </w:r>
          </w:p>
        </w:tc>
        <w:tc>
          <w:tcPr>
            <w:tcW w:w="2689" w:type="dxa"/>
            <w:vAlign w:val="center"/>
          </w:tcPr>
          <w:p>
            <w:pPr>
              <w:snapToGrid w:val="0"/>
              <w:jc w:val="center"/>
              <w:rPr>
                <w:rFonts w:ascii="Times New Roman" w:hAnsi="Times New Roman" w:cs="Times New Roman"/>
                <w:highlight w:val="none"/>
              </w:rPr>
            </w:pPr>
            <w:r>
              <w:rPr>
                <w:rFonts w:hint="eastAsia"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Times New Roman"/>
                <w:b/>
                <w:bCs/>
                <w:highlight w:val="none"/>
              </w:rPr>
              <w:t>涉及</w:t>
            </w:r>
            <w:r>
              <w:rPr>
                <w:rFonts w:ascii="Times New Roman" w:hAnsi="Times New Roman" w:cs="Times New Roman"/>
                <w:b/>
                <w:bCs/>
                <w:highlight w:val="none"/>
              </w:rPr>
              <w:t>排放口数量</w:t>
            </w: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color w:val="000000"/>
                <w:highlight w:val="none"/>
              </w:rPr>
              <w:t>1个</w:t>
            </w:r>
          </w:p>
        </w:tc>
        <w:tc>
          <w:tcPr>
            <w:tcW w:w="2689" w:type="dxa"/>
            <w:vAlign w:val="center"/>
          </w:tcPr>
          <w:p>
            <w:pPr>
              <w:snapToGrid w:val="0"/>
              <w:jc w:val="center"/>
              <w:rPr>
                <w:rFonts w:ascii="Times New Roman" w:hAnsi="Times New Roman" w:cs="Times New Roman"/>
                <w:highlight w:val="none"/>
              </w:rPr>
            </w:pPr>
            <w:r>
              <w:rPr>
                <w:rFonts w:hint="eastAsia"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color w:val="000000"/>
                <w:highlight w:val="none"/>
              </w:rPr>
              <w:t>2个</w:t>
            </w:r>
          </w:p>
        </w:tc>
        <w:tc>
          <w:tcPr>
            <w:tcW w:w="2689" w:type="dxa"/>
            <w:vAlign w:val="center"/>
          </w:tcPr>
          <w:p>
            <w:pPr>
              <w:snapToGrid w:val="0"/>
              <w:jc w:val="center"/>
              <w:rPr>
                <w:rFonts w:ascii="Times New Roman" w:hAnsi="Times New Roman" w:cs="Times New Roman"/>
                <w:highlight w:val="none"/>
              </w:rPr>
            </w:pPr>
            <w:r>
              <w:rPr>
                <w:rFonts w:hint="eastAsia"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color w:val="000000"/>
                <w:highlight w:val="none"/>
              </w:rPr>
              <w:t>3个及以上</w:t>
            </w:r>
          </w:p>
        </w:tc>
        <w:tc>
          <w:tcPr>
            <w:tcW w:w="2689" w:type="dxa"/>
            <w:vAlign w:val="center"/>
          </w:tcPr>
          <w:p>
            <w:pPr>
              <w:snapToGrid w:val="0"/>
              <w:jc w:val="center"/>
              <w:rPr>
                <w:rFonts w:ascii="Times New Roman" w:hAnsi="Times New Roman" w:cs="Times New Roman"/>
                <w:highlight w:val="none"/>
              </w:rPr>
            </w:pPr>
            <w:r>
              <w:rPr>
                <w:rFonts w:hint="eastAsia"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宋体"/>
                <w:b/>
                <w:bCs/>
                <w:highlight w:val="none"/>
              </w:rPr>
            </w:pPr>
            <w:r>
              <w:rPr>
                <w:rFonts w:hint="eastAsia" w:ascii="Times New Roman" w:hAnsi="Times New Roman" w:cs="Times New Roman"/>
                <w:b/>
                <w:bCs/>
                <w:highlight w:val="none"/>
              </w:rPr>
              <w:t>污染物</w:t>
            </w:r>
            <w:r>
              <w:rPr>
                <w:rFonts w:ascii="Times New Roman" w:hAnsi="Times New Roman" w:cs="Times New Roman"/>
                <w:b/>
                <w:bCs/>
                <w:highlight w:val="none"/>
              </w:rPr>
              <w:t>类别</w:t>
            </w:r>
          </w:p>
        </w:tc>
        <w:tc>
          <w:tcPr>
            <w:tcW w:w="5213"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Times New Roman"/>
                <w:highlight w:val="none"/>
              </w:rPr>
              <w:t>排放生活、服务、农业等废气、废水或其他污染物</w:t>
            </w:r>
          </w:p>
        </w:tc>
        <w:tc>
          <w:tcPr>
            <w:tcW w:w="2689"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宋体"/>
                <w:b/>
                <w:bCs/>
                <w:highlight w:val="none"/>
              </w:rPr>
            </w:pPr>
          </w:p>
        </w:tc>
        <w:tc>
          <w:tcPr>
            <w:tcW w:w="5213"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Times New Roman"/>
                <w:highlight w:val="none"/>
              </w:rPr>
              <w:t>排放一般工业废气、废水或其他污染物</w:t>
            </w:r>
          </w:p>
        </w:tc>
        <w:tc>
          <w:tcPr>
            <w:tcW w:w="2689" w:type="dxa"/>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宋体"/>
                <w:b/>
                <w:bCs/>
                <w:highlight w:val="none"/>
              </w:rPr>
            </w:pPr>
          </w:p>
        </w:tc>
        <w:tc>
          <w:tcPr>
            <w:tcW w:w="5213"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Times New Roman"/>
                <w:highlight w:val="none"/>
              </w:rPr>
              <w:t>排放含有毒有害物质的废气或废水、医疗废水、含一类污染物或重金属、病原体、放射性物质的废水或其他污染物</w:t>
            </w:r>
          </w:p>
        </w:tc>
        <w:tc>
          <w:tcPr>
            <w:tcW w:w="2689" w:type="dxa"/>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排放区域</w:t>
            </w: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一般控制区</w:t>
            </w:r>
          </w:p>
        </w:tc>
        <w:tc>
          <w:tcPr>
            <w:tcW w:w="2689" w:type="dxa"/>
            <w:vAlign w:val="center"/>
          </w:tcPr>
          <w:p>
            <w:pPr>
              <w:snapToGrid w:val="0"/>
              <w:jc w:val="center"/>
              <w:rPr>
                <w:rFonts w:ascii="Times New Roman" w:hAnsi="Times New Roman" w:cs="Times New Roman"/>
                <w:highlight w:val="none"/>
              </w:rPr>
            </w:pPr>
            <w:r>
              <w:rPr>
                <w:rFonts w:hint="eastAsia"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重点</w:t>
            </w:r>
            <w:r>
              <w:rPr>
                <w:rFonts w:ascii="Times New Roman" w:hAnsi="Times New Roman" w:eastAsia="仿宋_GB2312" w:cs="Times New Roman"/>
                <w:highlight w:val="none"/>
              </w:rPr>
              <w:t>控制区</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核心</w:t>
            </w:r>
            <w:r>
              <w:rPr>
                <w:rFonts w:ascii="Times New Roman" w:hAnsi="Times New Roman" w:eastAsia="仿宋_GB2312" w:cs="Times New Roman"/>
                <w:highlight w:val="none"/>
              </w:rPr>
              <w:t>控制区</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vAlign w:val="center"/>
          </w:tcPr>
          <w:p>
            <w:pPr>
              <w:snapToGrid w:val="0"/>
              <w:ind w:firstLine="420"/>
              <w:jc w:val="center"/>
              <w:rPr>
                <w:rFonts w:ascii="Times New Roman" w:hAnsi="Times New Roman" w:cs="Times New Roman"/>
                <w:highlight w:val="none"/>
              </w:rPr>
            </w:pPr>
          </w:p>
        </w:tc>
      </w:tr>
    </w:tbl>
    <w:p>
      <w:pPr>
        <w:rPr>
          <w:rFonts w:ascii="Times New Roman" w:hAnsi="Times New Roman" w:eastAsia="仿宋_GB2312" w:cs="Times New Roman"/>
          <w:sz w:val="10"/>
          <w:szCs w:val="10"/>
          <w:highlight w:val="none"/>
        </w:rPr>
      </w:pPr>
      <w:r>
        <w:rPr>
          <w:rFonts w:ascii="Times New Roman" w:hAnsi="Times New Roman" w:eastAsia="仿宋_GB2312" w:cs="Times New Roman"/>
          <w:sz w:val="10"/>
          <w:szCs w:val="10"/>
          <w:highlight w:val="none"/>
        </w:rPr>
        <w:br w:type="page"/>
      </w:r>
    </w:p>
    <w:tbl>
      <w:tblPr>
        <w:tblStyle w:val="14"/>
        <w:tblW w:w="9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680"/>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（八）其他类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tcBorders>
              <w:top w:val="single" w:color="auto" w:sz="4" w:space="0"/>
              <w:left w:val="single" w:color="auto" w:sz="4" w:space="0"/>
              <w:bottom w:val="single" w:color="auto" w:sz="4" w:space="0"/>
              <w:right w:val="single" w:color="auto" w:sz="4" w:space="0"/>
            </w:tcBorders>
            <w:vAlign w:val="center"/>
          </w:tcPr>
          <w:p>
            <w:pPr>
              <w:pStyle w:val="36"/>
              <w:ind w:firstLine="480"/>
              <w:rPr>
                <w:highlight w:val="none"/>
              </w:rPr>
            </w:pPr>
            <w:r>
              <w:rPr>
                <w:rFonts w:hint="eastAsia" w:ascii="仿宋_GB2312" w:eastAsia="仿宋_GB2312"/>
                <w:highlight w:val="none"/>
              </w:rPr>
              <w:t>损毁或者擅自移动、改变污染物排放自动监测设备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Borders>
              <w:top w:val="single" w:color="auto" w:sz="4" w:space="0"/>
              <w:left w:val="single" w:color="auto" w:sz="4" w:space="0"/>
              <w:bottom w:val="single" w:color="auto" w:sz="4" w:space="0"/>
              <w:right w:val="single" w:color="auto" w:sz="4" w:space="0"/>
            </w:tcBorders>
          </w:tcPr>
          <w:p>
            <w:pPr>
              <w:pStyle w:val="11"/>
              <w:ind w:firstLine="420"/>
              <w:rPr>
                <w:rFonts w:ascii="Times New Roman" w:hAnsi="Times New Roman" w:eastAsia="仿宋_GB2312" w:cs="Times New Roman"/>
                <w:sz w:val="21"/>
                <w:szCs w:val="21"/>
                <w:highlight w:val="none"/>
              </w:rPr>
            </w:pPr>
            <w:r>
              <w:rPr>
                <w:rFonts w:hint="eastAsia" w:ascii="仿宋_GB2312" w:hAnsi="Times New Roman" w:eastAsia="仿宋_GB2312" w:cs="Times New Roman"/>
                <w:b/>
                <w:bCs/>
                <w:sz w:val="21"/>
                <w:szCs w:val="21"/>
                <w:highlight w:val="none"/>
              </w:rPr>
              <w:t>《排污许可管理条例》第二十条第一款</w:t>
            </w:r>
            <w:r>
              <w:rPr>
                <w:rFonts w:ascii="Times New Roman" w:hAnsi="Times New Roman" w:eastAsia="仿宋_GB2312" w:cs="Times New Roman"/>
                <w:sz w:val="21"/>
                <w:szCs w:val="21"/>
                <w:highlight w:val="none"/>
              </w:rPr>
              <w:t xml:space="preserve"> </w:t>
            </w:r>
            <w:r>
              <w:rPr>
                <w:rFonts w:hint="eastAsia" w:ascii="仿宋_GB2312" w:hAnsi="Times New Roman" w:eastAsia="仿宋_GB2312" w:cs="Times New Roman"/>
                <w:sz w:val="21"/>
                <w:szCs w:val="21"/>
                <w:highlight w:val="none"/>
              </w:rPr>
              <w:t>实行排污许可重点管理的排污单位，应当依法安装、使用、维护污染物排放自动监测设备，并与生态环境主管部门的监控设备联网。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Borders>
              <w:top w:val="single" w:color="auto" w:sz="4" w:space="0"/>
              <w:left w:val="single" w:color="auto" w:sz="4" w:space="0"/>
              <w:bottom w:val="single" w:color="auto" w:sz="4" w:space="0"/>
              <w:right w:val="single" w:color="auto" w:sz="4" w:space="0"/>
            </w:tcBorders>
          </w:tcPr>
          <w:p>
            <w:pPr>
              <w:pStyle w:val="11"/>
              <w:ind w:firstLine="420"/>
              <w:rPr>
                <w:rFonts w:ascii="Times New Roman" w:hAnsi="Times New Roman" w:eastAsia="仿宋_GB2312" w:cs="Times New Roman"/>
                <w:sz w:val="21"/>
                <w:szCs w:val="21"/>
                <w:highlight w:val="none"/>
              </w:rPr>
            </w:pPr>
            <w:r>
              <w:rPr>
                <w:rFonts w:hint="eastAsia" w:ascii="仿宋_GB2312" w:hAnsi="Times New Roman" w:eastAsia="仿宋_GB2312" w:cs="Times New Roman"/>
                <w:b/>
                <w:bCs/>
                <w:sz w:val="21"/>
                <w:szCs w:val="21"/>
                <w:highlight w:val="none"/>
              </w:rPr>
              <w:t>《排污许可管理条例》第三十六条第（三）项</w:t>
            </w:r>
            <w:r>
              <w:rPr>
                <w:rFonts w:hint="eastAsia" w:ascii="仿宋" w:hAnsi="仿宋" w:eastAsia="仿宋" w:cs="Times New Roman"/>
                <w:sz w:val="36"/>
                <w:szCs w:val="36"/>
                <w:highlight w:val="none"/>
              </w:rPr>
              <w:t xml:space="preserve"> </w:t>
            </w:r>
            <w:r>
              <w:rPr>
                <w:rFonts w:hint="eastAsia" w:ascii="仿宋_GB2312" w:hAnsi="Times New Roman" w:eastAsia="仿宋_GB2312" w:cs="Times New Roman"/>
                <w:sz w:val="21"/>
                <w:szCs w:val="21"/>
                <w:highlight w:val="none"/>
              </w:rPr>
              <w:t>违反本条例规定，排污单位有下列行为之一的，由生态环境主管部门责令改正，处</w:t>
            </w:r>
            <w:r>
              <w:rPr>
                <w:rFonts w:hint="eastAsia" w:ascii="Times New Roman" w:hAnsi="Times New Roman" w:eastAsia="仿宋_GB2312" w:cs="Times New Roman"/>
                <w:sz w:val="21"/>
                <w:szCs w:val="21"/>
                <w:highlight w:val="none"/>
              </w:rPr>
              <w:t>2</w:t>
            </w:r>
            <w:r>
              <w:rPr>
                <w:rFonts w:hint="eastAsia" w:ascii="仿宋_GB2312" w:hAnsi="Times New Roman" w:eastAsia="仿宋_GB2312" w:cs="Times New Roman"/>
                <w:sz w:val="21"/>
                <w:szCs w:val="21"/>
                <w:highlight w:val="none"/>
              </w:rPr>
              <w:t>万元以上</w:t>
            </w:r>
            <w:r>
              <w:rPr>
                <w:rFonts w:hint="eastAsia" w:ascii="Times New Roman" w:hAnsi="Times New Roman" w:eastAsia="仿宋_GB2312" w:cs="Times New Roman"/>
                <w:sz w:val="21"/>
                <w:szCs w:val="21"/>
                <w:highlight w:val="none"/>
              </w:rPr>
              <w:t>20</w:t>
            </w:r>
            <w:r>
              <w:rPr>
                <w:rFonts w:hint="eastAsia" w:ascii="仿宋_GB2312" w:hAnsi="Times New Roman" w:eastAsia="仿宋_GB2312" w:cs="Times New Roman"/>
                <w:sz w:val="21"/>
                <w:szCs w:val="21"/>
                <w:highlight w:val="none"/>
              </w:rPr>
              <w:t>万元以下的罚款；拒不改正的，责令停产整治：</w:t>
            </w:r>
          </w:p>
          <w:p>
            <w:pPr>
              <w:ind w:firstLine="420" w:firstLineChars="200"/>
              <w:rPr>
                <w:rFonts w:cs="Times New Roman"/>
                <w:highlight w:val="none"/>
              </w:rPr>
            </w:pPr>
            <w:r>
              <w:rPr>
                <w:rFonts w:hint="eastAsia" w:ascii="仿宋_GB2312" w:hAnsi="Times New Roman" w:eastAsia="仿宋_GB2312" w:cs="Times New Roman"/>
                <w:highlight w:val="none"/>
              </w:rPr>
              <w:t>（三）损毁或者擅自移动、改变污染物排放自动监测设备；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680"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222"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Times New Roman"/>
                <w:b/>
                <w:bCs/>
                <w:color w:val="000000"/>
                <w:highlight w:val="none"/>
              </w:rPr>
              <w:t>排污单位</w:t>
            </w:r>
          </w:p>
          <w:p>
            <w:pPr>
              <w:snapToGrid w:val="0"/>
              <w:jc w:val="center"/>
              <w:rPr>
                <w:rFonts w:ascii="Times New Roman" w:hAnsi="Times New Roman" w:cs="Times New Roman"/>
                <w:b/>
                <w:bCs/>
                <w:color w:val="000000"/>
                <w:highlight w:val="none"/>
              </w:rPr>
            </w:pPr>
            <w:r>
              <w:rPr>
                <w:rFonts w:ascii="Times New Roman" w:hAnsi="Times New Roman" w:cs="Times New Roman"/>
                <w:b/>
                <w:bCs/>
                <w:color w:val="000000"/>
                <w:highlight w:val="none"/>
              </w:rPr>
              <w:t>管理类别</w:t>
            </w:r>
            <w:r>
              <w:rPr>
                <w:rFonts w:hint="eastAsia" w:ascii="Times New Roman" w:hAnsi="Times New Roman" w:cs="宋体"/>
                <w:b/>
                <w:bCs/>
                <w:color w:val="000000"/>
                <w:highlight w:val="none"/>
              </w:rPr>
              <w:t>★</w:t>
            </w:r>
          </w:p>
        </w:tc>
        <w:tc>
          <w:tcPr>
            <w:tcW w:w="5680"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Times New Roman"/>
                <w:color w:val="000000"/>
                <w:sz w:val="21"/>
                <w:szCs w:val="21"/>
                <w:highlight w:val="none"/>
              </w:rPr>
              <w:t>简化</w:t>
            </w:r>
            <w:r>
              <w:rPr>
                <w:rFonts w:ascii="Times New Roman" w:hAnsi="Times New Roman" w:eastAsia="仿宋_GB2312" w:cs="Times New Roman"/>
                <w:color w:val="000000"/>
                <w:sz w:val="21"/>
                <w:szCs w:val="21"/>
                <w:highlight w:val="none"/>
              </w:rPr>
              <w:t>管理</w:t>
            </w:r>
          </w:p>
        </w:tc>
        <w:tc>
          <w:tcPr>
            <w:tcW w:w="2222" w:type="dxa"/>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680"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Times New Roman"/>
                <w:color w:val="000000"/>
                <w:sz w:val="21"/>
                <w:szCs w:val="21"/>
                <w:highlight w:val="none"/>
              </w:rPr>
              <w:t>重点</w:t>
            </w:r>
            <w:r>
              <w:rPr>
                <w:rFonts w:ascii="Times New Roman" w:hAnsi="Times New Roman" w:eastAsia="仿宋_GB2312" w:cs="Times New Roman"/>
                <w:color w:val="000000"/>
                <w:sz w:val="21"/>
                <w:szCs w:val="21"/>
                <w:highlight w:val="none"/>
              </w:rPr>
              <w:t>管理</w:t>
            </w:r>
          </w:p>
        </w:tc>
        <w:tc>
          <w:tcPr>
            <w:tcW w:w="2222"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680"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Times New Roman"/>
                <w:color w:val="000000"/>
                <w:sz w:val="21"/>
                <w:szCs w:val="21"/>
                <w:highlight w:val="none"/>
              </w:rPr>
              <w:t>重点管理（化工、电镀、皮革、造纸、制浆、冶炼、放射性、印染、染料、炼焦、炼油项目）</w:t>
            </w:r>
          </w:p>
        </w:tc>
        <w:tc>
          <w:tcPr>
            <w:tcW w:w="2222"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Times New Roman"/>
                <w:b/>
                <w:bCs/>
                <w:highlight w:val="none"/>
              </w:rPr>
              <w:t>违法事实</w:t>
            </w:r>
          </w:p>
        </w:tc>
        <w:tc>
          <w:tcPr>
            <w:tcW w:w="5680"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造成</w:t>
            </w:r>
            <w:r>
              <w:rPr>
                <w:rFonts w:ascii="Times New Roman" w:hAnsi="Times New Roman" w:eastAsia="仿宋_GB2312" w:cs="Times New Roman"/>
                <w:highlight w:val="none"/>
              </w:rPr>
              <w:t>监测数据误差超过技术规范允许范围</w:t>
            </w:r>
            <w:r>
              <w:rPr>
                <w:rFonts w:hint="eastAsia" w:ascii="Times New Roman" w:hAnsi="Times New Roman" w:eastAsia="仿宋_GB2312" w:cs="Times New Roman"/>
                <w:highlight w:val="none"/>
              </w:rPr>
              <w:t>1倍</w:t>
            </w:r>
            <w:r>
              <w:rPr>
                <w:rFonts w:ascii="Times New Roman" w:hAnsi="Times New Roman" w:eastAsia="仿宋_GB2312" w:cs="Times New Roman"/>
                <w:highlight w:val="none"/>
              </w:rPr>
              <w:t>以内的</w:t>
            </w:r>
          </w:p>
        </w:tc>
        <w:tc>
          <w:tcPr>
            <w:tcW w:w="2222" w:type="dxa"/>
            <w:vAlign w:val="center"/>
          </w:tcPr>
          <w:p>
            <w:pPr>
              <w:snapToGrid w:val="0"/>
              <w:jc w:val="center"/>
              <w:rPr>
                <w:rFonts w:ascii="Times New Roman" w:hAnsi="Times New Roman" w:cs="Times New Roman"/>
                <w:highlight w:val="none"/>
              </w:rPr>
            </w:pPr>
            <w:r>
              <w:rPr>
                <w:rFonts w:hint="eastAsia"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6" w:type="dxa"/>
            <w:vMerge w:val="continue"/>
            <w:vAlign w:val="center"/>
          </w:tcPr>
          <w:p>
            <w:pPr>
              <w:snapToGrid w:val="0"/>
              <w:jc w:val="center"/>
              <w:rPr>
                <w:rFonts w:ascii="Times New Roman" w:hAnsi="Times New Roman" w:cs="Times New Roman"/>
                <w:b/>
                <w:bCs/>
                <w:highlight w:val="none"/>
              </w:rPr>
            </w:pPr>
          </w:p>
        </w:tc>
        <w:tc>
          <w:tcPr>
            <w:tcW w:w="5680"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造成</w:t>
            </w:r>
            <w:r>
              <w:rPr>
                <w:rFonts w:ascii="Times New Roman" w:hAnsi="Times New Roman" w:eastAsia="仿宋_GB2312" w:cs="Times New Roman"/>
                <w:highlight w:val="none"/>
              </w:rPr>
              <w:t>监测数据误差超过技术规范允许范围</w:t>
            </w:r>
            <w:r>
              <w:rPr>
                <w:rFonts w:hint="eastAsia" w:ascii="Times New Roman" w:hAnsi="Times New Roman" w:eastAsia="仿宋_GB2312" w:cs="Times New Roman"/>
                <w:highlight w:val="none"/>
              </w:rPr>
              <w:t>1倍至2倍</w:t>
            </w:r>
            <w:r>
              <w:rPr>
                <w:rFonts w:ascii="Times New Roman" w:hAnsi="Times New Roman" w:eastAsia="仿宋_GB2312" w:cs="Times New Roman"/>
                <w:highlight w:val="none"/>
              </w:rPr>
              <w:t>以内的</w:t>
            </w:r>
          </w:p>
        </w:tc>
        <w:tc>
          <w:tcPr>
            <w:tcW w:w="2222"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6" w:type="dxa"/>
            <w:vMerge w:val="continue"/>
            <w:vAlign w:val="center"/>
          </w:tcPr>
          <w:p>
            <w:pPr>
              <w:snapToGrid w:val="0"/>
              <w:jc w:val="center"/>
              <w:rPr>
                <w:rFonts w:ascii="Times New Roman" w:hAnsi="Times New Roman" w:cs="Times New Roman"/>
                <w:b/>
                <w:bCs/>
                <w:highlight w:val="none"/>
              </w:rPr>
            </w:pPr>
          </w:p>
        </w:tc>
        <w:tc>
          <w:tcPr>
            <w:tcW w:w="5680"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造成</w:t>
            </w:r>
            <w:r>
              <w:rPr>
                <w:rFonts w:ascii="Times New Roman" w:hAnsi="Times New Roman" w:eastAsia="仿宋_GB2312" w:cs="Times New Roman"/>
                <w:highlight w:val="none"/>
              </w:rPr>
              <w:t>监测数据误差超过技术规范允许范围2</w:t>
            </w:r>
            <w:r>
              <w:rPr>
                <w:rFonts w:hint="eastAsia" w:ascii="Times New Roman" w:hAnsi="Times New Roman" w:eastAsia="仿宋_GB2312" w:cs="Times New Roman"/>
                <w:highlight w:val="none"/>
              </w:rPr>
              <w:t>倍</w:t>
            </w:r>
            <w:r>
              <w:rPr>
                <w:rFonts w:ascii="Times New Roman" w:hAnsi="Times New Roman" w:eastAsia="仿宋_GB2312" w:cs="Times New Roman"/>
                <w:highlight w:val="none"/>
              </w:rPr>
              <w:t>以</w:t>
            </w:r>
            <w:r>
              <w:rPr>
                <w:rFonts w:hint="eastAsia" w:ascii="Times New Roman" w:hAnsi="Times New Roman" w:eastAsia="仿宋_GB2312" w:cs="Times New Roman"/>
                <w:highlight w:val="none"/>
              </w:rPr>
              <w:t>上</w:t>
            </w:r>
            <w:r>
              <w:rPr>
                <w:rFonts w:ascii="Times New Roman" w:hAnsi="Times New Roman" w:eastAsia="仿宋_GB2312" w:cs="Times New Roman"/>
                <w:highlight w:val="none"/>
              </w:rPr>
              <w:t>的</w:t>
            </w:r>
          </w:p>
        </w:tc>
        <w:tc>
          <w:tcPr>
            <w:tcW w:w="2222"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Times New Roman"/>
                <w:b/>
                <w:bCs/>
                <w:highlight w:val="none"/>
              </w:rPr>
              <w:t>监测站点</w:t>
            </w:r>
          </w:p>
          <w:p>
            <w:pPr>
              <w:snapToGrid w:val="0"/>
              <w:jc w:val="center"/>
              <w:rPr>
                <w:rFonts w:ascii="Times New Roman" w:hAnsi="Times New Roman" w:cs="Times New Roman"/>
                <w:b/>
                <w:bCs/>
                <w:highlight w:val="none"/>
              </w:rPr>
            </w:pPr>
            <w:r>
              <w:rPr>
                <w:rFonts w:hint="eastAsia" w:ascii="Times New Roman" w:hAnsi="Times New Roman" w:cs="Times New Roman"/>
                <w:b/>
                <w:bCs/>
                <w:highlight w:val="none"/>
              </w:rPr>
              <w:t>级别</w:t>
            </w:r>
          </w:p>
        </w:tc>
        <w:tc>
          <w:tcPr>
            <w:tcW w:w="5680"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市控</w:t>
            </w:r>
          </w:p>
        </w:tc>
        <w:tc>
          <w:tcPr>
            <w:tcW w:w="2222"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6" w:type="dxa"/>
            <w:vMerge w:val="continue"/>
            <w:vAlign w:val="center"/>
          </w:tcPr>
          <w:p>
            <w:pPr>
              <w:snapToGrid w:val="0"/>
              <w:jc w:val="center"/>
              <w:rPr>
                <w:rFonts w:ascii="Times New Roman" w:hAnsi="Times New Roman" w:cs="Times New Roman"/>
                <w:b/>
                <w:bCs/>
                <w:highlight w:val="none"/>
              </w:rPr>
            </w:pPr>
          </w:p>
        </w:tc>
        <w:tc>
          <w:tcPr>
            <w:tcW w:w="5680"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省控</w:t>
            </w:r>
          </w:p>
        </w:tc>
        <w:tc>
          <w:tcPr>
            <w:tcW w:w="2222"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6" w:type="dxa"/>
            <w:vMerge w:val="continue"/>
            <w:vAlign w:val="center"/>
          </w:tcPr>
          <w:p>
            <w:pPr>
              <w:snapToGrid w:val="0"/>
              <w:jc w:val="center"/>
              <w:rPr>
                <w:rFonts w:ascii="Times New Roman" w:hAnsi="Times New Roman" w:cs="Times New Roman"/>
                <w:b/>
                <w:bCs/>
                <w:highlight w:val="none"/>
              </w:rPr>
            </w:pPr>
          </w:p>
        </w:tc>
        <w:tc>
          <w:tcPr>
            <w:tcW w:w="5680"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国控</w:t>
            </w:r>
          </w:p>
        </w:tc>
        <w:tc>
          <w:tcPr>
            <w:tcW w:w="2222"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vAlign w:val="center"/>
          </w:tcPr>
          <w:p>
            <w:pPr>
              <w:snapToGrid w:val="0"/>
              <w:ind w:firstLine="420"/>
              <w:jc w:val="center"/>
              <w:rPr>
                <w:rFonts w:ascii="Times New Roman" w:hAnsi="Times New Roman" w:cs="Times New Roman"/>
                <w:highlight w:val="none"/>
              </w:rPr>
            </w:pPr>
          </w:p>
        </w:tc>
      </w:tr>
    </w:tbl>
    <w:p>
      <w:pPr>
        <w:jc w:val="center"/>
        <w:rPr>
          <w:rFonts w:ascii="Times New Roman" w:hAnsi="Times New Roman" w:eastAsia="仿宋_GB2312" w:cs="Times New Roman"/>
          <w:sz w:val="32"/>
          <w:szCs w:val="32"/>
          <w:highlight w:val="none"/>
        </w:rPr>
      </w:pPr>
    </w:p>
    <w:p>
      <w:pPr>
        <w:jc w:val="center"/>
        <w:rPr>
          <w:rFonts w:ascii="Times New Roman" w:hAnsi="Times New Roman" w:eastAsia="仿宋_GB2312" w:cs="Times New Roman"/>
          <w:sz w:val="32"/>
          <w:szCs w:val="32"/>
          <w:highlight w:val="none"/>
        </w:rPr>
      </w:pPr>
    </w:p>
    <w:p>
      <w:pPr>
        <w:jc w:val="center"/>
        <w:rPr>
          <w:rFonts w:ascii="Times New Roman" w:hAnsi="Times New Roman" w:eastAsia="仿宋_GB2312" w:cs="Times New Roman"/>
          <w:sz w:val="32"/>
          <w:szCs w:val="32"/>
          <w:highlight w:val="none"/>
        </w:rPr>
      </w:pPr>
    </w:p>
    <w:p>
      <w:pPr>
        <w:jc w:val="center"/>
        <w:rPr>
          <w:rFonts w:ascii="Times New Roman" w:hAnsi="Times New Roman" w:eastAsia="仿宋_GB2312" w:cs="Times New Roman"/>
          <w:sz w:val="32"/>
          <w:szCs w:val="32"/>
          <w:highlight w:val="none"/>
        </w:rPr>
      </w:pPr>
    </w:p>
    <w:p>
      <w:pPr>
        <w:jc w:val="center"/>
        <w:rPr>
          <w:rFonts w:ascii="Times New Roman" w:hAnsi="Times New Roman" w:eastAsia="仿宋_GB2312" w:cs="Times New Roman"/>
          <w:sz w:val="32"/>
          <w:szCs w:val="32"/>
          <w:highlight w:val="none"/>
        </w:rPr>
      </w:pPr>
    </w:p>
    <w:p>
      <w:pPr>
        <w:rPr>
          <w:rFonts w:ascii="Times New Roman" w:hAnsi="Times New Roman" w:eastAsia="仿宋_GB2312" w:cs="Times New Roman"/>
          <w:sz w:val="32"/>
          <w:szCs w:val="32"/>
          <w:highlight w:val="none"/>
        </w:rPr>
      </w:pPr>
    </w:p>
    <w:p>
      <w:pPr>
        <w:rPr>
          <w:rFonts w:ascii="Times New Roman" w:hAnsi="Times New Roman" w:eastAsia="仿宋_GB2312" w:cs="Times New Roman"/>
          <w:sz w:val="10"/>
          <w:szCs w:val="10"/>
          <w:highlight w:val="none"/>
        </w:rPr>
      </w:pP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（八）其他类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tcBorders>
              <w:top w:val="single" w:color="auto" w:sz="4" w:space="0"/>
              <w:left w:val="single" w:color="auto" w:sz="4" w:space="0"/>
              <w:bottom w:val="single" w:color="auto" w:sz="4" w:space="0"/>
              <w:right w:val="single" w:color="auto" w:sz="4" w:space="0"/>
            </w:tcBorders>
            <w:vAlign w:val="center"/>
          </w:tcPr>
          <w:p>
            <w:pPr>
              <w:pStyle w:val="36"/>
              <w:ind w:firstLine="480"/>
              <w:rPr>
                <w:highlight w:val="none"/>
              </w:rPr>
            </w:pPr>
            <w:r>
              <w:rPr>
                <w:rFonts w:hint="eastAsia" w:ascii="仿宋_GB2312" w:eastAsia="仿宋_GB2312"/>
                <w:highlight w:val="none"/>
              </w:rPr>
              <w:t>未按照排污许可证规定安装、使用污染物排放自动监测设备并与生态环境主管部门的监控设备联网，或者未保证污染物排放自动监测设备正常运行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Borders>
              <w:top w:val="single" w:color="auto" w:sz="4" w:space="0"/>
              <w:left w:val="single" w:color="auto" w:sz="4" w:space="0"/>
              <w:bottom w:val="single" w:color="auto" w:sz="4" w:space="0"/>
              <w:right w:val="single" w:color="auto" w:sz="4" w:space="0"/>
            </w:tcBorders>
          </w:tcPr>
          <w:p>
            <w:pPr>
              <w:pStyle w:val="11"/>
              <w:ind w:firstLine="420"/>
              <w:rPr>
                <w:rFonts w:ascii="Times New Roman" w:hAnsi="Times New Roman" w:eastAsia="仿宋_GB2312" w:cs="Times New Roman"/>
                <w:sz w:val="21"/>
                <w:szCs w:val="21"/>
                <w:highlight w:val="none"/>
              </w:rPr>
            </w:pPr>
            <w:r>
              <w:rPr>
                <w:rFonts w:hint="eastAsia" w:ascii="仿宋_GB2312" w:hAnsi="Times New Roman" w:eastAsia="仿宋_GB2312" w:cs="Times New Roman"/>
                <w:b/>
                <w:bCs/>
                <w:sz w:val="21"/>
                <w:szCs w:val="21"/>
                <w:highlight w:val="none"/>
              </w:rPr>
              <w:t>《排污许可管理条例》第二十条</w:t>
            </w:r>
            <w:r>
              <w:rPr>
                <w:rFonts w:ascii="Times New Roman" w:hAnsi="Times New Roman" w:eastAsia="仿宋_GB2312" w:cs="Times New Roman"/>
                <w:sz w:val="21"/>
                <w:szCs w:val="21"/>
                <w:highlight w:val="none"/>
              </w:rPr>
              <w:t xml:space="preserve"> </w:t>
            </w:r>
            <w:r>
              <w:rPr>
                <w:rFonts w:hint="eastAsia" w:ascii="仿宋_GB2312" w:hAnsi="Times New Roman" w:eastAsia="仿宋_GB2312" w:cs="Times New Roman"/>
                <w:sz w:val="21"/>
                <w:szCs w:val="21"/>
                <w:highlight w:val="none"/>
              </w:rPr>
              <w:t>实行排污许可重点管理的排污单位，应当依法安装、使用、维护污染物排放自动监测设备，并与生态环境主管部门的监控设备联网。</w:t>
            </w:r>
          </w:p>
          <w:p>
            <w:pPr>
              <w:pStyle w:val="11"/>
              <w:ind w:firstLine="420"/>
              <w:rPr>
                <w:rFonts w:ascii="Times New Roman" w:hAnsi="Times New Roman" w:eastAsia="仿宋_GB2312" w:cs="Times New Roman"/>
                <w:sz w:val="21"/>
                <w:szCs w:val="21"/>
                <w:highlight w:val="none"/>
              </w:rPr>
            </w:pPr>
            <w:r>
              <w:rPr>
                <w:rFonts w:hint="eastAsia" w:ascii="仿宋_GB2312" w:hAnsi="Times New Roman" w:eastAsia="仿宋_GB2312" w:cs="Times New Roman"/>
                <w:sz w:val="21"/>
                <w:szCs w:val="21"/>
                <w:highlight w:val="none"/>
              </w:rPr>
              <w:t>排污单位发现污染物排放自动监测设备传输数据异常的，应当及时报告生态环境主管部门，并进行检查、修复。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Borders>
              <w:top w:val="single" w:color="auto" w:sz="4" w:space="0"/>
              <w:left w:val="single" w:color="auto" w:sz="4" w:space="0"/>
              <w:bottom w:val="single" w:color="auto" w:sz="4" w:space="0"/>
              <w:right w:val="single" w:color="auto" w:sz="4" w:space="0"/>
            </w:tcBorders>
          </w:tcPr>
          <w:p>
            <w:pPr>
              <w:pStyle w:val="11"/>
              <w:ind w:firstLine="420"/>
              <w:rPr>
                <w:rFonts w:ascii="Times New Roman" w:hAnsi="Times New Roman" w:eastAsia="仿宋_GB2312" w:cs="Times New Roman"/>
                <w:sz w:val="21"/>
                <w:szCs w:val="21"/>
                <w:highlight w:val="none"/>
              </w:rPr>
            </w:pPr>
            <w:r>
              <w:rPr>
                <w:rFonts w:hint="eastAsia" w:ascii="仿宋_GB2312" w:hAnsi="Times New Roman" w:eastAsia="仿宋_GB2312" w:cs="Times New Roman"/>
                <w:b/>
                <w:bCs/>
                <w:sz w:val="21"/>
                <w:szCs w:val="21"/>
                <w:highlight w:val="none"/>
              </w:rPr>
              <w:t>《排污许可管理条例》第三十六条第（四）项</w:t>
            </w:r>
            <w:r>
              <w:rPr>
                <w:rFonts w:hint="eastAsia" w:ascii="仿宋" w:hAnsi="仿宋" w:eastAsia="仿宋" w:cs="Times New Roman"/>
                <w:sz w:val="36"/>
                <w:szCs w:val="36"/>
                <w:highlight w:val="none"/>
              </w:rPr>
              <w:t xml:space="preserve"> </w:t>
            </w:r>
            <w:r>
              <w:rPr>
                <w:rFonts w:hint="eastAsia" w:ascii="仿宋_GB2312" w:hAnsi="Times New Roman" w:eastAsia="仿宋_GB2312" w:cs="Times New Roman"/>
                <w:sz w:val="21"/>
                <w:szCs w:val="21"/>
                <w:highlight w:val="none"/>
              </w:rPr>
              <w:t>违反本条例规定，排污单位有下列行为之一的，由生态环境主管部门责令改正，处</w:t>
            </w:r>
            <w:r>
              <w:rPr>
                <w:rFonts w:hint="eastAsia" w:ascii="Times New Roman" w:hAnsi="Times New Roman" w:eastAsia="仿宋_GB2312" w:cs="Times New Roman"/>
                <w:sz w:val="21"/>
                <w:szCs w:val="21"/>
                <w:highlight w:val="none"/>
              </w:rPr>
              <w:t>2</w:t>
            </w:r>
            <w:r>
              <w:rPr>
                <w:rFonts w:hint="eastAsia" w:ascii="仿宋_GB2312" w:hAnsi="Times New Roman" w:eastAsia="仿宋_GB2312" w:cs="Times New Roman"/>
                <w:sz w:val="21"/>
                <w:szCs w:val="21"/>
                <w:highlight w:val="none"/>
              </w:rPr>
              <w:t>万元以上</w:t>
            </w:r>
            <w:r>
              <w:rPr>
                <w:rFonts w:hint="eastAsia" w:ascii="Times New Roman" w:hAnsi="Times New Roman" w:eastAsia="仿宋_GB2312" w:cs="Times New Roman"/>
                <w:sz w:val="21"/>
                <w:szCs w:val="21"/>
                <w:highlight w:val="none"/>
              </w:rPr>
              <w:t>20</w:t>
            </w:r>
            <w:r>
              <w:rPr>
                <w:rFonts w:hint="eastAsia" w:ascii="仿宋_GB2312" w:hAnsi="Times New Roman" w:eastAsia="仿宋_GB2312" w:cs="Times New Roman"/>
                <w:sz w:val="21"/>
                <w:szCs w:val="21"/>
                <w:highlight w:val="none"/>
              </w:rPr>
              <w:t>万元以下的罚款；拒不改正的，责令停产整治：</w:t>
            </w:r>
          </w:p>
          <w:p>
            <w:pPr>
              <w:ind w:firstLine="420" w:firstLineChars="200"/>
              <w:rPr>
                <w:rFonts w:cs="Times New Roman"/>
                <w:highlight w:val="none"/>
              </w:rPr>
            </w:pPr>
            <w:r>
              <w:rPr>
                <w:rFonts w:hint="eastAsia" w:ascii="仿宋_GB2312" w:hAnsi="Times New Roman" w:eastAsia="仿宋_GB2312" w:cs="Times New Roman"/>
                <w:highlight w:val="none"/>
              </w:rPr>
              <w:t>（四）未按照排污许可证规定安装、使用污染物排放自动监测设备并与生态环境主管部门的监控设备联网，或者未保证污染物排放自动监测设备正常运行；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8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违法事实★</w:t>
            </w:r>
          </w:p>
        </w:tc>
        <w:tc>
          <w:tcPr>
            <w:tcW w:w="521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自动监测设备已安装，未按照规定与生态环境主管部门监控设备联网的</w:t>
            </w:r>
          </w:p>
        </w:tc>
        <w:tc>
          <w:tcPr>
            <w:tcW w:w="2689"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仿宋_GB2312"/>
                <w:color w:val="000000"/>
                <w:sz w:val="21"/>
                <w:szCs w:val="21"/>
                <w:highlight w:val="none"/>
              </w:rPr>
              <w:t>自动监测设备安装、运行维护不符合相关技术规范的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color w:val="000000"/>
                <w:sz w:val="21"/>
                <w:szCs w:val="21"/>
                <w:highlight w:val="none"/>
              </w:rPr>
              <w:t>未按照规定安装污染物排放自动监测设备，或者擅自停运部分或全部污染源自动监测设备的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监测数据</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误差</w:t>
            </w: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未保证监测设备正常运行，造成自动监测与人工监测（或者标准物质测试）数据误差超过技术规范允许范围</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倍以内的</w:t>
            </w:r>
          </w:p>
        </w:tc>
        <w:tc>
          <w:tcPr>
            <w:tcW w:w="2689"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未保证监测设备正常运行，造成自动监测与人工监测（或者标准物质测试）数据误差超过技术规范允许范围</w:t>
            </w:r>
            <w:r>
              <w:rPr>
                <w:rFonts w:ascii="Times New Roman" w:hAnsi="Times New Roman" w:eastAsia="仿宋_GB2312" w:cs="Times New Roman"/>
                <w:color w:val="000000"/>
                <w:highlight w:val="none"/>
              </w:rPr>
              <w:t>1</w:t>
            </w:r>
            <w:r>
              <w:rPr>
                <w:rFonts w:hint="eastAsia" w:ascii="Times New Roman" w:hAnsi="Times New Roman" w:eastAsia="仿宋_GB2312" w:cs="仿宋_GB2312"/>
                <w:color w:val="000000"/>
                <w:highlight w:val="none"/>
              </w:rPr>
              <w:t>倍以上</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倍以下的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未保证自动监测设备正常运行，造成自动监测与人工监测（或者标准物质测试）数据误差超过技术规范允许范围</w:t>
            </w:r>
            <w:r>
              <w:rPr>
                <w:rFonts w:ascii="Times New Roman" w:hAnsi="Times New Roman" w:eastAsia="仿宋_GB2312" w:cs="Times New Roman"/>
                <w:color w:val="000000"/>
                <w:highlight w:val="none"/>
              </w:rPr>
              <w:t>2</w:t>
            </w:r>
            <w:r>
              <w:rPr>
                <w:rFonts w:hint="eastAsia" w:ascii="Times New Roman" w:hAnsi="Times New Roman" w:eastAsia="仿宋_GB2312" w:cs="仿宋_GB2312"/>
                <w:color w:val="000000"/>
                <w:highlight w:val="none"/>
              </w:rPr>
              <w:t>倍以上的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监测数据</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传输偏差</w:t>
            </w:r>
          </w:p>
        </w:tc>
        <w:tc>
          <w:tcPr>
            <w:tcW w:w="5213" w:type="dxa"/>
            <w:vAlign w:val="center"/>
          </w:tcPr>
          <w:p>
            <w:pPr>
              <w:snapToGrid w:val="0"/>
              <w:ind w:firstLine="42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传输的自动监测数据与现场分析仪表数据不一致，数据偏差</w:t>
            </w:r>
            <w:r>
              <w:rPr>
                <w:rFonts w:ascii="Times New Roman" w:hAnsi="Times New Roman" w:eastAsia="仿宋_GB2312" w:cs="Times New Roman"/>
                <w:color w:val="000000"/>
                <w:highlight w:val="none"/>
              </w:rPr>
              <w:t>1%-5%</w:t>
            </w:r>
            <w:r>
              <w:rPr>
                <w:rFonts w:hint="eastAsia" w:ascii="Times New Roman" w:hAnsi="Times New Roman" w:eastAsia="仿宋_GB2312" w:cs="仿宋_GB2312"/>
                <w:color w:val="000000"/>
                <w:highlight w:val="none"/>
              </w:rPr>
              <w:t>的</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传输的自动监测数据与现场分析仪表数据不一致，数据偏差</w:t>
            </w:r>
            <w:r>
              <w:rPr>
                <w:rFonts w:ascii="Times New Roman" w:hAnsi="Times New Roman" w:eastAsia="仿宋_GB2312" w:cs="Times New Roman"/>
                <w:color w:val="000000"/>
                <w:highlight w:val="none"/>
              </w:rPr>
              <w:t>5%-10%</w:t>
            </w:r>
            <w:r>
              <w:rPr>
                <w:rFonts w:hint="eastAsia" w:ascii="Times New Roman" w:hAnsi="Times New Roman" w:eastAsia="仿宋_GB2312" w:cs="仿宋_GB2312"/>
                <w:color w:val="000000"/>
                <w:highlight w:val="none"/>
              </w:rPr>
              <w:t>的</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传输的自动监测数据与现场分析仪表数据不一致，数据偏差大于</w:t>
            </w:r>
            <w:r>
              <w:rPr>
                <w:rFonts w:ascii="Times New Roman" w:hAnsi="Times New Roman" w:eastAsia="仿宋_GB2312" w:cs="Times New Roman"/>
                <w:color w:val="000000"/>
                <w:highlight w:val="none"/>
              </w:rPr>
              <w:t>10%</w:t>
            </w:r>
            <w:r>
              <w:rPr>
                <w:rFonts w:hint="eastAsia" w:ascii="Times New Roman" w:hAnsi="Times New Roman" w:eastAsia="仿宋_GB2312" w:cs="仿宋_GB2312"/>
                <w:color w:val="000000"/>
                <w:highlight w:val="none"/>
              </w:rPr>
              <w:t>的</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自动监测</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数据有效</w:t>
            </w:r>
          </w:p>
          <w:p>
            <w:pPr>
              <w:snapToGrid w:val="0"/>
              <w:jc w:val="center"/>
              <w:rPr>
                <w:rFonts w:ascii="Times New Roman" w:hAnsi="Times New Roman" w:cs="Times New Roman"/>
                <w:b/>
                <w:bCs/>
                <w:highlight w:val="none"/>
              </w:rPr>
            </w:pPr>
            <w:r>
              <w:rPr>
                <w:rFonts w:hint="eastAsia" w:ascii="Times New Roman" w:hAnsi="Times New Roman" w:cs="宋体"/>
                <w:b/>
                <w:bCs/>
                <w:highlight w:val="none"/>
              </w:rPr>
              <w:t>传输率</w:t>
            </w:r>
          </w:p>
        </w:tc>
        <w:tc>
          <w:tcPr>
            <w:tcW w:w="5213"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自动监测季度数据有效传输率</w:t>
            </w:r>
            <w:r>
              <w:rPr>
                <w:rFonts w:ascii="Times New Roman" w:hAnsi="Times New Roman" w:eastAsia="仿宋_GB2312" w:cs="Times New Roman"/>
                <w:color w:val="000000"/>
                <w:highlight w:val="none"/>
              </w:rPr>
              <w:t>75%-90%</w:t>
            </w:r>
            <w:r>
              <w:rPr>
                <w:rFonts w:hint="eastAsia" w:ascii="Times New Roman" w:hAnsi="Times New Roman" w:eastAsia="仿宋_GB2312" w:cs="仿宋_GB2312"/>
                <w:color w:val="000000"/>
                <w:highlight w:val="none"/>
              </w:rPr>
              <w:t>的</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自动监测季度数据有效传输率</w:t>
            </w:r>
            <w:r>
              <w:rPr>
                <w:rFonts w:ascii="Times New Roman" w:hAnsi="Times New Roman" w:eastAsia="仿宋_GB2312" w:cs="Times New Roman"/>
                <w:color w:val="000000"/>
                <w:highlight w:val="none"/>
              </w:rPr>
              <w:t>60%-75%</w:t>
            </w:r>
            <w:r>
              <w:rPr>
                <w:rFonts w:hint="eastAsia" w:ascii="Times New Roman" w:hAnsi="Times New Roman" w:eastAsia="仿宋_GB2312" w:cs="仿宋_GB2312"/>
                <w:color w:val="000000"/>
                <w:highlight w:val="none"/>
              </w:rPr>
              <w:t>的</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自动监测季度数据有效传输率低于</w:t>
            </w:r>
            <w:r>
              <w:rPr>
                <w:rFonts w:ascii="Times New Roman" w:hAnsi="Times New Roman" w:eastAsia="仿宋_GB2312" w:cs="Times New Roman"/>
                <w:color w:val="000000"/>
                <w:highlight w:val="none"/>
              </w:rPr>
              <w:t>60%</w:t>
            </w:r>
            <w:r>
              <w:rPr>
                <w:rFonts w:hint="eastAsia" w:ascii="Times New Roman" w:hAnsi="Times New Roman" w:eastAsia="仿宋_GB2312" w:cs="仿宋_GB2312"/>
                <w:color w:val="000000"/>
                <w:highlight w:val="none"/>
              </w:rPr>
              <w:t>的</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vAlign w:val="center"/>
          </w:tcPr>
          <w:p>
            <w:pPr>
              <w:snapToGrid w:val="0"/>
              <w:ind w:firstLine="420"/>
              <w:jc w:val="center"/>
              <w:rPr>
                <w:rFonts w:ascii="Times New Roman" w:hAnsi="Times New Roman" w:cs="Times New Roman"/>
                <w:highlight w:val="none"/>
              </w:rPr>
            </w:pPr>
          </w:p>
        </w:tc>
      </w:tr>
    </w:tbl>
    <w:p>
      <w:pPr>
        <w:rPr>
          <w:rFonts w:ascii="Times New Roman" w:hAnsi="Times New Roman" w:eastAsia="仿宋_GB2312" w:cs="Times New Roman"/>
          <w:sz w:val="32"/>
          <w:szCs w:val="32"/>
          <w:highlight w:val="none"/>
        </w:rPr>
      </w:pP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463"/>
        <w:gridCol w:w="2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（八）其他类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0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02" w:type="dxa"/>
            <w:gridSpan w:val="2"/>
            <w:tcBorders>
              <w:top w:val="single" w:color="auto" w:sz="4" w:space="0"/>
              <w:left w:val="single" w:color="auto" w:sz="4" w:space="0"/>
              <w:bottom w:val="single" w:color="auto" w:sz="4" w:space="0"/>
              <w:right w:val="single" w:color="auto" w:sz="4" w:space="0"/>
            </w:tcBorders>
            <w:vAlign w:val="center"/>
          </w:tcPr>
          <w:p>
            <w:pPr>
              <w:pStyle w:val="36"/>
              <w:ind w:firstLine="480"/>
              <w:rPr>
                <w:color w:val="000000"/>
                <w:highlight w:val="none"/>
              </w:rPr>
            </w:pPr>
            <w:r>
              <w:rPr>
                <w:rFonts w:hint="eastAsia" w:ascii="仿宋_GB2312" w:eastAsia="仿宋_GB2312"/>
                <w:color w:val="000000"/>
                <w:highlight w:val="none"/>
              </w:rPr>
              <w:t>未按照排污许可证规定制定自行监测方案并开展自行监测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Borders>
              <w:top w:val="single" w:color="auto" w:sz="4" w:space="0"/>
              <w:left w:val="single" w:color="auto" w:sz="4" w:space="0"/>
              <w:bottom w:val="single" w:color="auto" w:sz="4" w:space="0"/>
              <w:right w:val="single" w:color="auto" w:sz="4" w:space="0"/>
            </w:tcBorders>
          </w:tcPr>
          <w:p>
            <w:pPr>
              <w:pStyle w:val="11"/>
              <w:ind w:firstLine="420"/>
              <w:rPr>
                <w:rFonts w:ascii="仿宋_GB2312" w:hAnsi="Times New Roman" w:eastAsia="仿宋_GB2312" w:cs="Times New Roman"/>
                <w:sz w:val="21"/>
                <w:szCs w:val="21"/>
                <w:highlight w:val="none"/>
              </w:rPr>
            </w:pPr>
            <w:r>
              <w:rPr>
                <w:rFonts w:hint="eastAsia" w:ascii="仿宋_GB2312" w:hAnsi="Times New Roman" w:eastAsia="仿宋_GB2312" w:cs="Times New Roman"/>
                <w:b/>
                <w:bCs/>
                <w:sz w:val="21"/>
                <w:szCs w:val="21"/>
                <w:highlight w:val="none"/>
              </w:rPr>
              <w:t>1.《排污许可管理条例》第十九条第一款</w:t>
            </w:r>
            <w:r>
              <w:rPr>
                <w:rFonts w:ascii="Times New Roman" w:hAnsi="Times New Roman" w:eastAsia="仿宋_GB2312" w:cs="Times New Roman"/>
                <w:sz w:val="21"/>
                <w:szCs w:val="21"/>
                <w:highlight w:val="none"/>
              </w:rPr>
              <w:t xml:space="preserve"> </w:t>
            </w:r>
            <w:r>
              <w:rPr>
                <w:rFonts w:hint="eastAsia" w:ascii="仿宋_GB2312" w:hAnsi="Times New Roman" w:eastAsia="仿宋_GB2312" w:cs="Times New Roman"/>
                <w:sz w:val="21"/>
                <w:szCs w:val="21"/>
                <w:highlight w:val="none"/>
              </w:rPr>
              <w:t>排污单位应当按照排污许可证规定和有关标准规范，依法开展自行监测，并保存原始监测记录。原始监测记录保存期限不得少于</w:t>
            </w:r>
            <w:r>
              <w:rPr>
                <w:rFonts w:hint="eastAsia" w:ascii="Times New Roman" w:hAnsi="Times New Roman" w:eastAsia="仿宋_GB2312" w:cs="Times New Roman"/>
                <w:sz w:val="21"/>
                <w:szCs w:val="21"/>
                <w:highlight w:val="none"/>
              </w:rPr>
              <w:t>5</w:t>
            </w:r>
            <w:r>
              <w:rPr>
                <w:rFonts w:hint="eastAsia" w:ascii="仿宋_GB2312" w:hAnsi="Times New Roman" w:eastAsia="仿宋_GB2312" w:cs="Times New Roman"/>
                <w:sz w:val="21"/>
                <w:szCs w:val="21"/>
                <w:highlight w:val="none"/>
              </w:rPr>
              <w:t>年。</w:t>
            </w:r>
          </w:p>
          <w:p>
            <w:pPr>
              <w:pStyle w:val="11"/>
              <w:ind w:firstLine="420"/>
              <w:rPr>
                <w:rFonts w:ascii="Times New Roman" w:hAnsi="Times New Roman" w:eastAsia="仿宋_GB2312" w:cs="Times New Roman"/>
                <w:sz w:val="21"/>
                <w:szCs w:val="21"/>
                <w:highlight w:val="none"/>
              </w:rPr>
            </w:pPr>
            <w:r>
              <w:rPr>
                <w:rFonts w:hint="eastAsia" w:ascii="仿宋_GB2312" w:hAnsi="Times New Roman" w:eastAsia="仿宋_GB2312" w:cs="Times New Roman"/>
                <w:b/>
                <w:bCs/>
                <w:sz w:val="21"/>
                <w:szCs w:val="21"/>
                <w:highlight w:val="none"/>
              </w:rPr>
              <w:t>2.《中华</w:t>
            </w:r>
            <w:r>
              <w:rPr>
                <w:rFonts w:ascii="仿宋_GB2312" w:hAnsi="Times New Roman" w:eastAsia="仿宋_GB2312" w:cs="Times New Roman"/>
                <w:b/>
                <w:bCs/>
                <w:sz w:val="21"/>
                <w:szCs w:val="21"/>
                <w:highlight w:val="none"/>
              </w:rPr>
              <w:t>人民共和国噪声污染防治法</w:t>
            </w:r>
            <w:r>
              <w:rPr>
                <w:rFonts w:hint="eastAsia" w:ascii="仿宋_GB2312" w:hAnsi="Times New Roman" w:eastAsia="仿宋_GB2312" w:cs="Times New Roman"/>
                <w:b/>
                <w:bCs/>
                <w:sz w:val="21"/>
                <w:szCs w:val="21"/>
                <w:highlight w:val="none"/>
              </w:rPr>
              <w:t>》第三十八条第一款</w:t>
            </w:r>
            <w:r>
              <w:rPr>
                <w:rFonts w:hint="eastAsia" w:ascii="仿宋_GB2312" w:hAnsi="Times New Roman" w:eastAsia="仿宋_GB2312" w:cs="Times New Roman"/>
                <w:sz w:val="21"/>
                <w:szCs w:val="21"/>
                <w:highlight w:val="none"/>
              </w:rPr>
              <w:t xml:space="preserve">  实行排污许可管理的单位应当按照规定，对工业噪声开展自行监测，保存原始监测记录，向社会公开监测结果，对监测数据的真实性和准确性负责。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Borders>
              <w:top w:val="single" w:color="auto" w:sz="4" w:space="0"/>
              <w:left w:val="single" w:color="auto" w:sz="4" w:space="0"/>
              <w:bottom w:val="single" w:color="auto" w:sz="4" w:space="0"/>
              <w:right w:val="single" w:color="auto" w:sz="4" w:space="0"/>
            </w:tcBorders>
          </w:tcPr>
          <w:p>
            <w:pPr>
              <w:pStyle w:val="11"/>
              <w:ind w:firstLine="420"/>
              <w:rPr>
                <w:rFonts w:ascii="Times New Roman" w:hAnsi="Times New Roman" w:eastAsia="仿宋_GB2312" w:cs="Times New Roman"/>
                <w:sz w:val="21"/>
                <w:szCs w:val="21"/>
                <w:highlight w:val="none"/>
              </w:rPr>
            </w:pPr>
            <w:r>
              <w:rPr>
                <w:rFonts w:hint="eastAsia" w:ascii="仿宋_GB2312" w:hAnsi="Times New Roman" w:eastAsia="仿宋_GB2312" w:cs="Times New Roman"/>
                <w:b/>
                <w:bCs/>
                <w:sz w:val="21"/>
                <w:szCs w:val="21"/>
                <w:highlight w:val="none"/>
              </w:rPr>
              <w:t>1.《排污许可管理条例》第三十六条第（五）项</w:t>
            </w:r>
            <w:r>
              <w:rPr>
                <w:rFonts w:hint="eastAsia" w:ascii="仿宋" w:hAnsi="仿宋" w:eastAsia="仿宋" w:cs="Times New Roman"/>
                <w:sz w:val="36"/>
                <w:szCs w:val="36"/>
                <w:highlight w:val="none"/>
              </w:rPr>
              <w:t xml:space="preserve"> </w:t>
            </w:r>
            <w:r>
              <w:rPr>
                <w:rFonts w:hint="eastAsia" w:ascii="仿宋_GB2312" w:hAnsi="Times New Roman" w:eastAsia="仿宋_GB2312" w:cs="Times New Roman"/>
                <w:sz w:val="21"/>
                <w:szCs w:val="21"/>
                <w:highlight w:val="none"/>
              </w:rPr>
              <w:t>违反本条例规定，排污单位有下列行为之一的，由生态环境主管部门责令改正，处</w:t>
            </w:r>
            <w:r>
              <w:rPr>
                <w:rFonts w:hint="eastAsia" w:ascii="Times New Roman" w:hAnsi="Times New Roman" w:eastAsia="仿宋_GB2312" w:cs="Times New Roman"/>
                <w:sz w:val="21"/>
                <w:szCs w:val="21"/>
                <w:highlight w:val="none"/>
              </w:rPr>
              <w:t>2</w:t>
            </w:r>
            <w:r>
              <w:rPr>
                <w:rFonts w:hint="eastAsia" w:ascii="仿宋_GB2312" w:hAnsi="Times New Roman" w:eastAsia="仿宋_GB2312" w:cs="Times New Roman"/>
                <w:sz w:val="21"/>
                <w:szCs w:val="21"/>
                <w:highlight w:val="none"/>
              </w:rPr>
              <w:t>万元以上</w:t>
            </w:r>
            <w:r>
              <w:rPr>
                <w:rFonts w:hint="eastAsia" w:ascii="Times New Roman" w:hAnsi="Times New Roman" w:eastAsia="仿宋_GB2312" w:cs="Times New Roman"/>
                <w:sz w:val="21"/>
                <w:szCs w:val="21"/>
                <w:highlight w:val="none"/>
              </w:rPr>
              <w:t>20</w:t>
            </w:r>
            <w:r>
              <w:rPr>
                <w:rFonts w:hint="eastAsia" w:ascii="仿宋_GB2312" w:hAnsi="Times New Roman" w:eastAsia="仿宋_GB2312" w:cs="Times New Roman"/>
                <w:sz w:val="21"/>
                <w:szCs w:val="21"/>
                <w:highlight w:val="none"/>
              </w:rPr>
              <w:t>万元以下的罚款；拒不改正的，责令停产整治：</w:t>
            </w:r>
          </w:p>
          <w:p>
            <w:pPr>
              <w:numPr>
                <w:ilvl w:val="0"/>
                <w:numId w:val="2"/>
              </w:numPr>
              <w:rPr>
                <w:rFonts w:ascii="仿宋_GB2312" w:hAnsi="Times New Roman" w:eastAsia="仿宋_GB2312" w:cs="Times New Roman"/>
                <w:highlight w:val="none"/>
              </w:rPr>
            </w:pPr>
            <w:r>
              <w:rPr>
                <w:rFonts w:hint="eastAsia" w:ascii="仿宋_GB2312" w:hAnsi="Times New Roman" w:eastAsia="仿宋_GB2312" w:cs="Times New Roman"/>
                <w:highlight w:val="none"/>
              </w:rPr>
              <w:t>未按照排污许可证规定制定自行监测方案并开展自行监测；</w:t>
            </w:r>
          </w:p>
          <w:p>
            <w:pPr>
              <w:ind w:firstLine="422" w:firstLineChars="200"/>
              <w:rPr>
                <w:rFonts w:ascii="仿宋_GB2312" w:hAnsi="Times New Roman" w:eastAsia="仿宋_GB2312" w:cs="Times New Roman"/>
                <w:highlight w:val="none"/>
              </w:rPr>
            </w:pPr>
            <w:r>
              <w:rPr>
                <w:rFonts w:hint="eastAsia" w:ascii="仿宋_GB2312" w:hAnsi="Times New Roman" w:eastAsia="仿宋_GB2312" w:cs="Times New Roman"/>
                <w:b/>
                <w:bCs/>
                <w:kern w:val="0"/>
                <w:highlight w:val="none"/>
              </w:rPr>
              <w:t>2.《中华</w:t>
            </w:r>
            <w:r>
              <w:rPr>
                <w:rFonts w:ascii="仿宋_GB2312" w:hAnsi="Times New Roman" w:eastAsia="仿宋_GB2312" w:cs="Times New Roman"/>
                <w:b/>
                <w:bCs/>
                <w:kern w:val="0"/>
                <w:highlight w:val="none"/>
              </w:rPr>
              <w:t>人民共和国噪声污染防治法</w:t>
            </w:r>
            <w:r>
              <w:rPr>
                <w:rFonts w:hint="eastAsia" w:ascii="仿宋_GB2312" w:hAnsi="Times New Roman" w:eastAsia="仿宋_GB2312" w:cs="Times New Roman"/>
                <w:b/>
                <w:bCs/>
                <w:kern w:val="0"/>
                <w:highlight w:val="none"/>
              </w:rPr>
              <w:t>》第七十六条</w:t>
            </w:r>
            <w:r>
              <w:rPr>
                <w:rFonts w:ascii="仿宋_GB2312" w:hAnsi="Times New Roman" w:eastAsia="仿宋_GB2312" w:cs="Times New Roman"/>
                <w:b/>
                <w:bCs/>
                <w:kern w:val="0"/>
                <w:highlight w:val="none"/>
              </w:rPr>
              <w:t>第（</w:t>
            </w:r>
            <w:r>
              <w:rPr>
                <w:rFonts w:hint="eastAsia" w:ascii="仿宋_GB2312" w:hAnsi="Times New Roman" w:eastAsia="仿宋_GB2312" w:cs="Times New Roman"/>
                <w:b/>
                <w:bCs/>
                <w:kern w:val="0"/>
                <w:highlight w:val="none"/>
              </w:rPr>
              <w:t>一</w:t>
            </w:r>
            <w:r>
              <w:rPr>
                <w:rFonts w:ascii="仿宋_GB2312" w:hAnsi="Times New Roman" w:eastAsia="仿宋_GB2312" w:cs="Times New Roman"/>
                <w:b/>
                <w:bCs/>
                <w:kern w:val="0"/>
                <w:highlight w:val="none"/>
              </w:rPr>
              <w:t>）</w:t>
            </w:r>
            <w:r>
              <w:rPr>
                <w:rFonts w:hint="eastAsia" w:ascii="仿宋_GB2312" w:hAnsi="Times New Roman" w:eastAsia="仿宋_GB2312" w:cs="Times New Roman"/>
                <w:b/>
                <w:bCs/>
                <w:kern w:val="0"/>
                <w:highlight w:val="none"/>
              </w:rPr>
              <w:t xml:space="preserve">项 </w:t>
            </w:r>
            <w:r>
              <w:rPr>
                <w:rFonts w:hint="eastAsia" w:ascii="仿宋_GB2312" w:hAnsi="Times New Roman" w:eastAsia="仿宋_GB2312" w:cs="Times New Roman"/>
                <w:highlight w:val="none"/>
              </w:rPr>
              <w:t xml:space="preserve"> 违反本法规定，有下列行为之一，由生态环境主管部门责令改正，处二万元以上二十万元以下的罚款；拒不改正的，责令限制生产、停产整治：</w:t>
            </w:r>
          </w:p>
          <w:p>
            <w:pPr>
              <w:ind w:firstLine="420" w:firstLineChars="200"/>
              <w:rPr>
                <w:rFonts w:cs="Times New Roman"/>
                <w:highlight w:val="none"/>
              </w:rPr>
            </w:pPr>
            <w:r>
              <w:rPr>
                <w:rFonts w:hint="eastAsia" w:ascii="仿宋_GB2312" w:hAnsi="Times New Roman" w:eastAsia="仿宋_GB2312" w:cs="Times New Roman"/>
                <w:highlight w:val="none"/>
              </w:rPr>
              <w:t>（一）实行排污许可管理的单位未按照规定对工业噪声开展自行监测，未保存原始监测记录，或者未向社会公开监测结果的。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46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43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Times New Roman"/>
                <w:b/>
                <w:bCs/>
                <w:highlight w:val="none"/>
              </w:rPr>
              <w:t>违法事实</w:t>
            </w:r>
            <w:r>
              <w:rPr>
                <w:rFonts w:hint="eastAsia" w:ascii="Times New Roman" w:hAnsi="Times New Roman" w:cs="宋体"/>
                <w:b/>
                <w:bCs/>
                <w:color w:val="000000"/>
                <w:highlight w:val="none"/>
              </w:rPr>
              <w:t>★</w:t>
            </w:r>
          </w:p>
        </w:tc>
        <w:tc>
          <w:tcPr>
            <w:tcW w:w="546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按规定</w:t>
            </w:r>
            <w:r>
              <w:rPr>
                <w:rFonts w:ascii="Times New Roman" w:hAnsi="Times New Roman" w:eastAsia="仿宋_GB2312" w:cs="Times New Roman"/>
                <w:highlight w:val="none"/>
              </w:rPr>
              <w:t>进行了监测，原始检测记录</w:t>
            </w:r>
            <w:r>
              <w:rPr>
                <w:rFonts w:hint="eastAsia" w:ascii="Times New Roman" w:hAnsi="Times New Roman" w:eastAsia="仿宋_GB2312" w:cs="Times New Roman"/>
                <w:highlight w:val="none"/>
              </w:rPr>
              <w:t>70%以上</w:t>
            </w:r>
            <w:r>
              <w:rPr>
                <w:rFonts w:ascii="Times New Roman" w:hAnsi="Times New Roman" w:eastAsia="仿宋_GB2312" w:cs="Times New Roman"/>
                <w:highlight w:val="none"/>
              </w:rPr>
              <w:t>不足</w:t>
            </w:r>
            <w:r>
              <w:rPr>
                <w:rFonts w:hint="eastAsia" w:ascii="Times New Roman" w:hAnsi="Times New Roman" w:eastAsia="仿宋_GB2312" w:cs="Times New Roman"/>
                <w:highlight w:val="none"/>
              </w:rPr>
              <w:t>100%</w:t>
            </w:r>
          </w:p>
        </w:tc>
        <w:tc>
          <w:tcPr>
            <w:tcW w:w="243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46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进行了</w:t>
            </w:r>
            <w:r>
              <w:rPr>
                <w:rFonts w:ascii="Times New Roman" w:hAnsi="Times New Roman" w:eastAsia="仿宋_GB2312" w:cs="Times New Roman"/>
                <w:highlight w:val="none"/>
              </w:rPr>
              <w:t>监测但监测不符合规定，或原始检测记录不足</w:t>
            </w:r>
            <w:r>
              <w:rPr>
                <w:rFonts w:hint="eastAsia" w:ascii="Times New Roman" w:hAnsi="Times New Roman" w:eastAsia="仿宋_GB2312" w:cs="Times New Roman"/>
                <w:highlight w:val="none"/>
              </w:rPr>
              <w:t>70%</w:t>
            </w:r>
          </w:p>
        </w:tc>
        <w:tc>
          <w:tcPr>
            <w:tcW w:w="243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46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未监测或未保存</w:t>
            </w:r>
            <w:r>
              <w:rPr>
                <w:rFonts w:ascii="Times New Roman" w:hAnsi="Times New Roman" w:eastAsia="仿宋_GB2312" w:cs="Times New Roman"/>
                <w:highlight w:val="none"/>
              </w:rPr>
              <w:t>监测记录的</w:t>
            </w:r>
          </w:p>
        </w:tc>
        <w:tc>
          <w:tcPr>
            <w:tcW w:w="243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Times New Roman"/>
                <w:b/>
                <w:bCs/>
                <w:color w:val="000000"/>
                <w:highlight w:val="none"/>
              </w:rPr>
              <w:t>排污单位</w:t>
            </w:r>
          </w:p>
          <w:p>
            <w:pPr>
              <w:snapToGrid w:val="0"/>
              <w:jc w:val="center"/>
              <w:rPr>
                <w:rFonts w:ascii="Times New Roman" w:hAnsi="Times New Roman" w:cs="Times New Roman"/>
                <w:b/>
                <w:bCs/>
                <w:color w:val="000000"/>
                <w:highlight w:val="none"/>
              </w:rPr>
            </w:pPr>
            <w:r>
              <w:rPr>
                <w:rFonts w:ascii="Times New Roman" w:hAnsi="Times New Roman" w:cs="Times New Roman"/>
                <w:b/>
                <w:bCs/>
                <w:color w:val="000000"/>
                <w:highlight w:val="none"/>
              </w:rPr>
              <w:t>管理类别</w:t>
            </w:r>
          </w:p>
        </w:tc>
        <w:tc>
          <w:tcPr>
            <w:tcW w:w="5463" w:type="dxa"/>
            <w:vAlign w:val="center"/>
          </w:tcPr>
          <w:p>
            <w:pPr>
              <w:pStyle w:val="11"/>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sz w:val="21"/>
                <w:szCs w:val="21"/>
                <w:highlight w:val="none"/>
              </w:rPr>
              <w:t>简化</w:t>
            </w:r>
            <w:r>
              <w:rPr>
                <w:rFonts w:ascii="Times New Roman" w:hAnsi="Times New Roman" w:eastAsia="仿宋_GB2312" w:cs="Times New Roman"/>
                <w:color w:val="000000"/>
                <w:sz w:val="21"/>
                <w:szCs w:val="21"/>
                <w:highlight w:val="none"/>
              </w:rPr>
              <w:t>管理</w:t>
            </w:r>
          </w:p>
        </w:tc>
        <w:tc>
          <w:tcPr>
            <w:tcW w:w="2439"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463" w:type="dxa"/>
            <w:vAlign w:val="center"/>
          </w:tcPr>
          <w:p>
            <w:pPr>
              <w:pStyle w:val="12"/>
              <w:snapToGrid w:val="0"/>
              <w:spacing w:before="0" w:beforeAutospacing="0" w:after="0" w:afterAutospacing="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sz w:val="21"/>
                <w:szCs w:val="21"/>
                <w:highlight w:val="none"/>
              </w:rPr>
              <w:t>重点</w:t>
            </w:r>
            <w:r>
              <w:rPr>
                <w:rFonts w:ascii="Times New Roman" w:hAnsi="Times New Roman" w:eastAsia="仿宋_GB2312" w:cs="Times New Roman"/>
                <w:color w:val="000000"/>
                <w:sz w:val="21"/>
                <w:szCs w:val="21"/>
                <w:highlight w:val="none"/>
              </w:rPr>
              <w:t>管理</w:t>
            </w:r>
          </w:p>
        </w:tc>
        <w:tc>
          <w:tcPr>
            <w:tcW w:w="2439"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46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Times New Roman"/>
                <w:color w:val="000000"/>
                <w:sz w:val="21"/>
                <w:szCs w:val="21"/>
                <w:highlight w:val="none"/>
              </w:rPr>
              <w:t>重点管理（化工、电镀、皮革、造纸、制浆、冶炼、放射性、印染、染料、炼焦、炼油项目）</w:t>
            </w:r>
          </w:p>
        </w:tc>
        <w:tc>
          <w:tcPr>
            <w:tcW w:w="243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Times New Roman"/>
                <w:b/>
                <w:bCs/>
                <w:highlight w:val="none"/>
              </w:rPr>
              <w:t>违法行为</w:t>
            </w:r>
            <w:r>
              <w:rPr>
                <w:rFonts w:ascii="Times New Roman" w:hAnsi="Times New Roman" w:cs="Times New Roman"/>
                <w:b/>
                <w:bCs/>
                <w:highlight w:val="none"/>
              </w:rPr>
              <w:t>持续时间</w:t>
            </w:r>
          </w:p>
        </w:tc>
        <w:tc>
          <w:tcPr>
            <w:tcW w:w="5463" w:type="dxa"/>
            <w:vAlign w:val="center"/>
          </w:tcPr>
          <w:p>
            <w:pPr>
              <w:snapToGrid w:val="0"/>
              <w:ind w:firstLine="42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不满3个月</w:t>
            </w:r>
          </w:p>
        </w:tc>
        <w:tc>
          <w:tcPr>
            <w:tcW w:w="2439"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463"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3个月</w:t>
            </w:r>
            <w:r>
              <w:rPr>
                <w:rFonts w:ascii="Times New Roman" w:hAnsi="Times New Roman" w:eastAsia="仿宋_GB2312" w:cs="仿宋_GB2312"/>
                <w:color w:val="000000"/>
                <w:highlight w:val="none"/>
              </w:rPr>
              <w:t>以上不满</w:t>
            </w:r>
            <w:r>
              <w:rPr>
                <w:rFonts w:hint="eastAsia" w:ascii="Times New Roman" w:hAnsi="Times New Roman" w:eastAsia="仿宋_GB2312" w:cs="仿宋_GB2312"/>
                <w:color w:val="000000"/>
                <w:highlight w:val="none"/>
              </w:rPr>
              <w:t>6个月</w:t>
            </w:r>
          </w:p>
        </w:tc>
        <w:tc>
          <w:tcPr>
            <w:tcW w:w="2439"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463"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6个月</w:t>
            </w:r>
            <w:r>
              <w:rPr>
                <w:rFonts w:ascii="Times New Roman" w:hAnsi="Times New Roman" w:eastAsia="仿宋_GB2312" w:cs="仿宋_GB2312"/>
                <w:color w:val="000000"/>
                <w:highlight w:val="none"/>
              </w:rPr>
              <w:t>以上不满</w:t>
            </w:r>
            <w:r>
              <w:rPr>
                <w:rFonts w:hint="eastAsia" w:ascii="Times New Roman" w:hAnsi="Times New Roman" w:eastAsia="仿宋_GB2312" w:cs="仿宋_GB2312"/>
                <w:color w:val="000000"/>
                <w:highlight w:val="none"/>
              </w:rPr>
              <w:t>9个月</w:t>
            </w:r>
          </w:p>
        </w:tc>
        <w:tc>
          <w:tcPr>
            <w:tcW w:w="2439"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46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9个月</w:t>
            </w:r>
            <w:r>
              <w:rPr>
                <w:rFonts w:ascii="Times New Roman" w:hAnsi="Times New Roman" w:eastAsia="仿宋_GB2312" w:cs="Times New Roman"/>
                <w:highlight w:val="none"/>
              </w:rPr>
              <w:t>以上不满</w:t>
            </w:r>
            <w:r>
              <w:rPr>
                <w:rFonts w:hint="eastAsia" w:ascii="Times New Roman" w:hAnsi="Times New Roman" w:eastAsia="仿宋_GB2312" w:cs="Times New Roman"/>
                <w:highlight w:val="none"/>
              </w:rPr>
              <w:t>12个月</w:t>
            </w:r>
          </w:p>
        </w:tc>
        <w:tc>
          <w:tcPr>
            <w:tcW w:w="243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46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12个月</w:t>
            </w:r>
            <w:r>
              <w:rPr>
                <w:rFonts w:ascii="Times New Roman" w:hAnsi="Times New Roman" w:eastAsia="仿宋_GB2312" w:cs="Times New Roman"/>
                <w:highlight w:val="none"/>
              </w:rPr>
              <w:t>以上</w:t>
            </w:r>
          </w:p>
        </w:tc>
        <w:tc>
          <w:tcPr>
            <w:tcW w:w="243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vAlign w:val="center"/>
          </w:tcPr>
          <w:p>
            <w:pPr>
              <w:snapToGrid w:val="0"/>
              <w:ind w:firstLine="420"/>
              <w:jc w:val="center"/>
              <w:rPr>
                <w:rFonts w:ascii="Times New Roman" w:hAnsi="Times New Roman" w:cs="Times New Roman"/>
                <w:highlight w:val="none"/>
              </w:rPr>
            </w:pPr>
          </w:p>
        </w:tc>
      </w:tr>
    </w:tbl>
    <w:p>
      <w:pPr>
        <w:jc w:val="center"/>
        <w:rPr>
          <w:rFonts w:ascii="Times New Roman" w:hAnsi="Times New Roman" w:eastAsia="仿宋_GB2312" w:cs="Times New Roman"/>
          <w:sz w:val="32"/>
          <w:szCs w:val="32"/>
          <w:highlight w:val="none"/>
        </w:rPr>
      </w:pPr>
    </w:p>
    <w:p>
      <w:pPr>
        <w:rPr>
          <w:rFonts w:ascii="Times New Roman" w:hAnsi="Times New Roman" w:eastAsia="仿宋_GB2312" w:cs="Times New Roman"/>
          <w:sz w:val="32"/>
          <w:szCs w:val="32"/>
          <w:highlight w:val="none"/>
        </w:rPr>
      </w:pP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（八）其他类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0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02" w:type="dxa"/>
            <w:gridSpan w:val="2"/>
            <w:tcBorders>
              <w:top w:val="single" w:color="auto" w:sz="4" w:space="0"/>
              <w:left w:val="single" w:color="auto" w:sz="4" w:space="0"/>
              <w:bottom w:val="single" w:color="auto" w:sz="4" w:space="0"/>
              <w:right w:val="single" w:color="auto" w:sz="4" w:space="0"/>
            </w:tcBorders>
            <w:vAlign w:val="center"/>
          </w:tcPr>
          <w:p>
            <w:pPr>
              <w:pStyle w:val="36"/>
              <w:ind w:firstLine="480"/>
              <w:rPr>
                <w:color w:val="000000"/>
                <w:highlight w:val="none"/>
              </w:rPr>
            </w:pPr>
            <w:r>
              <w:rPr>
                <w:rFonts w:hint="eastAsia" w:ascii="仿宋_GB2312" w:eastAsia="仿宋_GB2312"/>
                <w:color w:val="000000"/>
                <w:kern w:val="0"/>
                <w:highlight w:val="none"/>
              </w:rPr>
              <w:t>未按照排污许可证规定保存原始监测记录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Borders>
              <w:top w:val="single" w:color="auto" w:sz="4" w:space="0"/>
              <w:left w:val="single" w:color="auto" w:sz="4" w:space="0"/>
              <w:bottom w:val="single" w:color="auto" w:sz="4" w:space="0"/>
              <w:right w:val="single" w:color="auto" w:sz="4" w:space="0"/>
            </w:tcBorders>
          </w:tcPr>
          <w:p>
            <w:pPr>
              <w:pStyle w:val="11"/>
              <w:ind w:firstLine="420"/>
              <w:rPr>
                <w:rFonts w:ascii="仿宋_GB2312" w:hAnsi="Times New Roman" w:eastAsia="仿宋_GB2312" w:cs="Times New Roman"/>
                <w:sz w:val="21"/>
                <w:szCs w:val="21"/>
                <w:highlight w:val="none"/>
              </w:rPr>
            </w:pPr>
            <w:r>
              <w:rPr>
                <w:rFonts w:hint="eastAsia" w:ascii="仿宋_GB2312" w:hAnsi="Times New Roman" w:eastAsia="仿宋_GB2312" w:cs="Times New Roman"/>
                <w:b/>
                <w:bCs/>
                <w:sz w:val="21"/>
                <w:szCs w:val="21"/>
                <w:highlight w:val="none"/>
              </w:rPr>
              <w:t>1.《排污许可管理条例》第十九条第一款</w:t>
            </w:r>
            <w:r>
              <w:rPr>
                <w:rFonts w:ascii="Times New Roman" w:hAnsi="Times New Roman" w:eastAsia="仿宋_GB2312" w:cs="Times New Roman"/>
                <w:sz w:val="21"/>
                <w:szCs w:val="21"/>
                <w:highlight w:val="none"/>
              </w:rPr>
              <w:t xml:space="preserve"> </w:t>
            </w:r>
            <w:r>
              <w:rPr>
                <w:rFonts w:hint="eastAsia" w:ascii="仿宋_GB2312" w:hAnsi="Times New Roman" w:eastAsia="仿宋_GB2312" w:cs="Times New Roman"/>
                <w:sz w:val="21"/>
                <w:szCs w:val="21"/>
                <w:highlight w:val="none"/>
              </w:rPr>
              <w:t>排污单位应当按照排污许可证规定和有关标准规范，依法开展自行监测，并保存原始监测记录。原始监测记录保存期限不得少于</w:t>
            </w:r>
            <w:r>
              <w:rPr>
                <w:rFonts w:hint="eastAsia" w:ascii="Times New Roman" w:hAnsi="Times New Roman" w:eastAsia="仿宋_GB2312" w:cs="Times New Roman"/>
                <w:sz w:val="21"/>
                <w:szCs w:val="21"/>
                <w:highlight w:val="none"/>
              </w:rPr>
              <w:t>5</w:t>
            </w:r>
            <w:r>
              <w:rPr>
                <w:rFonts w:hint="eastAsia" w:ascii="仿宋_GB2312" w:hAnsi="Times New Roman" w:eastAsia="仿宋_GB2312" w:cs="Times New Roman"/>
                <w:sz w:val="21"/>
                <w:szCs w:val="21"/>
                <w:highlight w:val="none"/>
              </w:rPr>
              <w:t>年。</w:t>
            </w:r>
          </w:p>
          <w:p>
            <w:pPr>
              <w:pStyle w:val="11"/>
              <w:ind w:firstLine="420"/>
              <w:rPr>
                <w:rFonts w:ascii="Times New Roman" w:hAnsi="Times New Roman" w:eastAsia="仿宋_GB2312" w:cs="Times New Roman"/>
                <w:sz w:val="21"/>
                <w:szCs w:val="21"/>
                <w:highlight w:val="none"/>
              </w:rPr>
            </w:pPr>
            <w:r>
              <w:rPr>
                <w:rFonts w:hint="eastAsia" w:ascii="仿宋_GB2312" w:hAnsi="Times New Roman" w:eastAsia="仿宋_GB2312" w:cs="Times New Roman"/>
                <w:b/>
                <w:bCs/>
                <w:sz w:val="21"/>
                <w:szCs w:val="21"/>
                <w:highlight w:val="none"/>
              </w:rPr>
              <w:t>2.《中华</w:t>
            </w:r>
            <w:r>
              <w:rPr>
                <w:rFonts w:ascii="仿宋_GB2312" w:hAnsi="Times New Roman" w:eastAsia="仿宋_GB2312" w:cs="Times New Roman"/>
                <w:b/>
                <w:bCs/>
                <w:sz w:val="21"/>
                <w:szCs w:val="21"/>
                <w:highlight w:val="none"/>
              </w:rPr>
              <w:t>人民共和国噪声污染防治法</w:t>
            </w:r>
            <w:r>
              <w:rPr>
                <w:rFonts w:hint="eastAsia" w:ascii="仿宋_GB2312" w:hAnsi="Times New Roman" w:eastAsia="仿宋_GB2312" w:cs="Times New Roman"/>
                <w:b/>
                <w:bCs/>
                <w:sz w:val="21"/>
                <w:szCs w:val="21"/>
                <w:highlight w:val="none"/>
              </w:rPr>
              <w:t>》第三十八条第一款</w:t>
            </w:r>
            <w:r>
              <w:rPr>
                <w:rFonts w:hint="eastAsia" w:ascii="仿宋_GB2312" w:hAnsi="Times New Roman" w:eastAsia="仿宋_GB2312" w:cs="Times New Roman"/>
                <w:sz w:val="21"/>
                <w:szCs w:val="21"/>
                <w:highlight w:val="none"/>
              </w:rPr>
              <w:t xml:space="preserve">  实行排污许可管理的单位应当按照规定，对工业噪声开展自行监测，保存原始监测记录，向社会公开监测结果，对监测数据的真实性和准确性负责。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Borders>
              <w:top w:val="single" w:color="auto" w:sz="4" w:space="0"/>
              <w:left w:val="single" w:color="auto" w:sz="4" w:space="0"/>
              <w:bottom w:val="single" w:color="auto" w:sz="4" w:space="0"/>
              <w:right w:val="single" w:color="auto" w:sz="4" w:space="0"/>
            </w:tcBorders>
          </w:tcPr>
          <w:p>
            <w:pPr>
              <w:pStyle w:val="11"/>
              <w:ind w:firstLine="420"/>
              <w:rPr>
                <w:rFonts w:ascii="Times New Roman" w:hAnsi="Times New Roman" w:eastAsia="仿宋_GB2312" w:cs="Times New Roman"/>
                <w:sz w:val="21"/>
                <w:szCs w:val="21"/>
                <w:highlight w:val="none"/>
              </w:rPr>
            </w:pPr>
            <w:r>
              <w:rPr>
                <w:rFonts w:hint="eastAsia" w:ascii="仿宋_GB2312" w:hAnsi="Times New Roman" w:eastAsia="仿宋_GB2312" w:cs="Times New Roman"/>
                <w:b/>
                <w:bCs/>
                <w:sz w:val="21"/>
                <w:szCs w:val="21"/>
                <w:highlight w:val="none"/>
              </w:rPr>
              <w:t>1.《排污许可管理条例》第三十六条第（六）项</w:t>
            </w:r>
            <w:r>
              <w:rPr>
                <w:rFonts w:hint="eastAsia" w:ascii="仿宋" w:hAnsi="仿宋" w:eastAsia="仿宋" w:cs="Times New Roman"/>
                <w:sz w:val="36"/>
                <w:szCs w:val="36"/>
                <w:highlight w:val="none"/>
              </w:rPr>
              <w:t xml:space="preserve"> </w:t>
            </w:r>
            <w:r>
              <w:rPr>
                <w:rFonts w:hint="eastAsia" w:ascii="仿宋_GB2312" w:hAnsi="Times New Roman" w:eastAsia="仿宋_GB2312" w:cs="Times New Roman"/>
                <w:sz w:val="21"/>
                <w:szCs w:val="21"/>
                <w:highlight w:val="none"/>
              </w:rPr>
              <w:t>违反本条例规定，排污单位有下列行为之一的，由生态环境主管部门责令改正，处</w:t>
            </w:r>
            <w:r>
              <w:rPr>
                <w:rFonts w:hint="eastAsia" w:ascii="Times New Roman" w:hAnsi="Times New Roman" w:eastAsia="仿宋_GB2312" w:cs="Times New Roman"/>
                <w:sz w:val="21"/>
                <w:szCs w:val="21"/>
                <w:highlight w:val="none"/>
              </w:rPr>
              <w:t>2</w:t>
            </w:r>
            <w:r>
              <w:rPr>
                <w:rFonts w:hint="eastAsia" w:ascii="仿宋_GB2312" w:hAnsi="Times New Roman" w:eastAsia="仿宋_GB2312" w:cs="Times New Roman"/>
                <w:sz w:val="21"/>
                <w:szCs w:val="21"/>
                <w:highlight w:val="none"/>
              </w:rPr>
              <w:t>万元以上</w:t>
            </w:r>
            <w:r>
              <w:rPr>
                <w:rFonts w:hint="eastAsia" w:ascii="Times New Roman" w:hAnsi="Times New Roman" w:eastAsia="仿宋_GB2312" w:cs="Times New Roman"/>
                <w:sz w:val="21"/>
                <w:szCs w:val="21"/>
                <w:highlight w:val="none"/>
              </w:rPr>
              <w:t>20</w:t>
            </w:r>
            <w:r>
              <w:rPr>
                <w:rFonts w:hint="eastAsia" w:ascii="仿宋_GB2312" w:hAnsi="Times New Roman" w:eastAsia="仿宋_GB2312" w:cs="Times New Roman"/>
                <w:sz w:val="21"/>
                <w:szCs w:val="21"/>
                <w:highlight w:val="none"/>
              </w:rPr>
              <w:t>万元以下的罚款；拒不改正的，责令停产整治：</w:t>
            </w:r>
          </w:p>
          <w:p>
            <w:pPr>
              <w:numPr>
                <w:ilvl w:val="0"/>
                <w:numId w:val="2"/>
              </w:numPr>
              <w:rPr>
                <w:rFonts w:ascii="仿宋_GB2312" w:hAnsi="Times New Roman" w:eastAsia="仿宋_GB2312" w:cs="Times New Roman"/>
                <w:highlight w:val="none"/>
              </w:rPr>
            </w:pPr>
            <w:r>
              <w:rPr>
                <w:rFonts w:hint="eastAsia" w:ascii="仿宋_GB2312" w:hAnsi="Times New Roman" w:eastAsia="仿宋_GB2312" w:cs="Times New Roman"/>
                <w:highlight w:val="none"/>
              </w:rPr>
              <w:t>未按照排污许可证规定保存原始监测记录；</w:t>
            </w:r>
          </w:p>
          <w:p>
            <w:pPr>
              <w:ind w:firstLine="422" w:firstLineChars="200"/>
              <w:rPr>
                <w:rFonts w:ascii="仿宋_GB2312" w:hAnsi="Times New Roman" w:eastAsia="仿宋_GB2312" w:cs="Times New Roman"/>
                <w:highlight w:val="none"/>
              </w:rPr>
            </w:pPr>
            <w:r>
              <w:rPr>
                <w:rFonts w:hint="eastAsia" w:ascii="仿宋_GB2312" w:hAnsi="Times New Roman" w:eastAsia="仿宋_GB2312" w:cs="Times New Roman"/>
                <w:b/>
                <w:bCs/>
                <w:kern w:val="0"/>
                <w:highlight w:val="none"/>
              </w:rPr>
              <w:t>2.《中华</w:t>
            </w:r>
            <w:r>
              <w:rPr>
                <w:rFonts w:ascii="仿宋_GB2312" w:hAnsi="Times New Roman" w:eastAsia="仿宋_GB2312" w:cs="Times New Roman"/>
                <w:b/>
                <w:bCs/>
                <w:kern w:val="0"/>
                <w:highlight w:val="none"/>
              </w:rPr>
              <w:t>人民共和国噪声污染防治法</w:t>
            </w:r>
            <w:r>
              <w:rPr>
                <w:rFonts w:hint="eastAsia" w:ascii="仿宋_GB2312" w:hAnsi="Times New Roman" w:eastAsia="仿宋_GB2312" w:cs="Times New Roman"/>
                <w:b/>
                <w:bCs/>
                <w:kern w:val="0"/>
                <w:highlight w:val="none"/>
              </w:rPr>
              <w:t>》第七十六条</w:t>
            </w:r>
            <w:r>
              <w:rPr>
                <w:rFonts w:ascii="仿宋_GB2312" w:hAnsi="Times New Roman" w:eastAsia="仿宋_GB2312" w:cs="Times New Roman"/>
                <w:b/>
                <w:bCs/>
                <w:kern w:val="0"/>
                <w:highlight w:val="none"/>
              </w:rPr>
              <w:t>第（</w:t>
            </w:r>
            <w:r>
              <w:rPr>
                <w:rFonts w:hint="eastAsia" w:ascii="仿宋_GB2312" w:hAnsi="Times New Roman" w:eastAsia="仿宋_GB2312" w:cs="Times New Roman"/>
                <w:b/>
                <w:bCs/>
                <w:kern w:val="0"/>
                <w:highlight w:val="none"/>
              </w:rPr>
              <w:t>一</w:t>
            </w:r>
            <w:r>
              <w:rPr>
                <w:rFonts w:ascii="仿宋_GB2312" w:hAnsi="Times New Roman" w:eastAsia="仿宋_GB2312" w:cs="Times New Roman"/>
                <w:b/>
                <w:bCs/>
                <w:kern w:val="0"/>
                <w:highlight w:val="none"/>
              </w:rPr>
              <w:t>）</w:t>
            </w:r>
            <w:r>
              <w:rPr>
                <w:rFonts w:hint="eastAsia" w:ascii="仿宋_GB2312" w:hAnsi="Times New Roman" w:eastAsia="仿宋_GB2312" w:cs="Times New Roman"/>
                <w:b/>
                <w:bCs/>
                <w:kern w:val="0"/>
                <w:highlight w:val="none"/>
              </w:rPr>
              <w:t xml:space="preserve">项 </w:t>
            </w:r>
            <w:r>
              <w:rPr>
                <w:rFonts w:hint="eastAsia" w:ascii="仿宋_GB2312" w:hAnsi="Times New Roman" w:eastAsia="仿宋_GB2312" w:cs="Times New Roman"/>
                <w:highlight w:val="none"/>
              </w:rPr>
              <w:t xml:space="preserve"> 违反本法规定，有下列行为之一，由生态环境主管部门责令改正，处二万元以上二十万元以下的罚款；拒不改正的，责令限制生产、停产整治：</w:t>
            </w:r>
          </w:p>
          <w:p>
            <w:pPr>
              <w:ind w:firstLine="420" w:firstLineChars="200"/>
              <w:rPr>
                <w:rFonts w:cs="Times New Roman"/>
                <w:highlight w:val="none"/>
              </w:rPr>
            </w:pPr>
            <w:r>
              <w:rPr>
                <w:rFonts w:hint="eastAsia" w:ascii="仿宋_GB2312" w:hAnsi="Times New Roman" w:eastAsia="仿宋_GB2312" w:cs="Times New Roman"/>
                <w:highlight w:val="none"/>
              </w:rPr>
              <w:t>（一）实行排污许可管理的单位未按照规定对工业噪声开展自行监测，未保存原始监测记录，或者未向社会公开监测结果的。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8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Times New Roman"/>
                <w:b/>
                <w:bCs/>
                <w:color w:val="000000"/>
                <w:highlight w:val="none"/>
              </w:rPr>
              <w:t>排污单位</w:t>
            </w:r>
          </w:p>
          <w:p>
            <w:pPr>
              <w:snapToGrid w:val="0"/>
              <w:jc w:val="center"/>
              <w:rPr>
                <w:rFonts w:ascii="Times New Roman" w:hAnsi="Times New Roman" w:cs="Times New Roman"/>
                <w:b/>
                <w:bCs/>
                <w:color w:val="000000"/>
                <w:highlight w:val="none"/>
              </w:rPr>
            </w:pPr>
            <w:r>
              <w:rPr>
                <w:rFonts w:ascii="Times New Roman" w:hAnsi="Times New Roman" w:cs="Times New Roman"/>
                <w:b/>
                <w:bCs/>
                <w:color w:val="000000"/>
                <w:highlight w:val="none"/>
              </w:rPr>
              <w:t>管理类别</w:t>
            </w:r>
            <w:r>
              <w:rPr>
                <w:rFonts w:hint="eastAsia" w:ascii="Times New Roman" w:hAnsi="Times New Roman" w:cs="宋体"/>
                <w:b/>
                <w:bCs/>
                <w:color w:val="000000"/>
                <w:highlight w:val="none"/>
              </w:rPr>
              <w:t>★</w:t>
            </w:r>
          </w:p>
        </w:tc>
        <w:tc>
          <w:tcPr>
            <w:tcW w:w="521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Times New Roman"/>
                <w:color w:val="000000"/>
                <w:sz w:val="21"/>
                <w:szCs w:val="21"/>
                <w:highlight w:val="none"/>
              </w:rPr>
              <w:t>简化</w:t>
            </w:r>
            <w:r>
              <w:rPr>
                <w:rFonts w:ascii="Times New Roman" w:hAnsi="Times New Roman" w:eastAsia="仿宋_GB2312" w:cs="Times New Roman"/>
                <w:color w:val="000000"/>
                <w:sz w:val="21"/>
                <w:szCs w:val="21"/>
                <w:highlight w:val="none"/>
              </w:rPr>
              <w:t>管理</w:t>
            </w:r>
          </w:p>
        </w:tc>
        <w:tc>
          <w:tcPr>
            <w:tcW w:w="2689" w:type="dxa"/>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Times New Roman"/>
                <w:color w:val="000000"/>
                <w:sz w:val="21"/>
                <w:szCs w:val="21"/>
                <w:highlight w:val="none"/>
              </w:rPr>
              <w:t>重点</w:t>
            </w:r>
            <w:r>
              <w:rPr>
                <w:rFonts w:ascii="Times New Roman" w:hAnsi="Times New Roman" w:eastAsia="仿宋_GB2312" w:cs="Times New Roman"/>
                <w:color w:val="000000"/>
                <w:sz w:val="21"/>
                <w:szCs w:val="21"/>
                <w:highlight w:val="none"/>
              </w:rPr>
              <w:t>管理</w:t>
            </w:r>
          </w:p>
        </w:tc>
        <w:tc>
          <w:tcPr>
            <w:tcW w:w="2689"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Times New Roman"/>
                <w:color w:val="000000"/>
                <w:sz w:val="21"/>
                <w:szCs w:val="21"/>
                <w:highlight w:val="none"/>
              </w:rPr>
              <w:t>重点管理（化工、电镀、皮革、造纸、制浆、冶炼、放射性、印染、染料、炼焦、炼油项目）</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Times New Roman"/>
                <w:b/>
                <w:bCs/>
                <w:highlight w:val="none"/>
              </w:rPr>
              <w:t>违法事实</w:t>
            </w: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部分</w:t>
            </w:r>
            <w:r>
              <w:rPr>
                <w:rFonts w:hint="eastAsia" w:ascii="Times New Roman" w:hAnsi="Times New Roman" w:eastAsia="仿宋_GB2312" w:cs="Times New Roman"/>
                <w:highlight w:val="none"/>
              </w:rPr>
              <w:t>非</w:t>
            </w:r>
            <w:r>
              <w:rPr>
                <w:rFonts w:ascii="Times New Roman" w:hAnsi="Times New Roman" w:eastAsia="仿宋_GB2312" w:cs="Times New Roman"/>
                <w:highlight w:val="none"/>
              </w:rPr>
              <w:t>关键性记录</w:t>
            </w:r>
            <w:r>
              <w:rPr>
                <w:rFonts w:hint="eastAsia" w:ascii="Times New Roman" w:hAnsi="Times New Roman" w:eastAsia="仿宋_GB2312" w:cs="Times New Roman"/>
                <w:highlight w:val="none"/>
              </w:rPr>
              <w:t>未保存</w:t>
            </w:r>
            <w:r>
              <w:rPr>
                <w:rFonts w:ascii="Times New Roman" w:hAnsi="Times New Roman" w:eastAsia="仿宋_GB2312" w:cs="Times New Roman"/>
                <w:highlight w:val="none"/>
              </w:rPr>
              <w:t>的</w:t>
            </w:r>
          </w:p>
        </w:tc>
        <w:tc>
          <w:tcPr>
            <w:tcW w:w="2689"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部分关键性记录</w:t>
            </w:r>
            <w:r>
              <w:rPr>
                <w:rFonts w:hint="eastAsia" w:ascii="Times New Roman" w:hAnsi="Times New Roman" w:eastAsia="仿宋_GB2312" w:cs="Times New Roman"/>
                <w:highlight w:val="none"/>
              </w:rPr>
              <w:t>未保存</w:t>
            </w:r>
            <w:r>
              <w:rPr>
                <w:rFonts w:ascii="Times New Roman" w:hAnsi="Times New Roman" w:eastAsia="仿宋_GB2312" w:cs="Times New Roman"/>
                <w:highlight w:val="none"/>
              </w:rPr>
              <w:t>的</w:t>
            </w:r>
          </w:p>
        </w:tc>
        <w:tc>
          <w:tcPr>
            <w:tcW w:w="2689"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未</w:t>
            </w:r>
            <w:r>
              <w:rPr>
                <w:rFonts w:ascii="Times New Roman" w:hAnsi="Times New Roman" w:eastAsia="仿宋_GB2312" w:cs="Times New Roman"/>
                <w:highlight w:val="none"/>
              </w:rPr>
              <w:t>保存记录的</w:t>
            </w:r>
          </w:p>
        </w:tc>
        <w:tc>
          <w:tcPr>
            <w:tcW w:w="2689"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Times New Roman"/>
                <w:b/>
                <w:bCs/>
                <w:highlight w:val="none"/>
              </w:rPr>
              <w:t>监测记录</w:t>
            </w:r>
            <w:r>
              <w:rPr>
                <w:rFonts w:ascii="Times New Roman" w:hAnsi="Times New Roman" w:cs="Times New Roman"/>
                <w:b/>
                <w:bCs/>
                <w:highlight w:val="none"/>
              </w:rPr>
              <w:t>保存期限</w:t>
            </w: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highlight w:val="none"/>
              </w:rPr>
              <w:t>4年</w:t>
            </w:r>
            <w:r>
              <w:rPr>
                <w:rFonts w:ascii="Times New Roman" w:hAnsi="Times New Roman" w:eastAsia="仿宋_GB2312" w:cs="Times New Roman"/>
                <w:highlight w:val="none"/>
              </w:rPr>
              <w:t>以上不足</w:t>
            </w:r>
            <w:r>
              <w:rPr>
                <w:rFonts w:hint="eastAsia" w:ascii="Times New Roman" w:hAnsi="Times New Roman" w:eastAsia="仿宋_GB2312" w:cs="Times New Roman"/>
                <w:highlight w:val="none"/>
              </w:rPr>
              <w:t>5年的</w:t>
            </w:r>
          </w:p>
        </w:tc>
        <w:tc>
          <w:tcPr>
            <w:tcW w:w="2689"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Times New Roman"/>
                <w:highlight w:val="none"/>
              </w:rPr>
              <w:t>3年</w:t>
            </w:r>
            <w:r>
              <w:rPr>
                <w:rFonts w:ascii="Times New Roman" w:hAnsi="Times New Roman" w:eastAsia="仿宋_GB2312" w:cs="Times New Roman"/>
                <w:highlight w:val="none"/>
              </w:rPr>
              <w:t>以上不足</w:t>
            </w:r>
            <w:r>
              <w:rPr>
                <w:rFonts w:hint="eastAsia" w:ascii="Times New Roman" w:hAnsi="Times New Roman" w:eastAsia="仿宋_GB2312" w:cs="Times New Roman"/>
                <w:highlight w:val="none"/>
              </w:rPr>
              <w:t>4年的</w:t>
            </w:r>
          </w:p>
        </w:tc>
        <w:tc>
          <w:tcPr>
            <w:tcW w:w="2689"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Times New Roman"/>
                <w:highlight w:val="none"/>
              </w:rPr>
              <w:t>2年</w:t>
            </w:r>
            <w:r>
              <w:rPr>
                <w:rFonts w:ascii="Times New Roman" w:hAnsi="Times New Roman" w:eastAsia="仿宋_GB2312" w:cs="Times New Roman"/>
                <w:highlight w:val="none"/>
              </w:rPr>
              <w:t>以上不足</w:t>
            </w:r>
            <w:r>
              <w:rPr>
                <w:rFonts w:hint="eastAsia" w:ascii="Times New Roman" w:hAnsi="Times New Roman" w:eastAsia="仿宋_GB2312" w:cs="Times New Roman"/>
                <w:highlight w:val="none"/>
              </w:rPr>
              <w:t>3年的</w:t>
            </w:r>
          </w:p>
        </w:tc>
        <w:tc>
          <w:tcPr>
            <w:tcW w:w="2689"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1年</w:t>
            </w:r>
            <w:r>
              <w:rPr>
                <w:rFonts w:ascii="Times New Roman" w:hAnsi="Times New Roman" w:eastAsia="仿宋_GB2312" w:cs="Times New Roman"/>
                <w:highlight w:val="none"/>
              </w:rPr>
              <w:t>以上不足</w:t>
            </w:r>
            <w:r>
              <w:rPr>
                <w:rFonts w:hint="eastAsia" w:ascii="Times New Roman" w:hAnsi="Times New Roman" w:eastAsia="仿宋_GB2312" w:cs="Times New Roman"/>
                <w:highlight w:val="none"/>
              </w:rPr>
              <w:t>2年的</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不足1年的</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vAlign w:val="center"/>
          </w:tcPr>
          <w:p>
            <w:pPr>
              <w:snapToGrid w:val="0"/>
              <w:ind w:firstLine="420"/>
              <w:jc w:val="center"/>
              <w:rPr>
                <w:rFonts w:ascii="Times New Roman" w:hAnsi="Times New Roman" w:cs="Times New Roman"/>
                <w:highlight w:val="none"/>
              </w:rPr>
            </w:pPr>
          </w:p>
        </w:tc>
      </w:tr>
    </w:tbl>
    <w:p>
      <w:pPr>
        <w:jc w:val="center"/>
        <w:rPr>
          <w:rFonts w:ascii="Times New Roman" w:hAnsi="Times New Roman" w:eastAsia="仿宋_GB2312" w:cs="Times New Roman"/>
          <w:sz w:val="32"/>
          <w:szCs w:val="32"/>
          <w:highlight w:val="none"/>
        </w:rPr>
      </w:pPr>
    </w:p>
    <w:p>
      <w:pPr>
        <w:rPr>
          <w:rFonts w:ascii="Times New Roman" w:hAnsi="Times New Roman" w:eastAsia="仿宋_GB2312" w:cs="Times New Roman"/>
          <w:sz w:val="32"/>
          <w:szCs w:val="32"/>
          <w:highlight w:val="none"/>
        </w:rPr>
      </w:pP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（八）其他类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0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02" w:type="dxa"/>
            <w:gridSpan w:val="2"/>
            <w:tcBorders>
              <w:top w:val="single" w:color="auto" w:sz="4" w:space="0"/>
              <w:left w:val="single" w:color="auto" w:sz="4" w:space="0"/>
              <w:bottom w:val="single" w:color="auto" w:sz="4" w:space="0"/>
              <w:right w:val="single" w:color="auto" w:sz="4" w:space="0"/>
            </w:tcBorders>
            <w:vAlign w:val="center"/>
          </w:tcPr>
          <w:p>
            <w:pPr>
              <w:pStyle w:val="36"/>
              <w:ind w:firstLine="480"/>
              <w:rPr>
                <w:color w:val="000000"/>
                <w:highlight w:val="none"/>
              </w:rPr>
            </w:pPr>
            <w:r>
              <w:rPr>
                <w:rFonts w:hint="eastAsia" w:ascii="仿宋_GB2312" w:eastAsia="仿宋_GB2312"/>
                <w:color w:val="000000"/>
                <w:kern w:val="0"/>
                <w:highlight w:val="none"/>
              </w:rPr>
              <w:t>未按照排污许可证规定公开或者不如实公开污染物排放信息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Borders>
              <w:top w:val="single" w:color="auto" w:sz="4" w:space="0"/>
              <w:left w:val="single" w:color="auto" w:sz="4" w:space="0"/>
              <w:bottom w:val="single" w:color="auto" w:sz="4" w:space="0"/>
              <w:right w:val="single" w:color="auto" w:sz="4" w:space="0"/>
            </w:tcBorders>
          </w:tcPr>
          <w:p>
            <w:pPr>
              <w:pStyle w:val="11"/>
              <w:ind w:firstLine="420"/>
              <w:rPr>
                <w:rFonts w:ascii="仿宋_GB2312" w:hAnsi="Times New Roman" w:eastAsia="仿宋_GB2312" w:cs="Times New Roman"/>
                <w:sz w:val="21"/>
                <w:szCs w:val="21"/>
                <w:highlight w:val="none"/>
              </w:rPr>
            </w:pPr>
            <w:r>
              <w:rPr>
                <w:rFonts w:hint="eastAsia" w:ascii="仿宋_GB2312" w:hAnsi="Times New Roman" w:eastAsia="仿宋_GB2312" w:cs="Times New Roman"/>
                <w:b/>
                <w:bCs/>
                <w:sz w:val="21"/>
                <w:szCs w:val="21"/>
                <w:highlight w:val="none"/>
              </w:rPr>
              <w:t>1.《排污许可管理条例》第二十三条第一款</w:t>
            </w:r>
            <w:r>
              <w:rPr>
                <w:rFonts w:ascii="Times New Roman" w:hAnsi="Times New Roman" w:eastAsia="仿宋_GB2312" w:cs="Times New Roman"/>
                <w:sz w:val="21"/>
                <w:szCs w:val="21"/>
                <w:highlight w:val="none"/>
              </w:rPr>
              <w:t xml:space="preserve"> </w:t>
            </w:r>
            <w:r>
              <w:rPr>
                <w:rFonts w:hint="eastAsia" w:ascii="仿宋_GB2312" w:hAnsi="Times New Roman" w:eastAsia="仿宋_GB2312" w:cs="Times New Roman"/>
                <w:sz w:val="21"/>
                <w:szCs w:val="21"/>
                <w:highlight w:val="none"/>
              </w:rPr>
              <w:t>排污单位应当按照排污许可证规定，如实在全国排污许可证管理信息平台上公开污染物排放信息。</w:t>
            </w:r>
          </w:p>
          <w:p>
            <w:pPr>
              <w:pStyle w:val="11"/>
              <w:ind w:firstLine="420"/>
              <w:rPr>
                <w:rFonts w:ascii="Times New Roman" w:hAnsi="Times New Roman" w:eastAsia="仿宋_GB2312" w:cs="Times New Roman"/>
                <w:sz w:val="21"/>
                <w:szCs w:val="21"/>
                <w:highlight w:val="none"/>
              </w:rPr>
            </w:pPr>
            <w:r>
              <w:rPr>
                <w:rFonts w:ascii="仿宋_GB2312" w:hAnsi="Times New Roman" w:eastAsia="仿宋_GB2312" w:cs="Times New Roman"/>
                <w:b/>
                <w:bCs/>
                <w:sz w:val="21"/>
                <w:szCs w:val="21"/>
                <w:highlight w:val="none"/>
              </w:rPr>
              <w:t>2.</w:t>
            </w:r>
            <w:r>
              <w:rPr>
                <w:rFonts w:hint="eastAsia" w:ascii="仿宋_GB2312" w:hAnsi="Times New Roman" w:eastAsia="仿宋_GB2312" w:cs="Times New Roman"/>
                <w:b/>
                <w:bCs/>
                <w:sz w:val="21"/>
                <w:szCs w:val="21"/>
                <w:highlight w:val="none"/>
              </w:rPr>
              <w:t>《中华</w:t>
            </w:r>
            <w:r>
              <w:rPr>
                <w:rFonts w:ascii="仿宋_GB2312" w:hAnsi="Times New Roman" w:eastAsia="仿宋_GB2312" w:cs="Times New Roman"/>
                <w:b/>
                <w:bCs/>
                <w:sz w:val="21"/>
                <w:szCs w:val="21"/>
                <w:highlight w:val="none"/>
              </w:rPr>
              <w:t>人民共和国噪声污染防治法</w:t>
            </w:r>
            <w:r>
              <w:rPr>
                <w:rFonts w:hint="eastAsia" w:ascii="仿宋_GB2312" w:hAnsi="Times New Roman" w:eastAsia="仿宋_GB2312" w:cs="Times New Roman"/>
                <w:b/>
                <w:bCs/>
                <w:sz w:val="21"/>
                <w:szCs w:val="21"/>
                <w:highlight w:val="none"/>
              </w:rPr>
              <w:t>》第三十八条第一款</w:t>
            </w:r>
            <w:r>
              <w:rPr>
                <w:rFonts w:hint="eastAsia" w:ascii="仿宋_GB2312" w:hAnsi="Times New Roman" w:eastAsia="仿宋_GB2312" w:cs="Times New Roman"/>
                <w:sz w:val="21"/>
                <w:szCs w:val="21"/>
                <w:highlight w:val="none"/>
              </w:rPr>
              <w:t xml:space="preserve">  实行排污许可管理的单位应当按照规定，对工业噪声开展自行监测，保存原始监测记录，向社会公开监测结果，对监测数据的真实性和准确性负责。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Borders>
              <w:top w:val="single" w:color="auto" w:sz="4" w:space="0"/>
              <w:left w:val="single" w:color="auto" w:sz="4" w:space="0"/>
              <w:bottom w:val="single" w:color="auto" w:sz="4" w:space="0"/>
              <w:right w:val="single" w:color="auto" w:sz="4" w:space="0"/>
            </w:tcBorders>
          </w:tcPr>
          <w:p>
            <w:pPr>
              <w:pStyle w:val="11"/>
              <w:ind w:firstLine="420"/>
              <w:rPr>
                <w:rFonts w:ascii="Times New Roman" w:hAnsi="Times New Roman" w:eastAsia="仿宋_GB2312" w:cs="Times New Roman"/>
                <w:sz w:val="21"/>
                <w:szCs w:val="21"/>
                <w:highlight w:val="none"/>
              </w:rPr>
            </w:pPr>
            <w:r>
              <w:rPr>
                <w:rFonts w:hint="eastAsia" w:ascii="仿宋_GB2312" w:hAnsi="Times New Roman" w:eastAsia="仿宋_GB2312" w:cs="Times New Roman"/>
                <w:b/>
                <w:bCs/>
                <w:sz w:val="21"/>
                <w:szCs w:val="21"/>
                <w:highlight w:val="none"/>
              </w:rPr>
              <w:t>1.《排污许可管理条例》第三十六条第（七）项</w:t>
            </w:r>
            <w:r>
              <w:rPr>
                <w:rFonts w:hint="eastAsia" w:ascii="仿宋" w:hAnsi="仿宋" w:eastAsia="仿宋" w:cs="Times New Roman"/>
                <w:sz w:val="36"/>
                <w:szCs w:val="36"/>
                <w:highlight w:val="none"/>
              </w:rPr>
              <w:t xml:space="preserve"> </w:t>
            </w:r>
            <w:r>
              <w:rPr>
                <w:rFonts w:hint="eastAsia" w:ascii="仿宋_GB2312" w:hAnsi="Times New Roman" w:eastAsia="仿宋_GB2312" w:cs="Times New Roman"/>
                <w:sz w:val="21"/>
                <w:szCs w:val="21"/>
                <w:highlight w:val="none"/>
              </w:rPr>
              <w:t>违反本条例规定，排污单位有下列行为之一的，由生态环境主管部门责令改正，处</w:t>
            </w:r>
            <w:r>
              <w:rPr>
                <w:rFonts w:hint="eastAsia" w:ascii="Times New Roman" w:hAnsi="Times New Roman" w:eastAsia="仿宋_GB2312" w:cs="Times New Roman"/>
                <w:sz w:val="21"/>
                <w:szCs w:val="21"/>
                <w:highlight w:val="none"/>
              </w:rPr>
              <w:t>2</w:t>
            </w:r>
            <w:r>
              <w:rPr>
                <w:rFonts w:hint="eastAsia" w:ascii="仿宋_GB2312" w:hAnsi="Times New Roman" w:eastAsia="仿宋_GB2312" w:cs="Times New Roman"/>
                <w:sz w:val="21"/>
                <w:szCs w:val="21"/>
                <w:highlight w:val="none"/>
              </w:rPr>
              <w:t>万元以上</w:t>
            </w:r>
            <w:r>
              <w:rPr>
                <w:rFonts w:hint="eastAsia" w:ascii="Times New Roman" w:hAnsi="Times New Roman" w:eastAsia="仿宋_GB2312" w:cs="Times New Roman"/>
                <w:sz w:val="21"/>
                <w:szCs w:val="21"/>
                <w:highlight w:val="none"/>
              </w:rPr>
              <w:t>20</w:t>
            </w:r>
            <w:r>
              <w:rPr>
                <w:rFonts w:hint="eastAsia" w:ascii="仿宋_GB2312" w:hAnsi="Times New Roman" w:eastAsia="仿宋_GB2312" w:cs="Times New Roman"/>
                <w:sz w:val="21"/>
                <w:szCs w:val="21"/>
                <w:highlight w:val="none"/>
              </w:rPr>
              <w:t>万元以下的罚款；拒不改正的，责令停产整治：</w:t>
            </w:r>
          </w:p>
          <w:p>
            <w:pPr>
              <w:numPr>
                <w:ilvl w:val="0"/>
                <w:numId w:val="2"/>
              </w:numPr>
              <w:rPr>
                <w:rFonts w:ascii="仿宋_GB2312" w:hAnsi="Times New Roman" w:eastAsia="仿宋_GB2312" w:cs="Times New Roman"/>
                <w:highlight w:val="none"/>
              </w:rPr>
            </w:pPr>
            <w:r>
              <w:rPr>
                <w:rFonts w:hint="eastAsia" w:ascii="仿宋_GB2312" w:hAnsi="Times New Roman" w:eastAsia="仿宋_GB2312" w:cs="Times New Roman"/>
                <w:highlight w:val="none"/>
              </w:rPr>
              <w:t>未按照排污许可证规定公开或者不如实公开污染物排放信息；</w:t>
            </w:r>
          </w:p>
          <w:p>
            <w:pPr>
              <w:ind w:firstLine="422" w:firstLineChars="200"/>
              <w:rPr>
                <w:rFonts w:ascii="仿宋_GB2312" w:hAnsi="Times New Roman" w:eastAsia="仿宋_GB2312" w:cs="Times New Roman"/>
                <w:highlight w:val="none"/>
              </w:rPr>
            </w:pPr>
            <w:r>
              <w:rPr>
                <w:rFonts w:hint="eastAsia" w:ascii="仿宋_GB2312" w:hAnsi="Times New Roman" w:eastAsia="仿宋_GB2312" w:cs="Times New Roman"/>
                <w:b/>
                <w:bCs/>
                <w:kern w:val="0"/>
                <w:highlight w:val="none"/>
              </w:rPr>
              <w:t>2.《中华</w:t>
            </w:r>
            <w:r>
              <w:rPr>
                <w:rFonts w:ascii="仿宋_GB2312" w:hAnsi="Times New Roman" w:eastAsia="仿宋_GB2312" w:cs="Times New Roman"/>
                <w:b/>
                <w:bCs/>
                <w:kern w:val="0"/>
                <w:highlight w:val="none"/>
              </w:rPr>
              <w:t>人民共和国噪声污染防治法</w:t>
            </w:r>
            <w:r>
              <w:rPr>
                <w:rFonts w:hint="eastAsia" w:ascii="仿宋_GB2312" w:hAnsi="Times New Roman" w:eastAsia="仿宋_GB2312" w:cs="Times New Roman"/>
                <w:b/>
                <w:bCs/>
                <w:kern w:val="0"/>
                <w:highlight w:val="none"/>
              </w:rPr>
              <w:t>》第七十六条</w:t>
            </w:r>
            <w:r>
              <w:rPr>
                <w:rFonts w:ascii="仿宋_GB2312" w:hAnsi="Times New Roman" w:eastAsia="仿宋_GB2312" w:cs="Times New Roman"/>
                <w:b/>
                <w:bCs/>
                <w:kern w:val="0"/>
                <w:highlight w:val="none"/>
              </w:rPr>
              <w:t>第（</w:t>
            </w:r>
            <w:r>
              <w:rPr>
                <w:rFonts w:hint="eastAsia" w:ascii="仿宋_GB2312" w:hAnsi="Times New Roman" w:eastAsia="仿宋_GB2312" w:cs="Times New Roman"/>
                <w:b/>
                <w:bCs/>
                <w:kern w:val="0"/>
                <w:highlight w:val="none"/>
              </w:rPr>
              <w:t>一</w:t>
            </w:r>
            <w:r>
              <w:rPr>
                <w:rFonts w:ascii="仿宋_GB2312" w:hAnsi="Times New Roman" w:eastAsia="仿宋_GB2312" w:cs="Times New Roman"/>
                <w:b/>
                <w:bCs/>
                <w:kern w:val="0"/>
                <w:highlight w:val="none"/>
              </w:rPr>
              <w:t>）</w:t>
            </w:r>
            <w:r>
              <w:rPr>
                <w:rFonts w:hint="eastAsia" w:ascii="仿宋_GB2312" w:hAnsi="Times New Roman" w:eastAsia="仿宋_GB2312" w:cs="Times New Roman"/>
                <w:b/>
                <w:bCs/>
                <w:kern w:val="0"/>
                <w:highlight w:val="none"/>
              </w:rPr>
              <w:t xml:space="preserve">项 </w:t>
            </w:r>
            <w:r>
              <w:rPr>
                <w:rFonts w:hint="eastAsia" w:ascii="仿宋_GB2312" w:hAnsi="Times New Roman" w:eastAsia="仿宋_GB2312" w:cs="Times New Roman"/>
                <w:highlight w:val="none"/>
              </w:rPr>
              <w:t xml:space="preserve"> 违反本法规定，有下列行为之一，由生态环境主管部门责令改正，处二万元以上二十万元以下的罚款；拒不改正的，责令限制生产、停产整治：</w:t>
            </w:r>
          </w:p>
          <w:p>
            <w:pPr>
              <w:ind w:firstLine="420" w:firstLineChars="200"/>
              <w:rPr>
                <w:rFonts w:cs="Times New Roman"/>
                <w:highlight w:val="none"/>
              </w:rPr>
            </w:pPr>
            <w:r>
              <w:rPr>
                <w:rFonts w:hint="eastAsia" w:ascii="仿宋_GB2312" w:hAnsi="Times New Roman" w:eastAsia="仿宋_GB2312" w:cs="Times New Roman"/>
                <w:highlight w:val="none"/>
              </w:rPr>
              <w:t>（一）实行排污许可管理的单位未按照规定对工业噪声开展自行监测，未保存原始监测记录，或者未向社会公开监测结果的。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8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Times New Roman"/>
                <w:b/>
                <w:bCs/>
                <w:highlight w:val="none"/>
              </w:rPr>
              <w:t>违法事实</w:t>
            </w:r>
            <w:r>
              <w:rPr>
                <w:rFonts w:hint="eastAsia" w:ascii="Times New Roman" w:hAnsi="Times New Roman" w:cs="宋体"/>
                <w:b/>
                <w:bCs/>
                <w:color w:val="000000"/>
                <w:highlight w:val="none"/>
              </w:rPr>
              <w:t>★</w:t>
            </w: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公开</w:t>
            </w:r>
            <w:r>
              <w:rPr>
                <w:rFonts w:ascii="Times New Roman" w:hAnsi="Times New Roman" w:eastAsia="仿宋_GB2312" w:cs="Times New Roman"/>
                <w:highlight w:val="none"/>
              </w:rPr>
              <w:t>污染物信息的方式（</w:t>
            </w:r>
            <w:r>
              <w:rPr>
                <w:rFonts w:hint="eastAsia" w:ascii="Times New Roman" w:hAnsi="Times New Roman" w:eastAsia="仿宋_GB2312" w:cs="Times New Roman"/>
                <w:highlight w:val="none"/>
              </w:rPr>
              <w:t>途径</w:t>
            </w:r>
            <w:r>
              <w:rPr>
                <w:rFonts w:ascii="Times New Roman" w:hAnsi="Times New Roman" w:eastAsia="仿宋_GB2312" w:cs="Times New Roman"/>
                <w:highlight w:val="none"/>
              </w:rPr>
              <w:t>）</w:t>
            </w:r>
            <w:r>
              <w:rPr>
                <w:rFonts w:hint="eastAsia" w:ascii="Times New Roman" w:hAnsi="Times New Roman" w:eastAsia="仿宋_GB2312" w:cs="Times New Roman"/>
                <w:highlight w:val="none"/>
              </w:rPr>
              <w:t>不符合</w:t>
            </w:r>
            <w:r>
              <w:rPr>
                <w:rFonts w:ascii="Times New Roman" w:hAnsi="Times New Roman" w:eastAsia="仿宋_GB2312" w:cs="Times New Roman"/>
                <w:highlight w:val="none"/>
              </w:rPr>
              <w:t>规定</w:t>
            </w:r>
          </w:p>
        </w:tc>
        <w:tc>
          <w:tcPr>
            <w:tcW w:w="2689" w:type="dxa"/>
            <w:vAlign w:val="center"/>
          </w:tcPr>
          <w:p>
            <w:pPr>
              <w:snapToGrid w:val="0"/>
              <w:jc w:val="center"/>
              <w:rPr>
                <w:rFonts w:ascii="Times New Roman" w:hAnsi="Times New Roman" w:cs="Times New Roman"/>
                <w:highlight w:val="none"/>
              </w:rPr>
            </w:pPr>
            <w:r>
              <w:rPr>
                <w:rFonts w:hint="eastAsia"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公开</w:t>
            </w:r>
            <w:r>
              <w:rPr>
                <w:rFonts w:ascii="Times New Roman" w:hAnsi="Times New Roman" w:eastAsia="仿宋_GB2312" w:cs="Times New Roman"/>
                <w:highlight w:val="none"/>
              </w:rPr>
              <w:t>污染物信息的内容不符合要求</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完全</w:t>
            </w:r>
            <w:r>
              <w:rPr>
                <w:rFonts w:ascii="Times New Roman" w:hAnsi="Times New Roman" w:eastAsia="仿宋_GB2312" w:cs="Times New Roman"/>
                <w:highlight w:val="none"/>
              </w:rPr>
              <w:t>未公开污染物信息</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Times New Roman"/>
                <w:b/>
                <w:bCs/>
                <w:color w:val="000000"/>
                <w:highlight w:val="none"/>
              </w:rPr>
              <w:t>排污单位</w:t>
            </w:r>
          </w:p>
          <w:p>
            <w:pPr>
              <w:snapToGrid w:val="0"/>
              <w:jc w:val="center"/>
              <w:rPr>
                <w:rFonts w:ascii="Times New Roman" w:hAnsi="Times New Roman" w:cs="Times New Roman"/>
                <w:b/>
                <w:bCs/>
                <w:color w:val="000000"/>
                <w:highlight w:val="none"/>
              </w:rPr>
            </w:pPr>
            <w:r>
              <w:rPr>
                <w:rFonts w:ascii="Times New Roman" w:hAnsi="Times New Roman" w:cs="Times New Roman"/>
                <w:b/>
                <w:bCs/>
                <w:color w:val="000000"/>
                <w:highlight w:val="none"/>
              </w:rPr>
              <w:t>管理类别</w:t>
            </w:r>
          </w:p>
        </w:tc>
        <w:tc>
          <w:tcPr>
            <w:tcW w:w="5213" w:type="dxa"/>
            <w:vAlign w:val="center"/>
          </w:tcPr>
          <w:p>
            <w:pPr>
              <w:pStyle w:val="11"/>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sz w:val="21"/>
                <w:szCs w:val="21"/>
                <w:highlight w:val="none"/>
              </w:rPr>
              <w:t>简化</w:t>
            </w:r>
            <w:r>
              <w:rPr>
                <w:rFonts w:ascii="Times New Roman" w:hAnsi="Times New Roman" w:eastAsia="仿宋_GB2312" w:cs="Times New Roman"/>
                <w:color w:val="000000"/>
                <w:sz w:val="21"/>
                <w:szCs w:val="21"/>
                <w:highlight w:val="none"/>
              </w:rPr>
              <w:t>管理</w:t>
            </w:r>
          </w:p>
        </w:tc>
        <w:tc>
          <w:tcPr>
            <w:tcW w:w="2689"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sz w:val="21"/>
                <w:szCs w:val="21"/>
                <w:highlight w:val="none"/>
              </w:rPr>
              <w:t>重点</w:t>
            </w:r>
            <w:r>
              <w:rPr>
                <w:rFonts w:ascii="Times New Roman" w:hAnsi="Times New Roman" w:eastAsia="仿宋_GB2312" w:cs="Times New Roman"/>
                <w:color w:val="000000"/>
                <w:sz w:val="21"/>
                <w:szCs w:val="21"/>
                <w:highlight w:val="none"/>
              </w:rPr>
              <w:t>管理</w:t>
            </w:r>
          </w:p>
        </w:tc>
        <w:tc>
          <w:tcPr>
            <w:tcW w:w="2689"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Times New Roman"/>
                <w:color w:val="000000"/>
                <w:sz w:val="21"/>
                <w:szCs w:val="21"/>
                <w:highlight w:val="none"/>
              </w:rPr>
              <w:t>重点管理（化工、电镀、皮革、造纸、制浆、冶炼、放射性、印染、染料、炼焦、炼油项目）</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Times New Roman"/>
                <w:b/>
                <w:bCs/>
                <w:highlight w:val="none"/>
              </w:rPr>
              <w:t>信息</w:t>
            </w:r>
            <w:r>
              <w:rPr>
                <w:rFonts w:ascii="Times New Roman" w:hAnsi="Times New Roman" w:cs="Times New Roman"/>
                <w:b/>
                <w:bCs/>
                <w:highlight w:val="none"/>
              </w:rPr>
              <w:t>公开</w:t>
            </w:r>
          </w:p>
          <w:p>
            <w:pPr>
              <w:snapToGrid w:val="0"/>
              <w:jc w:val="center"/>
              <w:rPr>
                <w:rFonts w:ascii="Times New Roman" w:hAnsi="Times New Roman" w:cs="Times New Roman"/>
                <w:b/>
                <w:bCs/>
                <w:highlight w:val="none"/>
              </w:rPr>
            </w:pPr>
            <w:r>
              <w:rPr>
                <w:rFonts w:ascii="Times New Roman" w:hAnsi="Times New Roman" w:cs="Times New Roman"/>
                <w:b/>
                <w:bCs/>
                <w:highlight w:val="none"/>
              </w:rPr>
              <w:t>的及时性</w:t>
            </w: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延迟</w:t>
            </w:r>
            <w:r>
              <w:rPr>
                <w:rFonts w:ascii="Times New Roman" w:hAnsi="Times New Roman" w:eastAsia="仿宋_GB2312" w:cs="Times New Roman"/>
                <w:color w:val="000000"/>
                <w:highlight w:val="none"/>
              </w:rPr>
              <w:t>不到</w:t>
            </w:r>
            <w:r>
              <w:rPr>
                <w:rFonts w:hint="eastAsia" w:ascii="Times New Roman" w:hAnsi="Times New Roman" w:eastAsia="仿宋_GB2312" w:cs="Times New Roman"/>
                <w:color w:val="000000"/>
                <w:highlight w:val="none"/>
              </w:rPr>
              <w:t>10日</w:t>
            </w:r>
          </w:p>
        </w:tc>
        <w:tc>
          <w:tcPr>
            <w:tcW w:w="2689"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延迟10日</w:t>
            </w:r>
            <w:r>
              <w:rPr>
                <w:rFonts w:ascii="Times New Roman" w:hAnsi="Times New Roman" w:eastAsia="仿宋_GB2312" w:cs="仿宋_GB2312"/>
                <w:color w:val="000000"/>
                <w:highlight w:val="none"/>
              </w:rPr>
              <w:t>以上，不到</w:t>
            </w:r>
            <w:r>
              <w:rPr>
                <w:rFonts w:hint="eastAsia" w:ascii="Times New Roman" w:hAnsi="Times New Roman" w:eastAsia="仿宋_GB2312" w:cs="仿宋_GB2312"/>
                <w:color w:val="000000"/>
                <w:highlight w:val="none"/>
              </w:rPr>
              <w:t>30日</w:t>
            </w:r>
          </w:p>
        </w:tc>
        <w:tc>
          <w:tcPr>
            <w:tcW w:w="2689"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延迟30日</w:t>
            </w:r>
            <w:r>
              <w:rPr>
                <w:rFonts w:ascii="Times New Roman" w:hAnsi="Times New Roman" w:eastAsia="仿宋_GB2312" w:cs="仿宋_GB2312"/>
                <w:color w:val="000000"/>
                <w:highlight w:val="none"/>
              </w:rPr>
              <w:t>以上</w:t>
            </w:r>
          </w:p>
        </w:tc>
        <w:tc>
          <w:tcPr>
            <w:tcW w:w="2689"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vAlign w:val="center"/>
          </w:tcPr>
          <w:p>
            <w:pPr>
              <w:snapToGrid w:val="0"/>
              <w:jc w:val="center"/>
              <w:rPr>
                <w:rFonts w:ascii="Times New Roman" w:hAnsi="Times New Roman" w:cs="Times New Roman"/>
                <w:highlight w:val="none"/>
              </w:rPr>
            </w:pPr>
          </w:p>
        </w:tc>
      </w:tr>
    </w:tbl>
    <w:p>
      <w:pPr>
        <w:rPr>
          <w:rFonts w:ascii="Times New Roman" w:hAnsi="Times New Roman" w:eastAsia="仿宋_GB2312" w:cs="Times New Roman"/>
          <w:sz w:val="10"/>
          <w:szCs w:val="10"/>
          <w:highlight w:val="none"/>
        </w:rPr>
      </w:pPr>
      <w:r>
        <w:rPr>
          <w:rFonts w:ascii="Times New Roman" w:hAnsi="Times New Roman" w:eastAsia="仿宋_GB2312" w:cs="Times New Roman"/>
          <w:sz w:val="10"/>
          <w:szCs w:val="10"/>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（八）其他类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0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02" w:type="dxa"/>
            <w:gridSpan w:val="2"/>
            <w:tcBorders>
              <w:top w:val="single" w:color="auto" w:sz="4" w:space="0"/>
              <w:left w:val="single" w:color="auto" w:sz="4" w:space="0"/>
              <w:bottom w:val="single" w:color="auto" w:sz="4" w:space="0"/>
              <w:right w:val="single" w:color="auto" w:sz="4" w:space="0"/>
            </w:tcBorders>
            <w:vAlign w:val="center"/>
          </w:tcPr>
          <w:p>
            <w:pPr>
              <w:pStyle w:val="36"/>
              <w:ind w:firstLine="480"/>
              <w:rPr>
                <w:color w:val="000000"/>
                <w:highlight w:val="none"/>
              </w:rPr>
            </w:pPr>
            <w:r>
              <w:rPr>
                <w:rFonts w:hint="eastAsia" w:ascii="仿宋_GB2312" w:eastAsia="仿宋_GB2312"/>
                <w:color w:val="000000"/>
                <w:kern w:val="0"/>
                <w:highlight w:val="none"/>
              </w:rPr>
              <w:t>发现污染物排放自动监测设备传输数据异常或者污染物排放超过污染物排放标准等异常情况不报告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Borders>
              <w:top w:val="single" w:color="auto" w:sz="4" w:space="0"/>
              <w:left w:val="single" w:color="auto" w:sz="4" w:space="0"/>
              <w:bottom w:val="single" w:color="auto" w:sz="4" w:space="0"/>
              <w:right w:val="single" w:color="auto" w:sz="4" w:space="0"/>
            </w:tcBorders>
          </w:tcPr>
          <w:p>
            <w:pPr>
              <w:pStyle w:val="11"/>
              <w:ind w:firstLine="420"/>
              <w:rPr>
                <w:rFonts w:ascii="Times New Roman" w:hAnsi="Times New Roman" w:eastAsia="仿宋_GB2312" w:cs="Times New Roman"/>
                <w:sz w:val="21"/>
                <w:szCs w:val="21"/>
                <w:highlight w:val="none"/>
              </w:rPr>
            </w:pPr>
            <w:r>
              <w:rPr>
                <w:rFonts w:hint="eastAsia" w:ascii="仿宋_GB2312" w:hAnsi="Times New Roman" w:eastAsia="仿宋_GB2312" w:cs="Times New Roman"/>
                <w:b/>
                <w:bCs/>
                <w:sz w:val="21"/>
                <w:szCs w:val="21"/>
                <w:highlight w:val="none"/>
              </w:rPr>
              <w:t>《排污许可管理条例》第二十二条第二款</w:t>
            </w:r>
            <w:r>
              <w:rPr>
                <w:rFonts w:ascii="Times New Roman" w:hAnsi="Times New Roman" w:eastAsia="仿宋_GB2312" w:cs="Times New Roman"/>
                <w:sz w:val="21"/>
                <w:szCs w:val="21"/>
                <w:highlight w:val="none"/>
              </w:rPr>
              <w:t xml:space="preserve"> </w:t>
            </w:r>
            <w:r>
              <w:rPr>
                <w:rFonts w:hint="eastAsia" w:ascii="仿宋_GB2312" w:hAnsi="Times New Roman" w:eastAsia="仿宋_GB2312" w:cs="Times New Roman"/>
                <w:sz w:val="21"/>
                <w:szCs w:val="21"/>
                <w:highlight w:val="none"/>
              </w:rPr>
              <w:t>排污单位发现污染物排放自动监测设备传输数据异常的，应当及时报告生态环境主管部门，并进行检查、修复。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Borders>
              <w:top w:val="single" w:color="auto" w:sz="4" w:space="0"/>
              <w:left w:val="single" w:color="auto" w:sz="4" w:space="0"/>
              <w:bottom w:val="single" w:color="auto" w:sz="4" w:space="0"/>
              <w:right w:val="single" w:color="auto" w:sz="4" w:space="0"/>
            </w:tcBorders>
          </w:tcPr>
          <w:p>
            <w:pPr>
              <w:pStyle w:val="11"/>
              <w:ind w:firstLine="420"/>
              <w:rPr>
                <w:rFonts w:ascii="Times New Roman" w:hAnsi="Times New Roman" w:eastAsia="仿宋_GB2312" w:cs="Times New Roman"/>
                <w:sz w:val="21"/>
                <w:szCs w:val="21"/>
                <w:highlight w:val="none"/>
              </w:rPr>
            </w:pPr>
            <w:r>
              <w:rPr>
                <w:rFonts w:hint="eastAsia" w:ascii="仿宋_GB2312" w:hAnsi="Times New Roman" w:eastAsia="仿宋_GB2312" w:cs="Times New Roman"/>
                <w:b/>
                <w:bCs/>
                <w:sz w:val="21"/>
                <w:szCs w:val="21"/>
                <w:highlight w:val="none"/>
              </w:rPr>
              <w:t>《排污许可管理条例》第三十六条第（八）项</w:t>
            </w:r>
            <w:r>
              <w:rPr>
                <w:rFonts w:hint="eastAsia" w:ascii="仿宋" w:hAnsi="仿宋" w:eastAsia="仿宋" w:cs="Times New Roman"/>
                <w:sz w:val="36"/>
                <w:szCs w:val="36"/>
                <w:highlight w:val="none"/>
              </w:rPr>
              <w:t xml:space="preserve"> </w:t>
            </w:r>
            <w:r>
              <w:rPr>
                <w:rFonts w:hint="eastAsia" w:ascii="仿宋_GB2312" w:hAnsi="Times New Roman" w:eastAsia="仿宋_GB2312" w:cs="Times New Roman"/>
                <w:sz w:val="21"/>
                <w:szCs w:val="21"/>
                <w:highlight w:val="none"/>
              </w:rPr>
              <w:t>违反本条例规定，排污单位有下列行为之一的，由生态环境主管部门责令改正，处</w:t>
            </w:r>
            <w:r>
              <w:rPr>
                <w:rFonts w:hint="eastAsia" w:ascii="Times New Roman" w:hAnsi="Times New Roman" w:eastAsia="仿宋_GB2312" w:cs="Times New Roman"/>
                <w:sz w:val="21"/>
                <w:szCs w:val="21"/>
                <w:highlight w:val="none"/>
              </w:rPr>
              <w:t>2</w:t>
            </w:r>
            <w:r>
              <w:rPr>
                <w:rFonts w:hint="eastAsia" w:ascii="仿宋_GB2312" w:hAnsi="Times New Roman" w:eastAsia="仿宋_GB2312" w:cs="Times New Roman"/>
                <w:sz w:val="21"/>
                <w:szCs w:val="21"/>
                <w:highlight w:val="none"/>
              </w:rPr>
              <w:t>万元以上</w:t>
            </w:r>
            <w:r>
              <w:rPr>
                <w:rFonts w:hint="eastAsia" w:ascii="Times New Roman" w:hAnsi="Times New Roman" w:eastAsia="仿宋_GB2312" w:cs="Times New Roman"/>
                <w:sz w:val="21"/>
                <w:szCs w:val="21"/>
                <w:highlight w:val="none"/>
              </w:rPr>
              <w:t>20</w:t>
            </w:r>
            <w:r>
              <w:rPr>
                <w:rFonts w:hint="eastAsia" w:ascii="仿宋_GB2312" w:hAnsi="Times New Roman" w:eastAsia="仿宋_GB2312" w:cs="Times New Roman"/>
                <w:sz w:val="21"/>
                <w:szCs w:val="21"/>
                <w:highlight w:val="none"/>
              </w:rPr>
              <w:t>万元以下的罚款；拒不改正的，责令停产整治：</w:t>
            </w:r>
          </w:p>
          <w:p>
            <w:pPr>
              <w:ind w:firstLine="420" w:firstLineChars="200"/>
              <w:rPr>
                <w:rFonts w:cs="Times New Roman"/>
                <w:highlight w:val="none"/>
              </w:rPr>
            </w:pPr>
            <w:r>
              <w:rPr>
                <w:rFonts w:hint="eastAsia" w:ascii="仿宋_GB2312" w:hAnsi="Times New Roman" w:eastAsia="仿宋_GB2312" w:cs="Times New Roman"/>
                <w:highlight w:val="none"/>
              </w:rPr>
              <w:t>（八）发现污染物排放自动监测设备传输数据异常或者污染物排放超过污染物排放标准等异常情况不报告；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8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Times New Roman"/>
                <w:b/>
                <w:bCs/>
                <w:highlight w:val="none"/>
              </w:rPr>
              <w:t>违法事实</w:t>
            </w:r>
            <w:r>
              <w:rPr>
                <w:rFonts w:hint="eastAsia" w:ascii="Times New Roman" w:hAnsi="Times New Roman" w:cs="宋体"/>
                <w:b/>
                <w:bCs/>
                <w:color w:val="000000"/>
                <w:highlight w:val="none"/>
              </w:rPr>
              <w:t>★</w:t>
            </w: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自动</w:t>
            </w:r>
            <w:r>
              <w:rPr>
                <w:rFonts w:ascii="Times New Roman" w:hAnsi="Times New Roman" w:eastAsia="仿宋_GB2312" w:cs="Times New Roman"/>
                <w:highlight w:val="none"/>
              </w:rPr>
              <w:t>监测设备传输数据异常，污染物排放未超标</w:t>
            </w:r>
          </w:p>
        </w:tc>
        <w:tc>
          <w:tcPr>
            <w:tcW w:w="2689" w:type="dxa"/>
            <w:vAlign w:val="center"/>
          </w:tcPr>
          <w:p>
            <w:pPr>
              <w:snapToGrid w:val="0"/>
              <w:jc w:val="center"/>
              <w:rPr>
                <w:rFonts w:ascii="Times New Roman" w:hAnsi="Times New Roman" w:cs="Times New Roman"/>
                <w:highlight w:val="none"/>
              </w:rPr>
            </w:pPr>
            <w:r>
              <w:rPr>
                <w:rFonts w:hint="eastAsia"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自动</w:t>
            </w:r>
            <w:r>
              <w:rPr>
                <w:rFonts w:ascii="Times New Roman" w:hAnsi="Times New Roman" w:eastAsia="仿宋_GB2312" w:cs="Times New Roman"/>
                <w:highlight w:val="none"/>
              </w:rPr>
              <w:t>监测设备传输数据异常，污染物排放超标</w:t>
            </w:r>
            <w:r>
              <w:rPr>
                <w:rFonts w:hint="eastAsia" w:ascii="Times New Roman" w:hAnsi="Times New Roman" w:eastAsia="仿宋_GB2312" w:cs="Times New Roman"/>
                <w:highlight w:val="none"/>
              </w:rPr>
              <w:t>，已</w:t>
            </w:r>
            <w:r>
              <w:rPr>
                <w:rFonts w:ascii="Times New Roman" w:hAnsi="Times New Roman" w:eastAsia="仿宋_GB2312" w:cs="Times New Roman"/>
                <w:highlight w:val="none"/>
              </w:rPr>
              <w:t>及时采取停产限产</w:t>
            </w:r>
            <w:r>
              <w:rPr>
                <w:rFonts w:hint="eastAsia" w:ascii="Times New Roman" w:hAnsi="Times New Roman" w:eastAsia="仿宋_GB2312" w:cs="Times New Roman"/>
                <w:highlight w:val="none"/>
              </w:rPr>
              <w:t>等</w:t>
            </w:r>
            <w:r>
              <w:rPr>
                <w:rFonts w:ascii="Times New Roman" w:hAnsi="Times New Roman" w:eastAsia="仿宋_GB2312" w:cs="Times New Roman"/>
                <w:highlight w:val="none"/>
              </w:rPr>
              <w:t>措施</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自动</w:t>
            </w:r>
            <w:r>
              <w:rPr>
                <w:rFonts w:ascii="Times New Roman" w:hAnsi="Times New Roman" w:eastAsia="仿宋_GB2312" w:cs="Times New Roman"/>
                <w:highlight w:val="none"/>
              </w:rPr>
              <w:t>监测设备传输数据异常，污染物排放超标</w:t>
            </w:r>
            <w:r>
              <w:rPr>
                <w:rFonts w:hint="eastAsia" w:ascii="Times New Roman" w:hAnsi="Times New Roman" w:eastAsia="仿宋_GB2312" w:cs="Times New Roman"/>
                <w:highlight w:val="none"/>
              </w:rPr>
              <w:t>，未</w:t>
            </w:r>
            <w:r>
              <w:rPr>
                <w:rFonts w:ascii="Times New Roman" w:hAnsi="Times New Roman" w:eastAsia="仿宋_GB2312" w:cs="Times New Roman"/>
                <w:highlight w:val="none"/>
              </w:rPr>
              <w:t>采取停产限产措施</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Times New Roman"/>
                <w:b/>
                <w:bCs/>
                <w:color w:val="000000"/>
                <w:highlight w:val="none"/>
              </w:rPr>
              <w:t>排污单位</w:t>
            </w:r>
          </w:p>
          <w:p>
            <w:pPr>
              <w:snapToGrid w:val="0"/>
              <w:jc w:val="center"/>
              <w:rPr>
                <w:rFonts w:ascii="Times New Roman" w:hAnsi="Times New Roman" w:cs="Times New Roman"/>
                <w:b/>
                <w:bCs/>
                <w:color w:val="000000"/>
                <w:highlight w:val="none"/>
              </w:rPr>
            </w:pPr>
            <w:r>
              <w:rPr>
                <w:rFonts w:ascii="Times New Roman" w:hAnsi="Times New Roman" w:cs="Times New Roman"/>
                <w:b/>
                <w:bCs/>
                <w:color w:val="000000"/>
                <w:highlight w:val="none"/>
              </w:rPr>
              <w:t>管理类别</w:t>
            </w:r>
          </w:p>
        </w:tc>
        <w:tc>
          <w:tcPr>
            <w:tcW w:w="5213" w:type="dxa"/>
            <w:vAlign w:val="center"/>
          </w:tcPr>
          <w:p>
            <w:pPr>
              <w:pStyle w:val="11"/>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sz w:val="21"/>
                <w:szCs w:val="21"/>
                <w:highlight w:val="none"/>
              </w:rPr>
              <w:t>简化</w:t>
            </w:r>
            <w:r>
              <w:rPr>
                <w:rFonts w:ascii="Times New Roman" w:hAnsi="Times New Roman" w:eastAsia="仿宋_GB2312" w:cs="Times New Roman"/>
                <w:color w:val="000000"/>
                <w:sz w:val="21"/>
                <w:szCs w:val="21"/>
                <w:highlight w:val="none"/>
              </w:rPr>
              <w:t>管理</w:t>
            </w:r>
          </w:p>
        </w:tc>
        <w:tc>
          <w:tcPr>
            <w:tcW w:w="2689"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sz w:val="21"/>
                <w:szCs w:val="21"/>
                <w:highlight w:val="none"/>
              </w:rPr>
              <w:t>重点</w:t>
            </w:r>
            <w:r>
              <w:rPr>
                <w:rFonts w:ascii="Times New Roman" w:hAnsi="Times New Roman" w:eastAsia="仿宋_GB2312" w:cs="Times New Roman"/>
                <w:color w:val="000000"/>
                <w:sz w:val="21"/>
                <w:szCs w:val="21"/>
                <w:highlight w:val="none"/>
              </w:rPr>
              <w:t>管理</w:t>
            </w:r>
          </w:p>
        </w:tc>
        <w:tc>
          <w:tcPr>
            <w:tcW w:w="2689"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Times New Roman"/>
                <w:color w:val="000000"/>
                <w:sz w:val="21"/>
                <w:szCs w:val="21"/>
                <w:highlight w:val="none"/>
              </w:rPr>
              <w:t>重点管理（化工、电镀、皮革、造纸、制浆、冶炼、放射性、印染、染料、炼焦、炼油项目）</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Times New Roman"/>
                <w:b/>
                <w:bCs/>
                <w:highlight w:val="none"/>
              </w:rPr>
              <w:t>信息</w:t>
            </w:r>
            <w:r>
              <w:rPr>
                <w:rFonts w:ascii="Times New Roman" w:hAnsi="Times New Roman" w:cs="Times New Roman"/>
                <w:b/>
                <w:bCs/>
                <w:highlight w:val="none"/>
              </w:rPr>
              <w:t>公开</w:t>
            </w:r>
          </w:p>
          <w:p>
            <w:pPr>
              <w:snapToGrid w:val="0"/>
              <w:jc w:val="center"/>
              <w:rPr>
                <w:rFonts w:ascii="Times New Roman" w:hAnsi="Times New Roman" w:cs="Times New Roman"/>
                <w:b/>
                <w:bCs/>
                <w:highlight w:val="none"/>
              </w:rPr>
            </w:pPr>
            <w:r>
              <w:rPr>
                <w:rFonts w:ascii="Times New Roman" w:hAnsi="Times New Roman" w:cs="Times New Roman"/>
                <w:b/>
                <w:bCs/>
                <w:highlight w:val="none"/>
              </w:rPr>
              <w:t>的及时性</w:t>
            </w: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延迟</w:t>
            </w:r>
            <w:r>
              <w:rPr>
                <w:rFonts w:ascii="Times New Roman" w:hAnsi="Times New Roman" w:eastAsia="仿宋_GB2312" w:cs="Times New Roman"/>
                <w:color w:val="000000"/>
                <w:highlight w:val="none"/>
              </w:rPr>
              <w:t>不到3</w:t>
            </w:r>
            <w:r>
              <w:rPr>
                <w:rFonts w:hint="eastAsia" w:ascii="Times New Roman" w:hAnsi="Times New Roman" w:eastAsia="仿宋_GB2312" w:cs="Times New Roman"/>
                <w:color w:val="000000"/>
                <w:highlight w:val="none"/>
              </w:rPr>
              <w:t>日</w:t>
            </w:r>
          </w:p>
        </w:tc>
        <w:tc>
          <w:tcPr>
            <w:tcW w:w="2689"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延迟</w:t>
            </w:r>
            <w:r>
              <w:rPr>
                <w:rFonts w:ascii="Times New Roman" w:hAnsi="Times New Roman" w:eastAsia="仿宋_GB2312" w:cs="仿宋_GB2312"/>
                <w:color w:val="000000"/>
                <w:highlight w:val="none"/>
              </w:rPr>
              <w:t>3</w:t>
            </w:r>
            <w:r>
              <w:rPr>
                <w:rFonts w:hint="eastAsia" w:ascii="Times New Roman" w:hAnsi="Times New Roman" w:eastAsia="仿宋_GB2312" w:cs="仿宋_GB2312"/>
                <w:color w:val="000000"/>
                <w:highlight w:val="none"/>
              </w:rPr>
              <w:t>日</w:t>
            </w:r>
            <w:r>
              <w:rPr>
                <w:rFonts w:ascii="Times New Roman" w:hAnsi="Times New Roman" w:eastAsia="仿宋_GB2312" w:cs="仿宋_GB2312"/>
                <w:color w:val="000000"/>
                <w:highlight w:val="none"/>
              </w:rPr>
              <w:t>以上，不到7</w:t>
            </w:r>
            <w:r>
              <w:rPr>
                <w:rFonts w:hint="eastAsia" w:ascii="Times New Roman" w:hAnsi="Times New Roman" w:eastAsia="仿宋_GB2312" w:cs="仿宋_GB2312"/>
                <w:color w:val="000000"/>
                <w:highlight w:val="none"/>
              </w:rPr>
              <w:t>日</w:t>
            </w:r>
          </w:p>
        </w:tc>
        <w:tc>
          <w:tcPr>
            <w:tcW w:w="2689"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仿宋_GB2312"/>
                <w:color w:val="000000"/>
                <w:highlight w:val="none"/>
              </w:rPr>
              <w:t>延迟</w:t>
            </w:r>
            <w:r>
              <w:rPr>
                <w:rFonts w:ascii="Times New Roman" w:hAnsi="Times New Roman" w:eastAsia="仿宋_GB2312" w:cs="仿宋_GB2312"/>
                <w:color w:val="000000"/>
                <w:highlight w:val="none"/>
              </w:rPr>
              <w:t>7</w:t>
            </w:r>
            <w:r>
              <w:rPr>
                <w:rFonts w:hint="eastAsia" w:ascii="Times New Roman" w:hAnsi="Times New Roman" w:eastAsia="仿宋_GB2312" w:cs="仿宋_GB2312"/>
                <w:color w:val="000000"/>
                <w:highlight w:val="none"/>
              </w:rPr>
              <w:t>日</w:t>
            </w:r>
            <w:r>
              <w:rPr>
                <w:rFonts w:ascii="Times New Roman" w:hAnsi="Times New Roman" w:eastAsia="仿宋_GB2312" w:cs="仿宋_GB2312"/>
                <w:color w:val="000000"/>
                <w:highlight w:val="none"/>
              </w:rPr>
              <w:t>以上</w:t>
            </w:r>
          </w:p>
        </w:tc>
        <w:tc>
          <w:tcPr>
            <w:tcW w:w="2689"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vAlign w:val="center"/>
          </w:tcPr>
          <w:p>
            <w:pPr>
              <w:snapToGrid w:val="0"/>
              <w:ind w:firstLine="420"/>
              <w:jc w:val="center"/>
              <w:rPr>
                <w:rFonts w:ascii="Times New Roman" w:hAnsi="Times New Roman" w:cs="Times New Roman"/>
                <w:highlight w:val="none"/>
              </w:rPr>
            </w:pPr>
          </w:p>
        </w:tc>
      </w:tr>
    </w:tbl>
    <w:p>
      <w:pPr>
        <w:rPr>
          <w:rFonts w:ascii="Times New Roman" w:hAnsi="Times New Roman" w:eastAsia="仿宋_GB2312" w:cs="Times New Roman"/>
          <w:sz w:val="10"/>
          <w:szCs w:val="10"/>
          <w:highlight w:val="none"/>
        </w:rPr>
      </w:pPr>
      <w:r>
        <w:rPr>
          <w:rFonts w:ascii="Times New Roman" w:hAnsi="Times New Roman" w:eastAsia="仿宋_GB2312" w:cs="Times New Roman"/>
          <w:sz w:val="10"/>
          <w:szCs w:val="10"/>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（八）其他类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0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02" w:type="dxa"/>
            <w:gridSpan w:val="2"/>
            <w:tcBorders>
              <w:top w:val="single" w:color="auto" w:sz="4" w:space="0"/>
              <w:left w:val="single" w:color="auto" w:sz="4" w:space="0"/>
              <w:bottom w:val="single" w:color="auto" w:sz="4" w:space="0"/>
              <w:right w:val="single" w:color="auto" w:sz="4" w:space="0"/>
            </w:tcBorders>
            <w:vAlign w:val="center"/>
          </w:tcPr>
          <w:p>
            <w:pPr>
              <w:pStyle w:val="36"/>
              <w:ind w:firstLine="480"/>
              <w:rPr>
                <w:color w:val="000000"/>
                <w:highlight w:val="none"/>
              </w:rPr>
            </w:pPr>
            <w:r>
              <w:rPr>
                <w:rFonts w:hint="eastAsia" w:ascii="仿宋_GB2312" w:eastAsia="仿宋_GB2312"/>
                <w:color w:val="000000"/>
                <w:kern w:val="0"/>
                <w:highlight w:val="none"/>
              </w:rPr>
              <w:t>未建立环境管理台账记录制度，或者未按照排污许可证规定记录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Borders>
              <w:top w:val="single" w:color="auto" w:sz="4" w:space="0"/>
              <w:left w:val="single" w:color="auto" w:sz="4" w:space="0"/>
              <w:bottom w:val="single" w:color="auto" w:sz="4" w:space="0"/>
              <w:right w:val="single" w:color="auto" w:sz="4" w:space="0"/>
            </w:tcBorders>
          </w:tcPr>
          <w:p>
            <w:pPr>
              <w:pStyle w:val="11"/>
              <w:ind w:firstLine="420"/>
              <w:rPr>
                <w:rFonts w:ascii="Times New Roman" w:hAnsi="Times New Roman" w:eastAsia="仿宋_GB2312" w:cs="Times New Roman"/>
                <w:sz w:val="21"/>
                <w:szCs w:val="21"/>
                <w:highlight w:val="none"/>
              </w:rPr>
            </w:pPr>
            <w:r>
              <w:rPr>
                <w:rFonts w:hint="eastAsia" w:ascii="仿宋_GB2312" w:hAnsi="Times New Roman" w:eastAsia="仿宋_GB2312" w:cs="Times New Roman"/>
                <w:b/>
                <w:bCs/>
                <w:sz w:val="21"/>
                <w:szCs w:val="21"/>
                <w:highlight w:val="none"/>
              </w:rPr>
              <w:t>《排污许可管理条例》第二十一条第一款</w:t>
            </w:r>
            <w:r>
              <w:rPr>
                <w:rFonts w:ascii="Times New Roman" w:hAnsi="Times New Roman" w:eastAsia="仿宋_GB2312" w:cs="Times New Roman"/>
                <w:sz w:val="21"/>
                <w:szCs w:val="21"/>
                <w:highlight w:val="none"/>
              </w:rPr>
              <w:t xml:space="preserve"> </w:t>
            </w:r>
            <w:r>
              <w:rPr>
                <w:rFonts w:hint="eastAsia" w:ascii="仿宋_GB2312" w:hAnsi="Times New Roman" w:eastAsia="仿宋_GB2312" w:cs="Times New Roman"/>
                <w:sz w:val="21"/>
                <w:szCs w:val="21"/>
                <w:highlight w:val="none"/>
              </w:rPr>
              <w:t>排污单位应当建立环境管理台账记录制度，按照排污许可证规定的格式、内容和频次，如实记录主要生产设施、污染防治设施运行情况以及污染物排放浓度、排放量。环境管理台账记录保存期限不得少于</w:t>
            </w:r>
            <w:r>
              <w:rPr>
                <w:rFonts w:hint="eastAsia" w:ascii="Times New Roman" w:hAnsi="Times New Roman" w:eastAsia="仿宋_GB2312" w:cs="Times New Roman"/>
                <w:sz w:val="21"/>
                <w:szCs w:val="21"/>
                <w:highlight w:val="none"/>
              </w:rPr>
              <w:t>5</w:t>
            </w:r>
            <w:r>
              <w:rPr>
                <w:rFonts w:hint="eastAsia" w:ascii="仿宋_GB2312" w:hAnsi="Times New Roman" w:eastAsia="仿宋_GB2312" w:cs="Times New Roman"/>
                <w:sz w:val="21"/>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Borders>
              <w:top w:val="single" w:color="auto" w:sz="4" w:space="0"/>
              <w:left w:val="single" w:color="auto" w:sz="4" w:space="0"/>
              <w:bottom w:val="single" w:color="auto" w:sz="4" w:space="0"/>
              <w:right w:val="single" w:color="auto" w:sz="4" w:space="0"/>
            </w:tcBorders>
          </w:tcPr>
          <w:p>
            <w:pPr>
              <w:pStyle w:val="11"/>
              <w:ind w:firstLine="420"/>
              <w:rPr>
                <w:rFonts w:ascii="Times New Roman" w:hAnsi="Times New Roman" w:eastAsia="仿宋_GB2312" w:cs="Times New Roman"/>
                <w:sz w:val="21"/>
                <w:szCs w:val="21"/>
                <w:highlight w:val="none"/>
              </w:rPr>
            </w:pPr>
            <w:r>
              <w:rPr>
                <w:rFonts w:hint="eastAsia" w:ascii="仿宋_GB2312" w:hAnsi="Times New Roman" w:eastAsia="仿宋_GB2312" w:cs="Times New Roman"/>
                <w:b/>
                <w:bCs/>
                <w:sz w:val="21"/>
                <w:szCs w:val="21"/>
                <w:highlight w:val="none"/>
              </w:rPr>
              <w:t>《排污许可管理条例》第三十七条第（一）项</w:t>
            </w:r>
            <w:r>
              <w:rPr>
                <w:rFonts w:ascii="Times New Roman" w:hAnsi="Times New Roman" w:eastAsia="仿宋_GB2312" w:cs="Times New Roman"/>
                <w:sz w:val="21"/>
                <w:szCs w:val="21"/>
                <w:highlight w:val="none"/>
              </w:rPr>
              <w:t xml:space="preserve"> </w:t>
            </w:r>
            <w:r>
              <w:rPr>
                <w:rFonts w:hint="eastAsia" w:ascii="仿宋_GB2312" w:hAnsi="Times New Roman" w:eastAsia="仿宋_GB2312" w:cs="Times New Roman"/>
                <w:sz w:val="21"/>
                <w:szCs w:val="21"/>
                <w:highlight w:val="none"/>
              </w:rPr>
              <w:t>违反本条例规定，排污单位有下列行为之一的，由生态环境主管部门责令改正，处每次</w:t>
            </w:r>
            <w:r>
              <w:rPr>
                <w:rFonts w:hint="eastAsia" w:ascii="Times New Roman" w:hAnsi="Times New Roman" w:eastAsia="仿宋_GB2312" w:cs="Times New Roman"/>
                <w:sz w:val="21"/>
                <w:szCs w:val="21"/>
                <w:highlight w:val="none"/>
              </w:rPr>
              <w:t>5</w:t>
            </w:r>
            <w:r>
              <w:rPr>
                <w:rFonts w:hint="eastAsia" w:ascii="仿宋_GB2312" w:hAnsi="Times New Roman" w:eastAsia="仿宋_GB2312" w:cs="Times New Roman"/>
                <w:sz w:val="21"/>
                <w:szCs w:val="21"/>
                <w:highlight w:val="none"/>
              </w:rPr>
              <w:t>千元以上</w:t>
            </w:r>
            <w:r>
              <w:rPr>
                <w:rFonts w:hint="eastAsia" w:ascii="Times New Roman" w:hAnsi="Times New Roman" w:eastAsia="仿宋_GB2312" w:cs="Times New Roman"/>
                <w:sz w:val="21"/>
                <w:szCs w:val="21"/>
                <w:highlight w:val="none"/>
              </w:rPr>
              <w:t>2</w:t>
            </w:r>
            <w:r>
              <w:rPr>
                <w:rFonts w:hint="eastAsia" w:ascii="仿宋_GB2312" w:hAnsi="Times New Roman" w:eastAsia="仿宋_GB2312" w:cs="Times New Roman"/>
                <w:sz w:val="21"/>
                <w:szCs w:val="21"/>
                <w:highlight w:val="none"/>
              </w:rPr>
              <w:t>万元以下的罚款；法律另有规定的，从其规定：</w:t>
            </w:r>
          </w:p>
          <w:p>
            <w:pPr>
              <w:ind w:firstLine="420" w:firstLineChars="200"/>
              <w:rPr>
                <w:rFonts w:cs="Times New Roman"/>
                <w:highlight w:val="none"/>
              </w:rPr>
            </w:pPr>
            <w:r>
              <w:rPr>
                <w:rFonts w:hint="eastAsia" w:ascii="仿宋_GB2312" w:hAnsi="Times New Roman" w:eastAsia="仿宋_GB2312" w:cs="Times New Roman"/>
                <w:highlight w:val="none"/>
              </w:rPr>
              <w:t>（一）未建立环境管理台账记录制度，或者未按照排污许可证规定记录；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8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Times New Roman"/>
                <w:b/>
                <w:bCs/>
                <w:highlight w:val="none"/>
              </w:rPr>
              <w:t>违法事实</w:t>
            </w:r>
            <w:r>
              <w:rPr>
                <w:rFonts w:hint="eastAsia" w:ascii="Times New Roman" w:hAnsi="Times New Roman" w:cs="宋体"/>
                <w:b/>
                <w:bCs/>
                <w:color w:val="000000"/>
                <w:highlight w:val="none"/>
              </w:rPr>
              <w:t>★</w:t>
            </w: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部分</w:t>
            </w:r>
            <w:r>
              <w:rPr>
                <w:rFonts w:ascii="Times New Roman" w:hAnsi="Times New Roman" w:eastAsia="仿宋_GB2312" w:cs="Times New Roman"/>
                <w:highlight w:val="none"/>
              </w:rPr>
              <w:t>台账未</w:t>
            </w:r>
            <w:r>
              <w:rPr>
                <w:rFonts w:hint="eastAsia" w:ascii="Times New Roman" w:hAnsi="Times New Roman" w:eastAsia="仿宋_GB2312" w:cs="Times New Roman"/>
                <w:highlight w:val="none"/>
              </w:rPr>
              <w:t>规范</w:t>
            </w:r>
            <w:r>
              <w:rPr>
                <w:rFonts w:ascii="Times New Roman" w:hAnsi="Times New Roman" w:eastAsia="仿宋_GB2312" w:cs="Times New Roman"/>
                <w:highlight w:val="none"/>
              </w:rPr>
              <w:t>记录</w:t>
            </w:r>
          </w:p>
        </w:tc>
        <w:tc>
          <w:tcPr>
            <w:tcW w:w="2689" w:type="dxa"/>
            <w:vAlign w:val="center"/>
          </w:tcPr>
          <w:p>
            <w:pPr>
              <w:snapToGrid w:val="0"/>
              <w:jc w:val="center"/>
              <w:rPr>
                <w:rFonts w:ascii="Times New Roman" w:hAnsi="Times New Roman" w:cs="Times New Roman"/>
                <w:highlight w:val="none"/>
              </w:rPr>
            </w:pPr>
            <w:r>
              <w:rPr>
                <w:rFonts w:hint="eastAsia"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仿宋_GB2312" w:hAnsi="Times New Roman" w:eastAsia="仿宋_GB2312" w:cs="Times New Roman"/>
                <w:highlight w:val="none"/>
              </w:rPr>
              <w:t>未建立环境管理台账记录制度，或者未按照排污许可证规定记录</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仿宋_GB2312" w:hAnsi="Times New Roman" w:eastAsia="仿宋_GB2312" w:cs="Times New Roman"/>
                <w:highlight w:val="none"/>
              </w:rPr>
              <w:t>未建立环境管理台账记录制度，且未按照排污许可证规定记录</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Times New Roman"/>
                <w:b/>
                <w:bCs/>
                <w:color w:val="000000"/>
                <w:highlight w:val="none"/>
              </w:rPr>
              <w:t>排污单位</w:t>
            </w:r>
          </w:p>
          <w:p>
            <w:pPr>
              <w:snapToGrid w:val="0"/>
              <w:jc w:val="center"/>
              <w:rPr>
                <w:rFonts w:ascii="Times New Roman" w:hAnsi="Times New Roman" w:cs="Times New Roman"/>
                <w:b/>
                <w:bCs/>
                <w:color w:val="000000"/>
                <w:highlight w:val="none"/>
              </w:rPr>
            </w:pPr>
            <w:r>
              <w:rPr>
                <w:rFonts w:ascii="Times New Roman" w:hAnsi="Times New Roman" w:cs="Times New Roman"/>
                <w:b/>
                <w:bCs/>
                <w:color w:val="000000"/>
                <w:highlight w:val="none"/>
              </w:rPr>
              <w:t>管理类别</w:t>
            </w:r>
          </w:p>
        </w:tc>
        <w:tc>
          <w:tcPr>
            <w:tcW w:w="5213" w:type="dxa"/>
            <w:vAlign w:val="center"/>
          </w:tcPr>
          <w:p>
            <w:pPr>
              <w:pStyle w:val="11"/>
              <w:snapToGrid w:val="0"/>
              <w:jc w:val="center"/>
              <w:rPr>
                <w:rFonts w:ascii="仿宋_GB2312" w:hAnsi="Times New Roman" w:eastAsia="仿宋_GB2312" w:cs="Times New Roman"/>
                <w:color w:val="000000"/>
                <w:highlight w:val="none"/>
              </w:rPr>
            </w:pPr>
            <w:r>
              <w:rPr>
                <w:rFonts w:hint="eastAsia" w:ascii="Times New Roman" w:hAnsi="Times New Roman" w:eastAsia="仿宋_GB2312" w:cs="Times New Roman"/>
                <w:color w:val="000000"/>
                <w:sz w:val="21"/>
                <w:szCs w:val="21"/>
                <w:highlight w:val="none"/>
              </w:rPr>
              <w:t>简化</w:t>
            </w:r>
            <w:r>
              <w:rPr>
                <w:rFonts w:ascii="Times New Roman" w:hAnsi="Times New Roman" w:eastAsia="仿宋_GB2312" w:cs="Times New Roman"/>
                <w:color w:val="000000"/>
                <w:sz w:val="21"/>
                <w:szCs w:val="21"/>
                <w:highlight w:val="none"/>
              </w:rPr>
              <w:t>管理</w:t>
            </w:r>
          </w:p>
        </w:tc>
        <w:tc>
          <w:tcPr>
            <w:tcW w:w="2689"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仿宋_GB2312" w:hAnsi="Times New Roman" w:eastAsia="仿宋_GB2312" w:cs="Times New Roman"/>
                <w:color w:val="000000"/>
                <w:highlight w:val="none"/>
              </w:rPr>
            </w:pPr>
            <w:r>
              <w:rPr>
                <w:rFonts w:hint="eastAsia" w:ascii="Times New Roman" w:hAnsi="Times New Roman" w:eastAsia="仿宋_GB2312" w:cs="Times New Roman"/>
                <w:color w:val="000000"/>
                <w:sz w:val="21"/>
                <w:szCs w:val="21"/>
                <w:highlight w:val="none"/>
              </w:rPr>
              <w:t>重点</w:t>
            </w:r>
            <w:r>
              <w:rPr>
                <w:rFonts w:ascii="Times New Roman" w:hAnsi="Times New Roman" w:eastAsia="仿宋_GB2312" w:cs="Times New Roman"/>
                <w:color w:val="000000"/>
                <w:sz w:val="21"/>
                <w:szCs w:val="21"/>
                <w:highlight w:val="none"/>
              </w:rPr>
              <w:t>管理</w:t>
            </w:r>
          </w:p>
        </w:tc>
        <w:tc>
          <w:tcPr>
            <w:tcW w:w="2689"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Times New Roman"/>
                <w:color w:val="000000"/>
                <w:sz w:val="21"/>
                <w:szCs w:val="21"/>
                <w:highlight w:val="none"/>
              </w:rPr>
              <w:t>重点管理（化工、电镀、皮革、造纸、制浆、冶炼、放射性、印染、染料、炼焦、炼油项目）</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vAlign w:val="center"/>
          </w:tcPr>
          <w:p>
            <w:pPr>
              <w:snapToGrid w:val="0"/>
              <w:ind w:firstLine="420"/>
              <w:jc w:val="center"/>
              <w:rPr>
                <w:rFonts w:ascii="Times New Roman" w:hAnsi="Times New Roman" w:cs="Times New Roman"/>
                <w:highlight w:val="none"/>
              </w:rPr>
            </w:pPr>
          </w:p>
        </w:tc>
      </w:tr>
    </w:tbl>
    <w:p>
      <w:pPr>
        <w:rPr>
          <w:rFonts w:ascii="Times New Roman" w:hAnsi="Times New Roman" w:eastAsia="仿宋_GB2312" w:cs="Times New Roman"/>
          <w:sz w:val="10"/>
          <w:szCs w:val="10"/>
          <w:highlight w:val="none"/>
        </w:rPr>
      </w:pPr>
      <w:r>
        <w:rPr>
          <w:rFonts w:ascii="Times New Roman" w:hAnsi="Times New Roman" w:eastAsia="仿宋_GB2312" w:cs="Times New Roman"/>
          <w:sz w:val="32"/>
          <w:szCs w:val="32"/>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（八）其他类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0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02" w:type="dxa"/>
            <w:gridSpan w:val="2"/>
            <w:tcBorders>
              <w:top w:val="single" w:color="auto" w:sz="4" w:space="0"/>
              <w:left w:val="single" w:color="auto" w:sz="4" w:space="0"/>
              <w:bottom w:val="single" w:color="auto" w:sz="4" w:space="0"/>
              <w:right w:val="single" w:color="auto" w:sz="4" w:space="0"/>
            </w:tcBorders>
            <w:vAlign w:val="center"/>
          </w:tcPr>
          <w:p>
            <w:pPr>
              <w:pStyle w:val="36"/>
              <w:ind w:firstLine="480"/>
              <w:rPr>
                <w:color w:val="000000"/>
                <w:highlight w:val="none"/>
              </w:rPr>
            </w:pPr>
            <w:r>
              <w:rPr>
                <w:rFonts w:hint="eastAsia" w:ascii="仿宋_GB2312" w:eastAsia="仿宋_GB2312"/>
                <w:color w:val="000000"/>
                <w:kern w:val="0"/>
                <w:highlight w:val="none"/>
              </w:rPr>
              <w:t>未如实记录主要生产设施及污染防治设施运行情况或者污染物排放浓度、排放量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Borders>
              <w:top w:val="single" w:color="auto" w:sz="4" w:space="0"/>
              <w:left w:val="single" w:color="auto" w:sz="4" w:space="0"/>
              <w:bottom w:val="single" w:color="auto" w:sz="4" w:space="0"/>
              <w:right w:val="single" w:color="auto" w:sz="4" w:space="0"/>
            </w:tcBorders>
          </w:tcPr>
          <w:p>
            <w:pPr>
              <w:pStyle w:val="11"/>
              <w:ind w:firstLine="420"/>
              <w:rPr>
                <w:rFonts w:ascii="Times New Roman" w:hAnsi="Times New Roman" w:eastAsia="仿宋_GB2312" w:cs="Times New Roman"/>
                <w:sz w:val="21"/>
                <w:szCs w:val="21"/>
                <w:highlight w:val="none"/>
              </w:rPr>
            </w:pPr>
            <w:r>
              <w:rPr>
                <w:rFonts w:hint="eastAsia" w:ascii="仿宋_GB2312" w:hAnsi="Times New Roman" w:eastAsia="仿宋_GB2312" w:cs="Times New Roman"/>
                <w:b/>
                <w:bCs/>
                <w:sz w:val="21"/>
                <w:szCs w:val="21"/>
                <w:highlight w:val="none"/>
              </w:rPr>
              <w:t>《排污许可管理条例》第二十一条第一款</w:t>
            </w:r>
            <w:r>
              <w:rPr>
                <w:rFonts w:ascii="Times New Roman" w:hAnsi="Times New Roman" w:eastAsia="仿宋_GB2312" w:cs="Times New Roman"/>
                <w:sz w:val="21"/>
                <w:szCs w:val="21"/>
                <w:highlight w:val="none"/>
              </w:rPr>
              <w:t xml:space="preserve"> </w:t>
            </w:r>
            <w:r>
              <w:rPr>
                <w:rFonts w:hint="eastAsia" w:ascii="仿宋_GB2312" w:hAnsi="Times New Roman" w:eastAsia="仿宋_GB2312" w:cs="Times New Roman"/>
                <w:sz w:val="21"/>
                <w:szCs w:val="21"/>
                <w:highlight w:val="none"/>
              </w:rPr>
              <w:t>排污单位应当建立环境管理台账记录制度，按照排污许可证规定的格式、内容和频次，如实记录主要生产设施、污染防治设施运行情况以及污染物排放浓度、排放量。环境管理台账记录保存期限不得少于</w:t>
            </w:r>
            <w:r>
              <w:rPr>
                <w:rFonts w:hint="eastAsia" w:ascii="Times New Roman" w:hAnsi="Times New Roman" w:eastAsia="仿宋_GB2312" w:cs="Times New Roman"/>
                <w:sz w:val="21"/>
                <w:szCs w:val="21"/>
                <w:highlight w:val="none"/>
              </w:rPr>
              <w:t>5</w:t>
            </w:r>
            <w:r>
              <w:rPr>
                <w:rFonts w:hint="eastAsia" w:ascii="仿宋_GB2312" w:hAnsi="Times New Roman" w:eastAsia="仿宋_GB2312" w:cs="Times New Roman"/>
                <w:sz w:val="21"/>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Borders>
              <w:top w:val="single" w:color="auto" w:sz="4" w:space="0"/>
              <w:left w:val="single" w:color="auto" w:sz="4" w:space="0"/>
              <w:bottom w:val="single" w:color="auto" w:sz="4" w:space="0"/>
              <w:right w:val="single" w:color="auto" w:sz="4" w:space="0"/>
            </w:tcBorders>
          </w:tcPr>
          <w:p>
            <w:pPr>
              <w:pStyle w:val="11"/>
              <w:ind w:firstLine="420"/>
              <w:rPr>
                <w:rFonts w:ascii="Times New Roman" w:hAnsi="Times New Roman" w:eastAsia="仿宋_GB2312" w:cs="Times New Roman"/>
                <w:sz w:val="21"/>
                <w:szCs w:val="21"/>
                <w:highlight w:val="none"/>
              </w:rPr>
            </w:pPr>
            <w:r>
              <w:rPr>
                <w:rFonts w:hint="eastAsia" w:ascii="仿宋_GB2312" w:hAnsi="Times New Roman" w:eastAsia="仿宋_GB2312" w:cs="Times New Roman"/>
                <w:b/>
                <w:bCs/>
                <w:sz w:val="21"/>
                <w:szCs w:val="21"/>
                <w:highlight w:val="none"/>
              </w:rPr>
              <w:t>《排污许可管理条例》第三十七条第（二）项</w:t>
            </w:r>
            <w:r>
              <w:rPr>
                <w:rFonts w:ascii="Times New Roman" w:hAnsi="Times New Roman" w:eastAsia="仿宋_GB2312" w:cs="Times New Roman"/>
                <w:sz w:val="21"/>
                <w:szCs w:val="21"/>
                <w:highlight w:val="none"/>
              </w:rPr>
              <w:t xml:space="preserve"> </w:t>
            </w:r>
            <w:r>
              <w:rPr>
                <w:rFonts w:hint="eastAsia" w:ascii="仿宋_GB2312" w:hAnsi="Times New Roman" w:eastAsia="仿宋_GB2312" w:cs="Times New Roman"/>
                <w:sz w:val="21"/>
                <w:szCs w:val="21"/>
                <w:highlight w:val="none"/>
              </w:rPr>
              <w:t>违反本条例规定，排污单位有下列行为之一的，由生态环境主管部门责令改正，处每次</w:t>
            </w:r>
            <w:r>
              <w:rPr>
                <w:rFonts w:hint="eastAsia" w:ascii="Times New Roman" w:hAnsi="Times New Roman" w:eastAsia="仿宋_GB2312" w:cs="Times New Roman"/>
                <w:sz w:val="21"/>
                <w:szCs w:val="21"/>
                <w:highlight w:val="none"/>
              </w:rPr>
              <w:t>5</w:t>
            </w:r>
            <w:r>
              <w:rPr>
                <w:rFonts w:hint="eastAsia" w:ascii="仿宋_GB2312" w:hAnsi="Times New Roman" w:eastAsia="仿宋_GB2312" w:cs="Times New Roman"/>
                <w:sz w:val="21"/>
                <w:szCs w:val="21"/>
                <w:highlight w:val="none"/>
              </w:rPr>
              <w:t>千元以上</w:t>
            </w:r>
            <w:r>
              <w:rPr>
                <w:rFonts w:hint="eastAsia" w:ascii="Times New Roman" w:hAnsi="Times New Roman" w:eastAsia="仿宋_GB2312" w:cs="Times New Roman"/>
                <w:sz w:val="21"/>
                <w:szCs w:val="21"/>
                <w:highlight w:val="none"/>
              </w:rPr>
              <w:t>2</w:t>
            </w:r>
            <w:r>
              <w:rPr>
                <w:rFonts w:hint="eastAsia" w:ascii="仿宋_GB2312" w:hAnsi="Times New Roman" w:eastAsia="仿宋_GB2312" w:cs="Times New Roman"/>
                <w:sz w:val="21"/>
                <w:szCs w:val="21"/>
                <w:highlight w:val="none"/>
              </w:rPr>
              <w:t>万元以下的罚款；法律另有规定的，从其规定：</w:t>
            </w:r>
          </w:p>
          <w:p>
            <w:pPr>
              <w:ind w:firstLine="420" w:firstLineChars="200"/>
              <w:rPr>
                <w:rFonts w:cs="Times New Roman"/>
                <w:highlight w:val="none"/>
              </w:rPr>
            </w:pPr>
            <w:r>
              <w:rPr>
                <w:rFonts w:hint="eastAsia" w:ascii="仿宋_GB2312" w:hAnsi="Times New Roman" w:eastAsia="仿宋_GB2312" w:cs="Times New Roman"/>
                <w:highlight w:val="none"/>
              </w:rPr>
              <w:t>（二）未如实记录主要生产设施及污染防治设施运行情况或者污染物排放浓度、排放量；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8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Times New Roman"/>
                <w:b/>
                <w:bCs/>
                <w:highlight w:val="none"/>
              </w:rPr>
              <w:t>违法事实</w:t>
            </w:r>
            <w:r>
              <w:rPr>
                <w:rFonts w:hint="eastAsia" w:ascii="Times New Roman" w:hAnsi="Times New Roman" w:cs="宋体"/>
                <w:b/>
                <w:bCs/>
                <w:color w:val="000000"/>
                <w:highlight w:val="none"/>
              </w:rPr>
              <w:t>★</w:t>
            </w: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主要生产设施及污染防治设施运行情况或者污染物排放浓度、排放量部分信息</w:t>
            </w:r>
            <w:r>
              <w:rPr>
                <w:rFonts w:ascii="Times New Roman" w:hAnsi="Times New Roman" w:eastAsia="仿宋_GB2312" w:cs="Times New Roman"/>
                <w:highlight w:val="none"/>
              </w:rPr>
              <w:t>未记录的</w:t>
            </w:r>
          </w:p>
        </w:tc>
        <w:tc>
          <w:tcPr>
            <w:tcW w:w="2689" w:type="dxa"/>
            <w:vAlign w:val="center"/>
          </w:tcPr>
          <w:p>
            <w:pPr>
              <w:snapToGrid w:val="0"/>
              <w:jc w:val="center"/>
              <w:rPr>
                <w:rFonts w:ascii="Times New Roman" w:hAnsi="Times New Roman" w:cs="Times New Roman"/>
                <w:highlight w:val="none"/>
              </w:rPr>
            </w:pPr>
            <w:r>
              <w:rPr>
                <w:rFonts w:hint="eastAsia"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主要生产设施及污染防治设施运行情况或者污染物排放浓度、排放量未记录的</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主要生产设施及污染防治设施运行情况、污染物排放浓度、排放量均未</w:t>
            </w:r>
            <w:r>
              <w:rPr>
                <w:rFonts w:ascii="Times New Roman" w:hAnsi="Times New Roman" w:eastAsia="仿宋_GB2312" w:cs="Times New Roman"/>
                <w:highlight w:val="none"/>
              </w:rPr>
              <w:t>记录</w:t>
            </w:r>
            <w:r>
              <w:rPr>
                <w:rFonts w:hint="eastAsia" w:ascii="Times New Roman" w:hAnsi="Times New Roman" w:eastAsia="仿宋_GB2312" w:cs="Times New Roman"/>
                <w:highlight w:val="none"/>
              </w:rPr>
              <w:t>的</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Times New Roman"/>
                <w:b/>
                <w:bCs/>
                <w:color w:val="000000"/>
                <w:highlight w:val="none"/>
              </w:rPr>
              <w:t>排污单位</w:t>
            </w:r>
          </w:p>
          <w:p>
            <w:pPr>
              <w:snapToGrid w:val="0"/>
              <w:jc w:val="center"/>
              <w:rPr>
                <w:rFonts w:ascii="Times New Roman" w:hAnsi="Times New Roman" w:cs="Times New Roman"/>
                <w:b/>
                <w:bCs/>
                <w:color w:val="FF0000"/>
                <w:highlight w:val="none"/>
              </w:rPr>
            </w:pPr>
            <w:r>
              <w:rPr>
                <w:rFonts w:ascii="Times New Roman" w:hAnsi="Times New Roman" w:cs="Times New Roman"/>
                <w:b/>
                <w:bCs/>
                <w:color w:val="000000"/>
                <w:highlight w:val="none"/>
              </w:rPr>
              <w:t>管理类别</w:t>
            </w:r>
          </w:p>
        </w:tc>
        <w:tc>
          <w:tcPr>
            <w:tcW w:w="5213" w:type="dxa"/>
            <w:vAlign w:val="center"/>
          </w:tcPr>
          <w:p>
            <w:pPr>
              <w:pStyle w:val="11"/>
              <w:snapToGrid w:val="0"/>
              <w:jc w:val="center"/>
              <w:rPr>
                <w:rFonts w:ascii="Times New Roman" w:hAnsi="Times New Roman" w:eastAsia="仿宋_GB2312" w:cs="Times New Roman"/>
                <w:color w:val="FF0000"/>
                <w:highlight w:val="none"/>
              </w:rPr>
            </w:pPr>
            <w:r>
              <w:rPr>
                <w:rFonts w:hint="eastAsia" w:ascii="Times New Roman" w:hAnsi="Times New Roman" w:eastAsia="仿宋_GB2312" w:cs="Times New Roman"/>
                <w:color w:val="000000"/>
                <w:sz w:val="21"/>
                <w:szCs w:val="21"/>
                <w:highlight w:val="none"/>
              </w:rPr>
              <w:t>简化</w:t>
            </w:r>
            <w:r>
              <w:rPr>
                <w:rFonts w:ascii="Times New Roman" w:hAnsi="Times New Roman" w:eastAsia="仿宋_GB2312" w:cs="Times New Roman"/>
                <w:color w:val="000000"/>
                <w:sz w:val="21"/>
                <w:szCs w:val="21"/>
                <w:highlight w:val="none"/>
              </w:rPr>
              <w:t>管理</w:t>
            </w:r>
          </w:p>
        </w:tc>
        <w:tc>
          <w:tcPr>
            <w:tcW w:w="2689" w:type="dxa"/>
            <w:vAlign w:val="center"/>
          </w:tcPr>
          <w:p>
            <w:pPr>
              <w:snapToGrid w:val="0"/>
              <w:jc w:val="center"/>
              <w:rPr>
                <w:rFonts w:ascii="Times New Roman" w:hAnsi="Times New Roman" w:eastAsia="仿宋_GB2312" w:cs="Times New Roman"/>
                <w:color w:val="FF0000"/>
                <w:highlight w:val="none"/>
              </w:rPr>
            </w:pPr>
            <w:r>
              <w:rPr>
                <w:rFonts w:hint="eastAsia"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FF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FF0000"/>
                <w:highlight w:val="none"/>
              </w:rPr>
            </w:pPr>
            <w:r>
              <w:rPr>
                <w:rFonts w:hint="eastAsia" w:ascii="Times New Roman" w:hAnsi="Times New Roman" w:eastAsia="仿宋_GB2312" w:cs="Times New Roman"/>
                <w:color w:val="000000"/>
                <w:sz w:val="21"/>
                <w:szCs w:val="21"/>
                <w:highlight w:val="none"/>
              </w:rPr>
              <w:t>重点</w:t>
            </w:r>
            <w:r>
              <w:rPr>
                <w:rFonts w:ascii="Times New Roman" w:hAnsi="Times New Roman" w:eastAsia="仿宋_GB2312" w:cs="Times New Roman"/>
                <w:color w:val="000000"/>
                <w:sz w:val="21"/>
                <w:szCs w:val="21"/>
                <w:highlight w:val="none"/>
              </w:rPr>
              <w:t>管理</w:t>
            </w:r>
          </w:p>
        </w:tc>
        <w:tc>
          <w:tcPr>
            <w:tcW w:w="2689" w:type="dxa"/>
            <w:vAlign w:val="center"/>
          </w:tcPr>
          <w:p>
            <w:pPr>
              <w:snapToGrid w:val="0"/>
              <w:jc w:val="center"/>
              <w:rPr>
                <w:rFonts w:ascii="Times New Roman" w:hAnsi="Times New Roman" w:eastAsia="仿宋_GB2312" w:cs="Times New Roman"/>
                <w:color w:val="FF0000"/>
                <w:highlight w:val="none"/>
              </w:rPr>
            </w:pPr>
            <w:r>
              <w:rPr>
                <w:rFonts w:hint="eastAsia"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FF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FF0000"/>
                <w:sz w:val="21"/>
                <w:szCs w:val="21"/>
                <w:highlight w:val="none"/>
              </w:rPr>
            </w:pPr>
            <w:r>
              <w:rPr>
                <w:rFonts w:hint="eastAsia" w:ascii="Times New Roman" w:hAnsi="Times New Roman" w:eastAsia="仿宋_GB2312" w:cs="Times New Roman"/>
                <w:color w:val="000000"/>
                <w:sz w:val="21"/>
                <w:szCs w:val="21"/>
                <w:highlight w:val="none"/>
              </w:rPr>
              <w:t>重点管理（化工、电镀、皮革、造纸、制浆、冶炼、放射性、印染、染料、炼焦、炼油项目）</w:t>
            </w:r>
          </w:p>
        </w:tc>
        <w:tc>
          <w:tcPr>
            <w:tcW w:w="2689" w:type="dxa"/>
            <w:vAlign w:val="center"/>
          </w:tcPr>
          <w:p>
            <w:pPr>
              <w:snapToGrid w:val="0"/>
              <w:jc w:val="center"/>
              <w:rPr>
                <w:rFonts w:ascii="Times New Roman" w:hAnsi="Times New Roman" w:eastAsia="仿宋_GB2312" w:cs="Times New Roman"/>
                <w:color w:val="FF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Times New Roman"/>
                <w:b/>
                <w:bCs/>
                <w:highlight w:val="none"/>
              </w:rPr>
              <w:t>污染物</w:t>
            </w:r>
            <w:r>
              <w:rPr>
                <w:rFonts w:ascii="Times New Roman" w:hAnsi="Times New Roman" w:cs="Times New Roman"/>
                <w:b/>
                <w:bCs/>
                <w:highlight w:val="none"/>
              </w:rPr>
              <w:t>类别</w:t>
            </w: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排放生活、服务、农业等废气、废水或其他污染物</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排放一般工业废气、废水或其他污染物</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排放含有毒有害物质的废气或废水、医疗废水、含一类污染物或重金属、病原体、放射性物质的废水或其他污染物</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vAlign w:val="center"/>
          </w:tcPr>
          <w:p>
            <w:pPr>
              <w:snapToGrid w:val="0"/>
              <w:ind w:firstLine="420"/>
              <w:jc w:val="center"/>
              <w:rPr>
                <w:rFonts w:ascii="Times New Roman" w:hAnsi="Times New Roman" w:cs="Times New Roman"/>
                <w:highlight w:val="none"/>
              </w:rPr>
            </w:pPr>
          </w:p>
        </w:tc>
      </w:tr>
    </w:tbl>
    <w:p>
      <w:pPr>
        <w:rPr>
          <w:rFonts w:ascii="Times New Roman" w:hAnsi="Times New Roman" w:eastAsia="仿宋_GB2312" w:cs="Times New Roman"/>
          <w:highlight w:val="none"/>
        </w:rPr>
      </w:pPr>
      <w:r>
        <w:rPr>
          <w:rFonts w:ascii="Times New Roman" w:hAnsi="Times New Roman" w:eastAsia="仿宋_GB2312" w:cs="Times New Roman"/>
          <w:sz w:val="32"/>
          <w:szCs w:val="32"/>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（八）其他类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0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02" w:type="dxa"/>
            <w:gridSpan w:val="2"/>
            <w:tcBorders>
              <w:top w:val="single" w:color="auto" w:sz="4" w:space="0"/>
              <w:left w:val="single" w:color="auto" w:sz="4" w:space="0"/>
              <w:bottom w:val="single" w:color="auto" w:sz="4" w:space="0"/>
              <w:right w:val="single" w:color="auto" w:sz="4" w:space="0"/>
            </w:tcBorders>
            <w:vAlign w:val="center"/>
          </w:tcPr>
          <w:p>
            <w:pPr>
              <w:pStyle w:val="36"/>
              <w:ind w:firstLine="480"/>
              <w:rPr>
                <w:color w:val="000000"/>
                <w:highlight w:val="none"/>
              </w:rPr>
            </w:pPr>
            <w:r>
              <w:rPr>
                <w:rFonts w:hint="eastAsia" w:ascii="仿宋_GB2312" w:eastAsia="仿宋_GB2312"/>
                <w:color w:val="000000"/>
                <w:kern w:val="0"/>
                <w:highlight w:val="none"/>
              </w:rPr>
              <w:t>未按照排污许可证规定提交排污许可证执行报告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Borders>
              <w:top w:val="single" w:color="auto" w:sz="4" w:space="0"/>
              <w:left w:val="single" w:color="auto" w:sz="4" w:space="0"/>
              <w:bottom w:val="single" w:color="auto" w:sz="4" w:space="0"/>
              <w:right w:val="single" w:color="auto" w:sz="4" w:space="0"/>
            </w:tcBorders>
          </w:tcPr>
          <w:p>
            <w:pPr>
              <w:pStyle w:val="11"/>
              <w:ind w:firstLine="420"/>
              <w:rPr>
                <w:rFonts w:ascii="Times New Roman" w:hAnsi="Times New Roman" w:eastAsia="仿宋_GB2312" w:cs="Times New Roman"/>
                <w:sz w:val="21"/>
                <w:szCs w:val="21"/>
                <w:highlight w:val="none"/>
              </w:rPr>
            </w:pPr>
            <w:r>
              <w:rPr>
                <w:rFonts w:hint="eastAsia" w:ascii="仿宋_GB2312" w:hAnsi="Times New Roman" w:eastAsia="仿宋_GB2312" w:cs="Times New Roman"/>
                <w:b/>
                <w:bCs/>
                <w:sz w:val="21"/>
                <w:szCs w:val="21"/>
                <w:highlight w:val="none"/>
              </w:rPr>
              <w:t>《排污许可管理条例》第二十二条第一款</w:t>
            </w:r>
            <w:r>
              <w:rPr>
                <w:rFonts w:ascii="Times New Roman" w:hAnsi="Times New Roman" w:eastAsia="仿宋_GB2312" w:cs="Times New Roman"/>
                <w:sz w:val="21"/>
                <w:szCs w:val="21"/>
                <w:highlight w:val="none"/>
              </w:rPr>
              <w:t xml:space="preserve"> </w:t>
            </w:r>
            <w:r>
              <w:rPr>
                <w:rFonts w:hint="eastAsia" w:ascii="仿宋_GB2312" w:hAnsi="Times New Roman" w:eastAsia="仿宋_GB2312" w:cs="Times New Roman"/>
                <w:sz w:val="21"/>
                <w:szCs w:val="21"/>
                <w:highlight w:val="none"/>
              </w:rPr>
              <w:t>排污单位应当按照排污许可证规定的内容、频次和时间要求，向审批部门提交排污许可证执行报告，如实报告污染物排放行为、排放浓度、排放量等。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Borders>
              <w:top w:val="single" w:color="auto" w:sz="4" w:space="0"/>
              <w:left w:val="single" w:color="auto" w:sz="4" w:space="0"/>
              <w:bottom w:val="single" w:color="auto" w:sz="4" w:space="0"/>
              <w:right w:val="single" w:color="auto" w:sz="4" w:space="0"/>
            </w:tcBorders>
          </w:tcPr>
          <w:p>
            <w:pPr>
              <w:pStyle w:val="11"/>
              <w:ind w:firstLine="420"/>
              <w:rPr>
                <w:rFonts w:ascii="Times New Roman" w:hAnsi="Times New Roman" w:eastAsia="仿宋_GB2312" w:cs="Times New Roman"/>
                <w:sz w:val="21"/>
                <w:szCs w:val="21"/>
                <w:highlight w:val="none"/>
              </w:rPr>
            </w:pPr>
            <w:r>
              <w:rPr>
                <w:rFonts w:hint="eastAsia" w:ascii="仿宋_GB2312" w:hAnsi="Times New Roman" w:eastAsia="仿宋_GB2312" w:cs="Times New Roman"/>
                <w:b/>
                <w:bCs/>
                <w:sz w:val="21"/>
                <w:szCs w:val="21"/>
                <w:highlight w:val="none"/>
              </w:rPr>
              <w:t>《排污许可管理条例》第三十七条第（三）项</w:t>
            </w:r>
            <w:r>
              <w:rPr>
                <w:rFonts w:ascii="Times New Roman" w:hAnsi="Times New Roman" w:eastAsia="仿宋_GB2312" w:cs="Times New Roman"/>
                <w:sz w:val="21"/>
                <w:szCs w:val="21"/>
                <w:highlight w:val="none"/>
              </w:rPr>
              <w:t xml:space="preserve"> </w:t>
            </w:r>
            <w:r>
              <w:rPr>
                <w:rFonts w:hint="eastAsia" w:ascii="仿宋_GB2312" w:hAnsi="Times New Roman" w:eastAsia="仿宋_GB2312" w:cs="Times New Roman"/>
                <w:sz w:val="21"/>
                <w:szCs w:val="21"/>
                <w:highlight w:val="none"/>
              </w:rPr>
              <w:t>违反本条例规定，排污单位有下列行为之一的，由生态环境主管部门责令改正，处每次</w:t>
            </w:r>
            <w:r>
              <w:rPr>
                <w:rFonts w:hint="eastAsia" w:ascii="Times New Roman" w:hAnsi="Times New Roman" w:eastAsia="仿宋_GB2312" w:cs="Times New Roman"/>
                <w:sz w:val="21"/>
                <w:szCs w:val="21"/>
                <w:highlight w:val="none"/>
              </w:rPr>
              <w:t>5</w:t>
            </w:r>
            <w:r>
              <w:rPr>
                <w:rFonts w:hint="eastAsia" w:ascii="仿宋_GB2312" w:hAnsi="Times New Roman" w:eastAsia="仿宋_GB2312" w:cs="Times New Roman"/>
                <w:sz w:val="21"/>
                <w:szCs w:val="21"/>
                <w:highlight w:val="none"/>
              </w:rPr>
              <w:t>千元以上</w:t>
            </w:r>
            <w:r>
              <w:rPr>
                <w:rFonts w:hint="eastAsia" w:ascii="Times New Roman" w:hAnsi="Times New Roman" w:eastAsia="仿宋_GB2312" w:cs="Times New Roman"/>
                <w:sz w:val="21"/>
                <w:szCs w:val="21"/>
                <w:highlight w:val="none"/>
              </w:rPr>
              <w:t>2</w:t>
            </w:r>
            <w:r>
              <w:rPr>
                <w:rFonts w:hint="eastAsia" w:ascii="仿宋_GB2312" w:hAnsi="Times New Roman" w:eastAsia="仿宋_GB2312" w:cs="Times New Roman"/>
                <w:sz w:val="21"/>
                <w:szCs w:val="21"/>
                <w:highlight w:val="none"/>
              </w:rPr>
              <w:t>万元以下的罚款；法律另有规定的，从其规定：</w:t>
            </w:r>
          </w:p>
          <w:p>
            <w:pPr>
              <w:ind w:firstLine="420" w:firstLineChars="200"/>
              <w:rPr>
                <w:rFonts w:cs="Times New Roman"/>
                <w:highlight w:val="none"/>
              </w:rPr>
            </w:pPr>
            <w:r>
              <w:rPr>
                <w:rFonts w:hint="eastAsia" w:ascii="仿宋_GB2312" w:hAnsi="Times New Roman" w:eastAsia="仿宋_GB2312" w:cs="Times New Roman"/>
                <w:highlight w:val="none"/>
              </w:rPr>
              <w:t>（三）未按照排污许可证规定提交排污许可证执行报告；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8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Times New Roman"/>
                <w:b/>
                <w:bCs/>
                <w:color w:val="000000"/>
                <w:highlight w:val="none"/>
              </w:rPr>
              <w:t>排污单位</w:t>
            </w:r>
          </w:p>
          <w:p>
            <w:pPr>
              <w:snapToGrid w:val="0"/>
              <w:jc w:val="center"/>
              <w:rPr>
                <w:rFonts w:ascii="Times New Roman" w:hAnsi="Times New Roman" w:cs="Times New Roman"/>
                <w:b/>
                <w:bCs/>
                <w:color w:val="000000"/>
                <w:highlight w:val="none"/>
              </w:rPr>
            </w:pPr>
            <w:r>
              <w:rPr>
                <w:rFonts w:ascii="Times New Roman" w:hAnsi="Times New Roman" w:cs="Times New Roman"/>
                <w:b/>
                <w:bCs/>
                <w:color w:val="000000"/>
                <w:highlight w:val="none"/>
              </w:rPr>
              <w:t>管理类别</w:t>
            </w:r>
            <w:r>
              <w:rPr>
                <w:rFonts w:hint="eastAsia" w:ascii="Times New Roman" w:hAnsi="Times New Roman" w:cs="宋体"/>
                <w:b/>
                <w:bCs/>
                <w:color w:val="000000"/>
                <w:highlight w:val="none"/>
              </w:rPr>
              <w:t>★</w:t>
            </w:r>
          </w:p>
        </w:tc>
        <w:tc>
          <w:tcPr>
            <w:tcW w:w="521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Times New Roman"/>
                <w:color w:val="000000"/>
                <w:sz w:val="21"/>
                <w:szCs w:val="21"/>
                <w:highlight w:val="none"/>
              </w:rPr>
              <w:t>简化</w:t>
            </w:r>
            <w:r>
              <w:rPr>
                <w:rFonts w:ascii="Times New Roman" w:hAnsi="Times New Roman" w:eastAsia="仿宋_GB2312" w:cs="Times New Roman"/>
                <w:color w:val="000000"/>
                <w:sz w:val="21"/>
                <w:szCs w:val="21"/>
                <w:highlight w:val="none"/>
              </w:rPr>
              <w:t>管理</w:t>
            </w:r>
          </w:p>
        </w:tc>
        <w:tc>
          <w:tcPr>
            <w:tcW w:w="2689" w:type="dxa"/>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Times New Roman"/>
                <w:color w:val="000000"/>
                <w:sz w:val="21"/>
                <w:szCs w:val="21"/>
                <w:highlight w:val="none"/>
              </w:rPr>
              <w:t>重点</w:t>
            </w:r>
            <w:r>
              <w:rPr>
                <w:rFonts w:ascii="Times New Roman" w:hAnsi="Times New Roman" w:eastAsia="仿宋_GB2312" w:cs="Times New Roman"/>
                <w:color w:val="000000"/>
                <w:sz w:val="21"/>
                <w:szCs w:val="21"/>
                <w:highlight w:val="none"/>
              </w:rPr>
              <w:t>管理</w:t>
            </w:r>
          </w:p>
        </w:tc>
        <w:tc>
          <w:tcPr>
            <w:tcW w:w="2689"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Times New Roman"/>
                <w:color w:val="000000"/>
                <w:sz w:val="21"/>
                <w:szCs w:val="21"/>
                <w:highlight w:val="none"/>
              </w:rPr>
              <w:t>重点管理（化工、电镀、皮革、造纸、制浆、冶炼、放射性、印染、染料、炼焦、炼油项目）</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Times New Roman"/>
                <w:b/>
                <w:bCs/>
                <w:highlight w:val="none"/>
              </w:rPr>
              <w:t>违法事实</w:t>
            </w: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季度或月度</w:t>
            </w:r>
            <w:r>
              <w:rPr>
                <w:rFonts w:hint="eastAsia" w:ascii="Times New Roman" w:hAnsi="Times New Roman" w:eastAsia="仿宋_GB2312" w:cs="Times New Roman"/>
                <w:highlight w:val="none"/>
              </w:rPr>
              <w:t>执行</w:t>
            </w:r>
            <w:r>
              <w:rPr>
                <w:rFonts w:ascii="Times New Roman" w:hAnsi="Times New Roman" w:eastAsia="仿宋_GB2312" w:cs="Times New Roman"/>
                <w:highlight w:val="none"/>
              </w:rPr>
              <w:t>报告</w:t>
            </w:r>
            <w:r>
              <w:rPr>
                <w:rFonts w:hint="eastAsia" w:ascii="Times New Roman" w:hAnsi="Times New Roman" w:eastAsia="仿宋_GB2312" w:cs="Times New Roman"/>
                <w:highlight w:val="none"/>
              </w:rPr>
              <w:t>缺失1次的</w:t>
            </w:r>
          </w:p>
        </w:tc>
        <w:tc>
          <w:tcPr>
            <w:tcW w:w="268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季度或月度</w:t>
            </w:r>
            <w:r>
              <w:rPr>
                <w:rFonts w:hint="eastAsia" w:ascii="Times New Roman" w:hAnsi="Times New Roman" w:eastAsia="仿宋_GB2312" w:cs="Times New Roman"/>
                <w:highlight w:val="none"/>
              </w:rPr>
              <w:t>执行</w:t>
            </w:r>
            <w:r>
              <w:rPr>
                <w:rFonts w:ascii="Times New Roman" w:hAnsi="Times New Roman" w:eastAsia="仿宋_GB2312" w:cs="Times New Roman"/>
                <w:highlight w:val="none"/>
              </w:rPr>
              <w:t>报告</w:t>
            </w:r>
            <w:r>
              <w:rPr>
                <w:rFonts w:hint="eastAsia" w:ascii="Times New Roman" w:hAnsi="Times New Roman" w:eastAsia="仿宋_GB2312" w:cs="Times New Roman"/>
                <w:highlight w:val="none"/>
              </w:rPr>
              <w:t>缺失</w:t>
            </w:r>
            <w:r>
              <w:rPr>
                <w:rFonts w:ascii="Times New Roman" w:hAnsi="Times New Roman" w:eastAsia="仿宋_GB2312" w:cs="Times New Roman"/>
                <w:highlight w:val="none"/>
              </w:rPr>
              <w:t>2</w:t>
            </w:r>
            <w:r>
              <w:rPr>
                <w:rFonts w:hint="eastAsia" w:ascii="Times New Roman" w:hAnsi="Times New Roman" w:eastAsia="仿宋_GB2312" w:cs="Times New Roman"/>
                <w:highlight w:val="none"/>
              </w:rPr>
              <w:t>次的</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季度或月度</w:t>
            </w:r>
            <w:r>
              <w:rPr>
                <w:rFonts w:hint="eastAsia" w:ascii="Times New Roman" w:hAnsi="Times New Roman" w:eastAsia="仿宋_GB2312" w:cs="Times New Roman"/>
                <w:highlight w:val="none"/>
              </w:rPr>
              <w:t>执行</w:t>
            </w:r>
            <w:r>
              <w:rPr>
                <w:rFonts w:ascii="Times New Roman" w:hAnsi="Times New Roman" w:eastAsia="仿宋_GB2312" w:cs="Times New Roman"/>
                <w:highlight w:val="none"/>
              </w:rPr>
              <w:t>报告</w:t>
            </w:r>
            <w:r>
              <w:rPr>
                <w:rFonts w:hint="eastAsia" w:ascii="Times New Roman" w:hAnsi="Times New Roman" w:eastAsia="仿宋_GB2312" w:cs="Times New Roman"/>
                <w:highlight w:val="none"/>
              </w:rPr>
              <w:t>缺失</w:t>
            </w:r>
            <w:r>
              <w:rPr>
                <w:rFonts w:ascii="Times New Roman" w:hAnsi="Times New Roman" w:eastAsia="仿宋_GB2312" w:cs="Times New Roman"/>
                <w:highlight w:val="none"/>
              </w:rPr>
              <w:t>3</w:t>
            </w:r>
            <w:r>
              <w:rPr>
                <w:rFonts w:hint="eastAsia" w:ascii="Times New Roman" w:hAnsi="Times New Roman" w:eastAsia="仿宋_GB2312" w:cs="Times New Roman"/>
                <w:highlight w:val="none"/>
              </w:rPr>
              <w:t>次及</w:t>
            </w:r>
            <w:r>
              <w:rPr>
                <w:rFonts w:ascii="Times New Roman" w:hAnsi="Times New Roman" w:eastAsia="仿宋_GB2312" w:cs="Times New Roman"/>
                <w:highlight w:val="none"/>
              </w:rPr>
              <w:t>以上，或者年度执行报告</w:t>
            </w:r>
            <w:r>
              <w:rPr>
                <w:rFonts w:hint="eastAsia" w:ascii="Times New Roman" w:hAnsi="Times New Roman" w:eastAsia="仿宋_GB2312" w:cs="Times New Roman"/>
                <w:highlight w:val="none"/>
              </w:rPr>
              <w:t>缺失的</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Times New Roman"/>
                <w:b/>
                <w:bCs/>
                <w:highlight w:val="none"/>
              </w:rPr>
              <w:t>逾期</w:t>
            </w:r>
            <w:r>
              <w:rPr>
                <w:rFonts w:ascii="Times New Roman" w:hAnsi="Times New Roman" w:cs="Times New Roman"/>
                <w:b/>
                <w:bCs/>
                <w:highlight w:val="none"/>
              </w:rPr>
              <w:t>未提交时间</w:t>
            </w: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color w:val="000000"/>
                <w:highlight w:val="none"/>
              </w:rPr>
              <w:t>7天以内的</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7天以上</w:t>
            </w:r>
            <w:r>
              <w:rPr>
                <w:rFonts w:ascii="Times New Roman" w:hAnsi="Times New Roman" w:eastAsia="仿宋_GB2312" w:cs="仿宋_GB2312"/>
                <w:color w:val="000000"/>
                <w:highlight w:val="none"/>
              </w:rPr>
              <w:t>不足</w:t>
            </w:r>
            <w:r>
              <w:rPr>
                <w:rFonts w:hint="eastAsia" w:ascii="Times New Roman" w:hAnsi="Times New Roman" w:eastAsia="仿宋_GB2312" w:cs="仿宋_GB2312"/>
                <w:color w:val="000000"/>
                <w:highlight w:val="none"/>
              </w:rPr>
              <w:t>15天的</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1</w:t>
            </w:r>
            <w:r>
              <w:rPr>
                <w:rFonts w:ascii="Times New Roman" w:hAnsi="Times New Roman" w:eastAsia="仿宋_GB2312" w:cs="仿宋_GB2312"/>
                <w:color w:val="000000"/>
                <w:highlight w:val="none"/>
              </w:rPr>
              <w:t>5</w:t>
            </w:r>
            <w:r>
              <w:rPr>
                <w:rFonts w:hint="eastAsia" w:ascii="Times New Roman" w:hAnsi="Times New Roman" w:eastAsia="仿宋_GB2312" w:cs="仿宋_GB2312"/>
                <w:color w:val="000000"/>
                <w:highlight w:val="none"/>
              </w:rPr>
              <w:t>天以上的</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vAlign w:val="center"/>
          </w:tcPr>
          <w:p>
            <w:pPr>
              <w:snapToGrid w:val="0"/>
              <w:ind w:firstLine="420"/>
              <w:jc w:val="center"/>
              <w:rPr>
                <w:rFonts w:ascii="Times New Roman" w:hAnsi="Times New Roman" w:cs="Times New Roman"/>
                <w:highlight w:val="none"/>
              </w:rPr>
            </w:pPr>
          </w:p>
        </w:tc>
      </w:tr>
    </w:tbl>
    <w:p>
      <w:pPr>
        <w:snapToGrid w:val="0"/>
        <w:rPr>
          <w:rFonts w:ascii="Times New Roman" w:hAnsi="Times New Roman" w:eastAsia="仿宋_GB2312" w:cs="Times New Roman"/>
          <w:sz w:val="10"/>
          <w:szCs w:val="10"/>
          <w:highlight w:val="none"/>
        </w:rPr>
      </w:pPr>
      <w:r>
        <w:rPr>
          <w:rFonts w:ascii="Times New Roman" w:hAnsi="Times New Roman" w:eastAsia="仿宋_GB2312" w:cs="Times New Roman"/>
          <w:sz w:val="32"/>
          <w:szCs w:val="32"/>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（八）其他类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0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02" w:type="dxa"/>
            <w:gridSpan w:val="2"/>
            <w:tcBorders>
              <w:top w:val="single" w:color="auto" w:sz="4" w:space="0"/>
              <w:left w:val="single" w:color="auto" w:sz="4" w:space="0"/>
              <w:bottom w:val="single" w:color="auto" w:sz="4" w:space="0"/>
              <w:right w:val="single" w:color="auto" w:sz="4" w:space="0"/>
            </w:tcBorders>
            <w:vAlign w:val="center"/>
          </w:tcPr>
          <w:p>
            <w:pPr>
              <w:pStyle w:val="36"/>
              <w:ind w:firstLine="480"/>
              <w:rPr>
                <w:color w:val="000000"/>
                <w:highlight w:val="none"/>
              </w:rPr>
            </w:pPr>
            <w:r>
              <w:rPr>
                <w:rFonts w:hint="eastAsia" w:ascii="仿宋_GB2312" w:eastAsia="仿宋_GB2312"/>
                <w:color w:val="000000"/>
                <w:kern w:val="0"/>
                <w:highlight w:val="none"/>
              </w:rPr>
              <w:t>未如实报告污染物排放行为或者污染物排放浓度、排放量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Borders>
              <w:top w:val="single" w:color="auto" w:sz="4" w:space="0"/>
              <w:left w:val="single" w:color="auto" w:sz="4" w:space="0"/>
              <w:bottom w:val="single" w:color="auto" w:sz="4" w:space="0"/>
              <w:right w:val="single" w:color="auto" w:sz="4" w:space="0"/>
            </w:tcBorders>
          </w:tcPr>
          <w:p>
            <w:pPr>
              <w:pStyle w:val="11"/>
              <w:ind w:firstLine="420"/>
              <w:rPr>
                <w:rFonts w:ascii="Times New Roman" w:hAnsi="Times New Roman" w:eastAsia="仿宋_GB2312" w:cs="Times New Roman"/>
                <w:sz w:val="21"/>
                <w:szCs w:val="21"/>
                <w:highlight w:val="none"/>
              </w:rPr>
            </w:pPr>
            <w:r>
              <w:rPr>
                <w:rFonts w:hint="eastAsia" w:ascii="仿宋_GB2312" w:hAnsi="Times New Roman" w:eastAsia="仿宋_GB2312" w:cs="Times New Roman"/>
                <w:b/>
                <w:bCs/>
                <w:sz w:val="21"/>
                <w:szCs w:val="21"/>
                <w:highlight w:val="none"/>
              </w:rPr>
              <w:t>《排污许可管理条例》第二十二条第一款</w:t>
            </w:r>
            <w:r>
              <w:rPr>
                <w:rFonts w:ascii="Times New Roman" w:hAnsi="Times New Roman" w:eastAsia="仿宋_GB2312" w:cs="Times New Roman"/>
                <w:sz w:val="21"/>
                <w:szCs w:val="21"/>
                <w:highlight w:val="none"/>
              </w:rPr>
              <w:t xml:space="preserve"> </w:t>
            </w:r>
            <w:r>
              <w:rPr>
                <w:rFonts w:hint="eastAsia" w:ascii="仿宋_GB2312" w:hAnsi="Times New Roman" w:eastAsia="仿宋_GB2312" w:cs="Times New Roman"/>
                <w:sz w:val="21"/>
                <w:szCs w:val="21"/>
                <w:highlight w:val="none"/>
              </w:rPr>
              <w:t>排污单位应当按照排污许可证规定的内容、频次和时间要求，向审批部门提交排污许可证执行报告，如实报告污染物排放行为、排放浓度、排放量等。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Borders>
              <w:top w:val="single" w:color="auto" w:sz="4" w:space="0"/>
              <w:left w:val="single" w:color="auto" w:sz="4" w:space="0"/>
              <w:bottom w:val="single" w:color="auto" w:sz="4" w:space="0"/>
              <w:right w:val="single" w:color="auto" w:sz="4" w:space="0"/>
            </w:tcBorders>
          </w:tcPr>
          <w:p>
            <w:pPr>
              <w:pStyle w:val="11"/>
              <w:ind w:firstLine="420"/>
              <w:rPr>
                <w:rFonts w:ascii="Times New Roman" w:hAnsi="Times New Roman" w:eastAsia="仿宋_GB2312" w:cs="Times New Roman"/>
                <w:sz w:val="21"/>
                <w:szCs w:val="21"/>
                <w:highlight w:val="none"/>
              </w:rPr>
            </w:pPr>
            <w:r>
              <w:rPr>
                <w:rFonts w:hint="eastAsia" w:ascii="仿宋_GB2312" w:hAnsi="Times New Roman" w:eastAsia="仿宋_GB2312" w:cs="Times New Roman"/>
                <w:b/>
                <w:bCs/>
                <w:sz w:val="21"/>
                <w:szCs w:val="21"/>
                <w:highlight w:val="none"/>
              </w:rPr>
              <w:t>《排污许可管理条例》第三十七条第（四）项</w:t>
            </w:r>
            <w:r>
              <w:rPr>
                <w:rFonts w:ascii="Times New Roman" w:hAnsi="Times New Roman" w:eastAsia="仿宋_GB2312" w:cs="Times New Roman"/>
                <w:sz w:val="21"/>
                <w:szCs w:val="21"/>
                <w:highlight w:val="none"/>
              </w:rPr>
              <w:t xml:space="preserve"> </w:t>
            </w:r>
            <w:r>
              <w:rPr>
                <w:rFonts w:hint="eastAsia" w:ascii="仿宋_GB2312" w:hAnsi="Times New Roman" w:eastAsia="仿宋_GB2312" w:cs="Times New Roman"/>
                <w:sz w:val="21"/>
                <w:szCs w:val="21"/>
                <w:highlight w:val="none"/>
              </w:rPr>
              <w:t>违反本条例规定，排污单位有下列行为之一的，由生态环境主管部门责令改正，处每次</w:t>
            </w:r>
            <w:r>
              <w:rPr>
                <w:rFonts w:hint="eastAsia" w:ascii="Times New Roman" w:hAnsi="Times New Roman" w:eastAsia="仿宋_GB2312" w:cs="Times New Roman"/>
                <w:sz w:val="21"/>
                <w:szCs w:val="21"/>
                <w:highlight w:val="none"/>
              </w:rPr>
              <w:t>5</w:t>
            </w:r>
            <w:r>
              <w:rPr>
                <w:rFonts w:hint="eastAsia" w:ascii="仿宋_GB2312" w:hAnsi="Times New Roman" w:eastAsia="仿宋_GB2312" w:cs="Times New Roman"/>
                <w:sz w:val="21"/>
                <w:szCs w:val="21"/>
                <w:highlight w:val="none"/>
              </w:rPr>
              <w:t>千元以上</w:t>
            </w:r>
            <w:r>
              <w:rPr>
                <w:rFonts w:hint="eastAsia" w:ascii="Times New Roman" w:hAnsi="Times New Roman" w:eastAsia="仿宋_GB2312" w:cs="Times New Roman"/>
                <w:sz w:val="21"/>
                <w:szCs w:val="21"/>
                <w:highlight w:val="none"/>
              </w:rPr>
              <w:t>2</w:t>
            </w:r>
            <w:r>
              <w:rPr>
                <w:rFonts w:hint="eastAsia" w:ascii="仿宋_GB2312" w:hAnsi="Times New Roman" w:eastAsia="仿宋_GB2312" w:cs="Times New Roman"/>
                <w:sz w:val="21"/>
                <w:szCs w:val="21"/>
                <w:highlight w:val="none"/>
              </w:rPr>
              <w:t>万元以下的罚款；法律另有规定的，从其规定：</w:t>
            </w:r>
          </w:p>
          <w:p>
            <w:pPr>
              <w:ind w:firstLine="420" w:firstLineChars="200"/>
              <w:rPr>
                <w:rFonts w:cs="Times New Roman"/>
                <w:highlight w:val="none"/>
              </w:rPr>
            </w:pPr>
            <w:r>
              <w:rPr>
                <w:rFonts w:hint="eastAsia" w:ascii="仿宋_GB2312" w:hAnsi="Times New Roman" w:eastAsia="仿宋_GB2312" w:cs="Times New Roman"/>
                <w:highlight w:val="none"/>
              </w:rPr>
              <w:t>（四）未如实报告污染物排放行为或者污染物排放浓度、排放量；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8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Times New Roman"/>
                <w:b/>
                <w:bCs/>
                <w:color w:val="000000"/>
                <w:highlight w:val="none"/>
              </w:rPr>
              <w:t>排污单位</w:t>
            </w:r>
          </w:p>
          <w:p>
            <w:pPr>
              <w:snapToGrid w:val="0"/>
              <w:jc w:val="center"/>
              <w:rPr>
                <w:rFonts w:ascii="Times New Roman" w:hAnsi="Times New Roman" w:cs="Times New Roman"/>
                <w:b/>
                <w:bCs/>
                <w:color w:val="000000"/>
                <w:highlight w:val="none"/>
              </w:rPr>
            </w:pPr>
            <w:r>
              <w:rPr>
                <w:rFonts w:ascii="Times New Roman" w:hAnsi="Times New Roman" w:cs="Times New Roman"/>
                <w:b/>
                <w:bCs/>
                <w:color w:val="000000"/>
                <w:highlight w:val="none"/>
              </w:rPr>
              <w:t>管理类别</w:t>
            </w:r>
            <w:r>
              <w:rPr>
                <w:rFonts w:hint="eastAsia" w:ascii="Times New Roman" w:hAnsi="Times New Roman" w:cs="宋体"/>
                <w:b/>
                <w:bCs/>
                <w:color w:val="000000"/>
                <w:highlight w:val="none"/>
              </w:rPr>
              <w:t>★</w:t>
            </w:r>
          </w:p>
        </w:tc>
        <w:tc>
          <w:tcPr>
            <w:tcW w:w="521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Times New Roman"/>
                <w:color w:val="000000"/>
                <w:sz w:val="21"/>
                <w:szCs w:val="21"/>
                <w:highlight w:val="none"/>
              </w:rPr>
              <w:t>简化</w:t>
            </w:r>
            <w:r>
              <w:rPr>
                <w:rFonts w:ascii="Times New Roman" w:hAnsi="Times New Roman" w:eastAsia="仿宋_GB2312" w:cs="Times New Roman"/>
                <w:color w:val="000000"/>
                <w:sz w:val="21"/>
                <w:szCs w:val="21"/>
                <w:highlight w:val="none"/>
              </w:rPr>
              <w:t>管理</w:t>
            </w:r>
          </w:p>
        </w:tc>
        <w:tc>
          <w:tcPr>
            <w:tcW w:w="2689" w:type="dxa"/>
            <w:vAlign w:val="center"/>
          </w:tcPr>
          <w:p>
            <w:pPr>
              <w:snapToGrid w:val="0"/>
              <w:jc w:val="center"/>
              <w:rPr>
                <w:rFonts w:ascii="Times New Roman" w:hAnsi="Times New Roman" w:cs="Times New Roman"/>
                <w:color w:val="FF0000"/>
                <w:highlight w:val="none"/>
              </w:rPr>
            </w:pPr>
            <w:r>
              <w:rPr>
                <w:rFonts w:hint="eastAsia"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Times New Roman"/>
                <w:color w:val="000000"/>
                <w:sz w:val="21"/>
                <w:szCs w:val="21"/>
                <w:highlight w:val="none"/>
              </w:rPr>
              <w:t>重点</w:t>
            </w:r>
            <w:r>
              <w:rPr>
                <w:rFonts w:ascii="Times New Roman" w:hAnsi="Times New Roman" w:eastAsia="仿宋_GB2312" w:cs="Times New Roman"/>
                <w:color w:val="000000"/>
                <w:sz w:val="21"/>
                <w:szCs w:val="21"/>
                <w:highlight w:val="none"/>
              </w:rPr>
              <w:t>管理</w:t>
            </w:r>
          </w:p>
        </w:tc>
        <w:tc>
          <w:tcPr>
            <w:tcW w:w="2689" w:type="dxa"/>
            <w:vAlign w:val="center"/>
          </w:tcPr>
          <w:p>
            <w:pPr>
              <w:snapToGrid w:val="0"/>
              <w:jc w:val="center"/>
              <w:rPr>
                <w:rFonts w:ascii="Times New Roman" w:hAnsi="Times New Roman" w:eastAsia="仿宋_GB2312" w:cs="Times New Roman"/>
                <w:color w:val="FF0000"/>
                <w:highlight w:val="none"/>
              </w:rPr>
            </w:pPr>
            <w:r>
              <w:rPr>
                <w:rFonts w:hint="eastAsia"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Times New Roman"/>
                <w:color w:val="000000"/>
                <w:sz w:val="21"/>
                <w:szCs w:val="21"/>
                <w:highlight w:val="none"/>
              </w:rPr>
              <w:t>重点管理（化工、电镀、皮革、造纸、制浆、冶炼、放射性、印染、染料、炼焦、炼油项目）</w:t>
            </w:r>
          </w:p>
        </w:tc>
        <w:tc>
          <w:tcPr>
            <w:tcW w:w="2689" w:type="dxa"/>
            <w:vAlign w:val="center"/>
          </w:tcPr>
          <w:p>
            <w:pPr>
              <w:snapToGrid w:val="0"/>
              <w:jc w:val="center"/>
              <w:rPr>
                <w:rFonts w:ascii="Times New Roman" w:hAnsi="Times New Roman" w:eastAsia="仿宋_GB2312" w:cs="Times New Roman"/>
                <w:color w:val="FF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Times New Roman"/>
                <w:b/>
                <w:bCs/>
                <w:highlight w:val="none"/>
              </w:rPr>
              <w:t>违法事实</w:t>
            </w: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1次</w:t>
            </w:r>
            <w:r>
              <w:rPr>
                <w:rFonts w:ascii="Times New Roman" w:hAnsi="Times New Roman" w:eastAsia="仿宋_GB2312" w:cs="Times New Roman"/>
                <w:highlight w:val="none"/>
              </w:rPr>
              <w:t>季度或月度</w:t>
            </w:r>
            <w:r>
              <w:rPr>
                <w:rFonts w:hint="eastAsia" w:ascii="Times New Roman" w:hAnsi="Times New Roman" w:eastAsia="仿宋_GB2312" w:cs="Times New Roman"/>
                <w:highlight w:val="none"/>
              </w:rPr>
              <w:t>执行</w:t>
            </w:r>
            <w:r>
              <w:rPr>
                <w:rFonts w:ascii="Times New Roman" w:hAnsi="Times New Roman" w:eastAsia="仿宋_GB2312" w:cs="Times New Roman"/>
                <w:highlight w:val="none"/>
              </w:rPr>
              <w:t>报告</w:t>
            </w:r>
            <w:r>
              <w:rPr>
                <w:rFonts w:hint="eastAsia" w:ascii="仿宋_GB2312" w:eastAsia="仿宋_GB2312"/>
                <w:kern w:val="0"/>
                <w:highlight w:val="none"/>
              </w:rPr>
              <w:t>未如实报告</w:t>
            </w:r>
          </w:p>
        </w:tc>
        <w:tc>
          <w:tcPr>
            <w:tcW w:w="268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r>
              <w:rPr>
                <w:rFonts w:hint="eastAsia" w:ascii="Times New Roman" w:hAnsi="Times New Roman" w:eastAsia="仿宋_GB2312" w:cs="Times New Roman"/>
                <w:highlight w:val="none"/>
              </w:rPr>
              <w:t>次</w:t>
            </w:r>
            <w:r>
              <w:rPr>
                <w:rFonts w:ascii="Times New Roman" w:hAnsi="Times New Roman" w:eastAsia="仿宋_GB2312" w:cs="Times New Roman"/>
                <w:highlight w:val="none"/>
              </w:rPr>
              <w:t>季度或月度</w:t>
            </w:r>
            <w:r>
              <w:rPr>
                <w:rFonts w:hint="eastAsia" w:ascii="Times New Roman" w:hAnsi="Times New Roman" w:eastAsia="仿宋_GB2312" w:cs="Times New Roman"/>
                <w:highlight w:val="none"/>
              </w:rPr>
              <w:t>执行</w:t>
            </w:r>
            <w:r>
              <w:rPr>
                <w:rFonts w:ascii="Times New Roman" w:hAnsi="Times New Roman" w:eastAsia="仿宋_GB2312" w:cs="Times New Roman"/>
                <w:highlight w:val="none"/>
              </w:rPr>
              <w:t>报告</w:t>
            </w:r>
            <w:r>
              <w:rPr>
                <w:rFonts w:hint="eastAsia" w:ascii="仿宋_GB2312" w:eastAsia="仿宋_GB2312"/>
                <w:kern w:val="0"/>
                <w:highlight w:val="none"/>
              </w:rPr>
              <w:t>未如实报告</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r>
              <w:rPr>
                <w:rFonts w:hint="eastAsia" w:ascii="Times New Roman" w:hAnsi="Times New Roman" w:eastAsia="仿宋_GB2312" w:cs="Times New Roman"/>
                <w:highlight w:val="none"/>
              </w:rPr>
              <w:t>次及</w:t>
            </w:r>
            <w:r>
              <w:rPr>
                <w:rFonts w:ascii="Times New Roman" w:hAnsi="Times New Roman" w:eastAsia="仿宋_GB2312" w:cs="Times New Roman"/>
                <w:highlight w:val="none"/>
              </w:rPr>
              <w:t>以上季度或月度</w:t>
            </w:r>
            <w:r>
              <w:rPr>
                <w:rFonts w:hint="eastAsia" w:ascii="Times New Roman" w:hAnsi="Times New Roman" w:eastAsia="仿宋_GB2312" w:cs="Times New Roman"/>
                <w:highlight w:val="none"/>
              </w:rPr>
              <w:t>执行</w:t>
            </w:r>
            <w:r>
              <w:rPr>
                <w:rFonts w:ascii="Times New Roman" w:hAnsi="Times New Roman" w:eastAsia="仿宋_GB2312" w:cs="Times New Roman"/>
                <w:highlight w:val="none"/>
              </w:rPr>
              <w:t>报告，或者年度执行报告</w:t>
            </w:r>
            <w:r>
              <w:rPr>
                <w:rFonts w:hint="eastAsia" w:ascii="Times New Roman" w:hAnsi="Times New Roman" w:eastAsia="仿宋_GB2312" w:cs="Times New Roman"/>
                <w:highlight w:val="none"/>
              </w:rPr>
              <w:t>未如实</w:t>
            </w:r>
            <w:r>
              <w:rPr>
                <w:rFonts w:ascii="Times New Roman" w:hAnsi="Times New Roman" w:eastAsia="仿宋_GB2312" w:cs="Times New Roman"/>
                <w:highlight w:val="none"/>
              </w:rPr>
              <w:t>报告</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Times New Roman"/>
                <w:b/>
                <w:bCs/>
                <w:highlight w:val="none"/>
              </w:rPr>
              <w:t>污染物</w:t>
            </w:r>
            <w:r>
              <w:rPr>
                <w:rFonts w:ascii="Times New Roman" w:hAnsi="Times New Roman" w:cs="Times New Roman"/>
                <w:b/>
                <w:bCs/>
                <w:highlight w:val="none"/>
              </w:rPr>
              <w:t>类别</w:t>
            </w: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排放生活、服务、农业等废气、废水或其他污染物</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排放一般工业废气、废水或其他污染物</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排放含有毒有害物质的废气或废水、医疗废水、含一类污染物或重金属、病原体、放射性物质的废水或其他污染物</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vAlign w:val="center"/>
          </w:tcPr>
          <w:p>
            <w:pPr>
              <w:snapToGrid w:val="0"/>
              <w:ind w:firstLine="420"/>
              <w:jc w:val="center"/>
              <w:rPr>
                <w:rFonts w:ascii="Times New Roman" w:hAnsi="Times New Roman" w:cs="Times New Roman"/>
                <w:highlight w:val="none"/>
              </w:rPr>
            </w:pPr>
          </w:p>
        </w:tc>
      </w:tr>
    </w:tbl>
    <w:p>
      <w:pPr>
        <w:tabs>
          <w:tab w:val="left" w:pos="1305"/>
        </w:tabs>
        <w:rPr>
          <w:rFonts w:ascii="Times New Roman" w:hAnsi="Times New Roman" w:eastAsia="仿宋_GB2312" w:cs="Times New Roman"/>
          <w:sz w:val="10"/>
          <w:szCs w:val="10"/>
          <w:highlight w:val="none"/>
        </w:rPr>
      </w:pPr>
      <w:r>
        <w:rPr>
          <w:rFonts w:ascii="Times New Roman" w:hAnsi="Times New Roman" w:eastAsia="仿宋_GB2312" w:cs="Times New Roman"/>
          <w:sz w:val="10"/>
          <w:szCs w:val="10"/>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（八）其他类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tcBorders>
              <w:top w:val="single" w:color="auto" w:sz="4" w:space="0"/>
              <w:left w:val="single" w:color="auto" w:sz="4" w:space="0"/>
              <w:bottom w:val="single" w:color="auto" w:sz="4" w:space="0"/>
              <w:right w:val="single" w:color="auto" w:sz="4" w:space="0"/>
            </w:tcBorders>
            <w:vAlign w:val="center"/>
          </w:tcPr>
          <w:p>
            <w:pPr>
              <w:pStyle w:val="36"/>
              <w:ind w:firstLine="480"/>
              <w:rPr>
                <w:highlight w:val="none"/>
              </w:rPr>
            </w:pPr>
            <w:r>
              <w:rPr>
                <w:rFonts w:hint="eastAsia" w:ascii="仿宋_GB2312" w:eastAsia="仿宋_GB2312"/>
                <w:kern w:val="0"/>
                <w:highlight w:val="none"/>
              </w:rPr>
              <w:t>排污单位拒不配合生态环境主管部门监督检查，或者在接受监督检查时弄虚作假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Borders>
              <w:top w:val="single" w:color="auto" w:sz="4" w:space="0"/>
              <w:left w:val="single" w:color="auto" w:sz="4" w:space="0"/>
              <w:bottom w:val="single" w:color="auto" w:sz="4" w:space="0"/>
              <w:right w:val="single" w:color="auto" w:sz="4" w:space="0"/>
            </w:tcBorders>
          </w:tcPr>
          <w:p>
            <w:pPr>
              <w:pStyle w:val="11"/>
              <w:ind w:firstLine="420"/>
              <w:rPr>
                <w:rFonts w:ascii="Times New Roman" w:hAnsi="Times New Roman" w:eastAsia="仿宋_GB2312" w:cs="Times New Roman"/>
                <w:sz w:val="21"/>
                <w:szCs w:val="21"/>
                <w:highlight w:val="none"/>
              </w:rPr>
            </w:pPr>
            <w:r>
              <w:rPr>
                <w:rFonts w:hint="eastAsia" w:ascii="仿宋_GB2312" w:hAnsi="Times New Roman" w:eastAsia="仿宋_GB2312" w:cs="Times New Roman"/>
                <w:b/>
                <w:bCs/>
                <w:sz w:val="21"/>
                <w:szCs w:val="21"/>
                <w:highlight w:val="none"/>
              </w:rPr>
              <w:t>《排污许可管理条例》第二十二六条第一款</w:t>
            </w:r>
            <w:r>
              <w:rPr>
                <w:rFonts w:hint="eastAsia" w:ascii="仿宋" w:hAnsi="仿宋" w:eastAsia="仿宋" w:cs="Times New Roman"/>
                <w:sz w:val="36"/>
                <w:szCs w:val="36"/>
                <w:highlight w:val="none"/>
              </w:rPr>
              <w:t xml:space="preserve"> </w:t>
            </w:r>
            <w:r>
              <w:rPr>
                <w:rFonts w:hint="eastAsia" w:ascii="仿宋_GB2312" w:hAnsi="Times New Roman" w:eastAsia="仿宋_GB2312" w:cs="Times New Roman"/>
                <w:sz w:val="21"/>
                <w:szCs w:val="21"/>
                <w:highlight w:val="none"/>
              </w:rPr>
              <w:t>排污单位应当配合生态环境主管部门监督检查，如实反映情况，并按照要求提供排污许可证、环境管理台账记录、排污许可证执行报告、自行监测数据等相关材料。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Borders>
              <w:top w:val="single" w:color="auto" w:sz="4" w:space="0"/>
              <w:left w:val="single" w:color="auto" w:sz="4" w:space="0"/>
              <w:bottom w:val="single" w:color="auto" w:sz="4" w:space="0"/>
              <w:right w:val="single" w:color="auto" w:sz="4" w:space="0"/>
            </w:tcBorders>
          </w:tcPr>
          <w:p>
            <w:pPr>
              <w:ind w:firstLine="422" w:firstLineChars="200"/>
              <w:rPr>
                <w:rFonts w:cs="Times New Roman"/>
                <w:highlight w:val="none"/>
              </w:rPr>
            </w:pPr>
            <w:r>
              <w:rPr>
                <w:rFonts w:hint="eastAsia" w:ascii="仿宋_GB2312" w:hAnsi="Times New Roman" w:eastAsia="仿宋_GB2312" w:cs="Times New Roman"/>
                <w:b/>
                <w:bCs/>
                <w:highlight w:val="none"/>
              </w:rPr>
              <w:t>《排污许可管理条例》第三十九条</w:t>
            </w:r>
            <w:r>
              <w:rPr>
                <w:rFonts w:hint="eastAsia" w:ascii="仿宋" w:hAnsi="仿宋" w:eastAsia="仿宋" w:cs="Times New Roman"/>
                <w:sz w:val="36"/>
                <w:szCs w:val="36"/>
                <w:highlight w:val="none"/>
              </w:rPr>
              <w:t xml:space="preserve"> </w:t>
            </w:r>
            <w:r>
              <w:rPr>
                <w:rFonts w:hint="eastAsia" w:ascii="仿宋_GB2312" w:hAnsi="Times New Roman" w:eastAsia="仿宋_GB2312" w:cs="Times New Roman"/>
                <w:highlight w:val="none"/>
              </w:rPr>
              <w:t>排污单位拒不配合生态环境主管部门监督检查，或者在接受监督检查时弄虚作假的，由生态环境主管部门责令改正，处</w:t>
            </w:r>
            <w:r>
              <w:rPr>
                <w:rFonts w:hint="eastAsia" w:ascii="Times New Roman" w:hAnsi="Times New Roman" w:eastAsia="仿宋_GB2312" w:cs="Times New Roman"/>
                <w:highlight w:val="none"/>
              </w:rPr>
              <w:t>2</w:t>
            </w:r>
            <w:r>
              <w:rPr>
                <w:rFonts w:hint="eastAsia" w:ascii="仿宋_GB2312" w:hAnsi="Times New Roman" w:eastAsia="仿宋_GB2312" w:cs="Times New Roman"/>
                <w:highlight w:val="none"/>
              </w:rPr>
              <w:t>万元以上</w:t>
            </w:r>
            <w:r>
              <w:rPr>
                <w:rFonts w:hint="eastAsia" w:ascii="Times New Roman" w:hAnsi="Times New Roman" w:eastAsia="仿宋_GB2312" w:cs="Times New Roman"/>
                <w:highlight w:val="none"/>
              </w:rPr>
              <w:t>20</w:t>
            </w:r>
            <w:r>
              <w:rPr>
                <w:rFonts w:hint="eastAsia" w:ascii="仿宋_GB2312" w:hAnsi="Times New Roman" w:eastAsia="仿宋_GB2312" w:cs="Times New Roman"/>
                <w:highlight w:val="none"/>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8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违法事实</w:t>
            </w:r>
            <w:r>
              <w:rPr>
                <w:rFonts w:hint="eastAsia" w:ascii="Times New Roman" w:hAnsi="Times New Roman" w:cs="宋体"/>
                <w:b/>
                <w:bCs/>
                <w:color w:val="000000"/>
                <w:highlight w:val="none"/>
              </w:rPr>
              <w:t>★</w:t>
            </w:r>
          </w:p>
        </w:tc>
        <w:tc>
          <w:tcPr>
            <w:tcW w:w="5213"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迟滞</w:t>
            </w:r>
            <w:r>
              <w:rPr>
                <w:rFonts w:ascii="Times New Roman" w:hAnsi="Times New Roman" w:eastAsia="仿宋_GB2312" w:cs="Times New Roman"/>
                <w:sz w:val="21"/>
                <w:szCs w:val="21"/>
                <w:highlight w:val="none"/>
              </w:rPr>
              <w:t>10</w:t>
            </w:r>
            <w:r>
              <w:rPr>
                <w:rFonts w:hint="eastAsia" w:ascii="Times New Roman" w:hAnsi="Times New Roman" w:eastAsia="仿宋_GB2312" w:cs="仿宋_GB2312"/>
                <w:sz w:val="21"/>
                <w:szCs w:val="21"/>
                <w:highlight w:val="none"/>
              </w:rPr>
              <w:t>分钟以上</w:t>
            </w:r>
            <w:r>
              <w:rPr>
                <w:rFonts w:ascii="Times New Roman" w:hAnsi="Times New Roman" w:eastAsia="仿宋_GB2312" w:cs="Times New Roman"/>
                <w:sz w:val="21"/>
                <w:szCs w:val="21"/>
                <w:highlight w:val="none"/>
              </w:rPr>
              <w:t>30</w:t>
            </w:r>
            <w:r>
              <w:rPr>
                <w:rFonts w:hint="eastAsia" w:ascii="Times New Roman" w:hAnsi="Times New Roman" w:eastAsia="仿宋_GB2312" w:cs="仿宋_GB2312"/>
                <w:sz w:val="21"/>
                <w:szCs w:val="21"/>
                <w:highlight w:val="none"/>
              </w:rPr>
              <w:t>分钟以内/提供非关键性假信息</w:t>
            </w:r>
          </w:p>
        </w:tc>
        <w:tc>
          <w:tcPr>
            <w:tcW w:w="2689"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迟滞超过半小时</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阻碍或隐匿部分资料/提供假信息</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围堵、滞留执法人员或拒绝提供资料</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sz w:val="21"/>
                <w:szCs w:val="21"/>
                <w:highlight w:val="none"/>
              </w:rPr>
              <w:t>暴力抗法/伪造现场或证据</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vAlign w:val="center"/>
          </w:tcPr>
          <w:p>
            <w:pPr>
              <w:snapToGrid w:val="0"/>
              <w:ind w:firstLine="420"/>
              <w:jc w:val="center"/>
              <w:rPr>
                <w:rFonts w:ascii="Times New Roman" w:hAnsi="Times New Roman" w:cs="Times New Roman"/>
                <w:highlight w:val="none"/>
              </w:rPr>
            </w:pPr>
          </w:p>
        </w:tc>
      </w:tr>
    </w:tbl>
    <w:p>
      <w:pPr>
        <w:tabs>
          <w:tab w:val="left" w:pos="1305"/>
        </w:tabs>
        <w:rPr>
          <w:rFonts w:ascii="Times New Roman" w:hAnsi="Times New Roman" w:eastAsia="仿宋_GB2312" w:cs="Times New Roman"/>
          <w:sz w:val="10"/>
          <w:szCs w:val="10"/>
          <w:highlight w:val="none"/>
        </w:rPr>
      </w:pPr>
      <w:r>
        <w:rPr>
          <w:rFonts w:ascii="Times New Roman" w:hAnsi="Times New Roman" w:eastAsia="仿宋_GB2312" w:cs="Times New Roman"/>
          <w:sz w:val="10"/>
          <w:szCs w:val="10"/>
          <w:highlight w:val="none"/>
        </w:rPr>
        <w:br w:type="page"/>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（八）其他类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7902" w:type="dxa"/>
            <w:gridSpan w:val="2"/>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0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tc>
        <w:tc>
          <w:tcPr>
            <w:tcW w:w="7902" w:type="dxa"/>
            <w:gridSpan w:val="2"/>
            <w:tcBorders>
              <w:top w:val="single" w:color="auto" w:sz="4" w:space="0"/>
              <w:left w:val="single" w:color="auto" w:sz="4" w:space="0"/>
              <w:bottom w:val="single" w:color="auto" w:sz="4" w:space="0"/>
              <w:right w:val="single" w:color="auto" w:sz="4" w:space="0"/>
            </w:tcBorders>
            <w:vAlign w:val="center"/>
          </w:tcPr>
          <w:p>
            <w:pPr>
              <w:pStyle w:val="36"/>
              <w:ind w:firstLine="480"/>
              <w:rPr>
                <w:color w:val="000000"/>
                <w:highlight w:val="none"/>
              </w:rPr>
            </w:pPr>
            <w:r>
              <w:rPr>
                <w:rFonts w:hint="eastAsia" w:ascii="仿宋_GB2312" w:eastAsia="仿宋_GB2312"/>
                <w:color w:val="000000"/>
                <w:highlight w:val="none"/>
              </w:rPr>
              <w:t>伪造、变造、转让排污许可证的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Borders>
              <w:top w:val="single" w:color="auto" w:sz="4" w:space="0"/>
              <w:left w:val="single" w:color="auto" w:sz="4" w:space="0"/>
              <w:bottom w:val="single" w:color="auto" w:sz="4" w:space="0"/>
              <w:right w:val="single" w:color="auto" w:sz="4" w:space="0"/>
            </w:tcBorders>
            <w:vAlign w:val="center"/>
          </w:tcPr>
          <w:p>
            <w:pPr>
              <w:pStyle w:val="11"/>
              <w:ind w:firstLine="420"/>
              <w:rPr>
                <w:rFonts w:ascii="Times New Roman" w:hAnsi="Times New Roman" w:eastAsia="仿宋_GB2312" w:cs="Times New Roman"/>
                <w:sz w:val="21"/>
                <w:szCs w:val="21"/>
                <w:highlight w:val="none"/>
              </w:rPr>
            </w:pPr>
            <w:r>
              <w:rPr>
                <w:rFonts w:hint="eastAsia" w:ascii="仿宋_GB2312" w:hAnsi="Times New Roman" w:eastAsia="仿宋_GB2312" w:cs="Times New Roman"/>
                <w:b/>
                <w:bCs/>
                <w:sz w:val="21"/>
                <w:szCs w:val="21"/>
                <w:highlight w:val="none"/>
              </w:rPr>
              <w:t>《排污许可管理条例》第二十六条第二款</w:t>
            </w:r>
            <w:r>
              <w:rPr>
                <w:rFonts w:hint="eastAsia" w:ascii="仿宋" w:hAnsi="仿宋" w:eastAsia="仿宋" w:cs="Times New Roman"/>
                <w:sz w:val="36"/>
                <w:szCs w:val="36"/>
                <w:highlight w:val="none"/>
              </w:rPr>
              <w:t xml:space="preserve"> </w:t>
            </w:r>
            <w:r>
              <w:rPr>
                <w:rFonts w:hint="eastAsia" w:ascii="仿宋_GB2312" w:hAnsi="Times New Roman" w:eastAsia="仿宋_GB2312" w:cs="Times New Roman"/>
                <w:sz w:val="21"/>
                <w:szCs w:val="21"/>
                <w:highlight w:val="none"/>
              </w:rPr>
              <w:t>禁止伪造、变造、转让排污许可证。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Borders>
              <w:top w:val="single" w:color="auto" w:sz="4" w:space="0"/>
              <w:left w:val="single" w:color="auto" w:sz="4" w:space="0"/>
              <w:bottom w:val="single" w:color="auto" w:sz="4" w:space="0"/>
              <w:right w:val="single" w:color="auto" w:sz="4" w:space="0"/>
            </w:tcBorders>
          </w:tcPr>
          <w:p>
            <w:pPr>
              <w:ind w:firstLine="422" w:firstLineChars="200"/>
              <w:rPr>
                <w:rFonts w:cs="Times New Roman"/>
                <w:highlight w:val="none"/>
              </w:rPr>
            </w:pPr>
            <w:r>
              <w:rPr>
                <w:rFonts w:hint="eastAsia" w:ascii="仿宋_GB2312" w:hAnsi="Times New Roman" w:eastAsia="仿宋_GB2312" w:cs="Times New Roman"/>
                <w:b/>
                <w:bCs/>
                <w:highlight w:val="none"/>
              </w:rPr>
              <w:t>《排污许可管理条例》第四十一条</w:t>
            </w:r>
            <w:r>
              <w:rPr>
                <w:rFonts w:ascii="Times New Roman" w:hAnsi="Times New Roman" w:eastAsia="仿宋_GB2312" w:cs="Times New Roman"/>
                <w:highlight w:val="none"/>
              </w:rPr>
              <w:t xml:space="preserve"> </w:t>
            </w:r>
            <w:r>
              <w:rPr>
                <w:rFonts w:hint="eastAsia" w:ascii="仿宋_GB2312" w:hAnsi="Times New Roman" w:eastAsia="仿宋_GB2312" w:cs="Times New Roman"/>
                <w:highlight w:val="none"/>
              </w:rPr>
              <w:t>违反本条例规定，伪造、变造、转让排污许可证的，由生态环境主管部门没收相关证件或者吊销排污许可证，处</w:t>
            </w:r>
            <w:r>
              <w:rPr>
                <w:rFonts w:hint="eastAsia" w:ascii="Times New Roman" w:hAnsi="Times New Roman" w:eastAsia="仿宋_GB2312" w:cs="Times New Roman"/>
                <w:highlight w:val="none"/>
              </w:rPr>
              <w:t>10</w:t>
            </w:r>
            <w:r>
              <w:rPr>
                <w:rFonts w:hint="eastAsia" w:ascii="仿宋_GB2312" w:hAnsi="Times New Roman" w:eastAsia="仿宋_GB2312" w:cs="Times New Roman"/>
                <w:highlight w:val="none"/>
              </w:rPr>
              <w:t>万元以上</w:t>
            </w:r>
            <w:r>
              <w:rPr>
                <w:rFonts w:hint="eastAsia" w:ascii="Times New Roman" w:hAnsi="Times New Roman" w:eastAsia="仿宋_GB2312" w:cs="Times New Roman"/>
                <w:highlight w:val="none"/>
              </w:rPr>
              <w:t>30</w:t>
            </w:r>
            <w:r>
              <w:rPr>
                <w:rFonts w:hint="eastAsia" w:ascii="仿宋_GB2312" w:hAnsi="Times New Roman" w:eastAsia="仿宋_GB2312" w:cs="Times New Roman"/>
                <w:highlight w:val="none"/>
              </w:rPr>
              <w:t>万元以下的罚款，</w:t>
            </w:r>
            <w:r>
              <w:rPr>
                <w:rFonts w:hint="eastAsia" w:ascii="Times New Roman" w:hAnsi="Times New Roman" w:eastAsia="仿宋_GB2312" w:cs="Times New Roman"/>
                <w:highlight w:val="none"/>
              </w:rPr>
              <w:t>3</w:t>
            </w:r>
            <w:r>
              <w:rPr>
                <w:rFonts w:hint="eastAsia" w:ascii="仿宋_GB2312" w:hAnsi="Times New Roman" w:eastAsia="仿宋_GB2312" w:cs="Times New Roman"/>
                <w:highlight w:val="none"/>
              </w:rPr>
              <w:t>年内不得再次申请排污许可证。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8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Times New Roman"/>
                <w:b/>
                <w:bCs/>
                <w:color w:val="000000"/>
                <w:highlight w:val="none"/>
              </w:rPr>
              <w:t>排污单位</w:t>
            </w:r>
          </w:p>
          <w:p>
            <w:pPr>
              <w:snapToGrid w:val="0"/>
              <w:jc w:val="center"/>
              <w:rPr>
                <w:rFonts w:ascii="Times New Roman" w:hAnsi="Times New Roman" w:cs="Times New Roman"/>
                <w:b/>
                <w:bCs/>
                <w:color w:val="000000"/>
                <w:highlight w:val="none"/>
              </w:rPr>
            </w:pPr>
            <w:r>
              <w:rPr>
                <w:rFonts w:ascii="Times New Roman" w:hAnsi="Times New Roman" w:cs="Times New Roman"/>
                <w:b/>
                <w:bCs/>
                <w:color w:val="000000"/>
                <w:highlight w:val="none"/>
              </w:rPr>
              <w:t>管理类别</w:t>
            </w:r>
            <w:r>
              <w:rPr>
                <w:rFonts w:hint="eastAsia" w:ascii="Times New Roman" w:hAnsi="Times New Roman" w:cs="宋体"/>
                <w:b/>
                <w:bCs/>
                <w:color w:val="000000"/>
                <w:highlight w:val="none"/>
              </w:rPr>
              <w:t>★</w:t>
            </w:r>
          </w:p>
        </w:tc>
        <w:tc>
          <w:tcPr>
            <w:tcW w:w="5213" w:type="dxa"/>
            <w:vAlign w:val="center"/>
          </w:tcPr>
          <w:p>
            <w:pPr>
              <w:pStyle w:val="11"/>
              <w:snapToGrid w:val="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Times New Roman"/>
                <w:color w:val="000000"/>
                <w:sz w:val="21"/>
                <w:szCs w:val="21"/>
                <w:highlight w:val="none"/>
              </w:rPr>
              <w:t>简化</w:t>
            </w:r>
            <w:r>
              <w:rPr>
                <w:rFonts w:ascii="Times New Roman" w:hAnsi="Times New Roman" w:eastAsia="仿宋_GB2312" w:cs="Times New Roman"/>
                <w:color w:val="000000"/>
                <w:sz w:val="21"/>
                <w:szCs w:val="21"/>
                <w:highlight w:val="none"/>
              </w:rPr>
              <w:t>管理</w:t>
            </w:r>
          </w:p>
        </w:tc>
        <w:tc>
          <w:tcPr>
            <w:tcW w:w="2689" w:type="dxa"/>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Times New Roman"/>
                <w:color w:val="000000"/>
                <w:sz w:val="21"/>
                <w:szCs w:val="21"/>
                <w:highlight w:val="none"/>
              </w:rPr>
              <w:t>重点</w:t>
            </w:r>
            <w:r>
              <w:rPr>
                <w:rFonts w:ascii="Times New Roman" w:hAnsi="Times New Roman" w:eastAsia="仿宋_GB2312" w:cs="Times New Roman"/>
                <w:color w:val="000000"/>
                <w:sz w:val="21"/>
                <w:szCs w:val="21"/>
                <w:highlight w:val="none"/>
              </w:rPr>
              <w:t>管理</w:t>
            </w:r>
          </w:p>
        </w:tc>
        <w:tc>
          <w:tcPr>
            <w:tcW w:w="2689"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color w:val="000000"/>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color w:val="000000"/>
                <w:sz w:val="21"/>
                <w:szCs w:val="21"/>
                <w:highlight w:val="none"/>
              </w:rPr>
            </w:pPr>
            <w:r>
              <w:rPr>
                <w:rFonts w:hint="eastAsia" w:ascii="Times New Roman" w:hAnsi="Times New Roman" w:eastAsia="仿宋_GB2312" w:cs="Times New Roman"/>
                <w:color w:val="000000"/>
                <w:sz w:val="21"/>
                <w:szCs w:val="21"/>
                <w:highlight w:val="none"/>
              </w:rPr>
              <w:t>重点管理（化工、电镀、皮革、造纸、制浆、冶炼、放射性、印染、染料、炼焦、炼油项目）</w:t>
            </w:r>
          </w:p>
        </w:tc>
        <w:tc>
          <w:tcPr>
            <w:tcW w:w="2689" w:type="dxa"/>
            <w:vAlign w:val="center"/>
          </w:tcPr>
          <w:p>
            <w:pPr>
              <w:snapToGrid w:val="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Times New Roman"/>
                <w:b/>
                <w:bCs/>
                <w:highlight w:val="none"/>
              </w:rPr>
              <w:t>违法事实</w:t>
            </w: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转让</w:t>
            </w:r>
            <w:r>
              <w:rPr>
                <w:rFonts w:ascii="Times New Roman" w:hAnsi="Times New Roman" w:eastAsia="仿宋_GB2312" w:cs="Times New Roman"/>
                <w:highlight w:val="none"/>
              </w:rPr>
              <w:t>许可证，尚未使用的</w:t>
            </w:r>
          </w:p>
        </w:tc>
        <w:tc>
          <w:tcPr>
            <w:tcW w:w="2689" w:type="dxa"/>
            <w:vAlign w:val="center"/>
          </w:tcPr>
          <w:p>
            <w:pPr>
              <w:snapToGrid w:val="0"/>
              <w:jc w:val="center"/>
              <w:rPr>
                <w:rFonts w:ascii="Times New Roman" w:hAnsi="Times New Roman" w:cs="Times New Roman"/>
                <w:highlight w:val="none"/>
              </w:rPr>
            </w:pPr>
            <w:r>
              <w:rPr>
                <w:rFonts w:hint="eastAsia"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伪造</w:t>
            </w:r>
            <w:r>
              <w:rPr>
                <w:rFonts w:ascii="Times New Roman" w:hAnsi="Times New Roman" w:eastAsia="仿宋_GB2312" w:cs="Times New Roman"/>
                <w:highlight w:val="none"/>
              </w:rPr>
              <w:t>、变造许可证，尚未使用的</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仿宋_GB2312" w:eastAsia="仿宋_GB2312"/>
                <w:highlight w:val="none"/>
              </w:rPr>
              <w:t>伪造、变造、转让许可证，</w:t>
            </w:r>
            <w:r>
              <w:rPr>
                <w:rFonts w:ascii="仿宋_GB2312" w:eastAsia="仿宋_GB2312"/>
                <w:highlight w:val="none"/>
              </w:rPr>
              <w:t>正常使用的</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Times New Roman"/>
                <w:b/>
                <w:bCs/>
                <w:highlight w:val="none"/>
              </w:rPr>
              <w:t>涉及</w:t>
            </w:r>
            <w:r>
              <w:rPr>
                <w:rFonts w:ascii="Times New Roman" w:hAnsi="Times New Roman" w:cs="Times New Roman"/>
                <w:b/>
                <w:bCs/>
                <w:highlight w:val="none"/>
              </w:rPr>
              <w:t>污染物类型</w:t>
            </w:r>
          </w:p>
        </w:tc>
        <w:tc>
          <w:tcPr>
            <w:tcW w:w="5213" w:type="dxa"/>
            <w:vAlign w:val="center"/>
          </w:tcPr>
          <w:p>
            <w:pPr>
              <w:snapToGrid w:val="0"/>
              <w:jc w:val="center"/>
              <w:rPr>
                <w:rFonts w:ascii="仿宋_GB2312" w:eastAsia="仿宋_GB2312"/>
                <w:highlight w:val="none"/>
              </w:rPr>
            </w:pPr>
            <w:r>
              <w:rPr>
                <w:rFonts w:hint="eastAsia" w:ascii="Times New Roman" w:hAnsi="Times New Roman" w:eastAsia="仿宋_GB2312" w:cs="Times New Roman"/>
                <w:highlight w:val="none"/>
              </w:rPr>
              <w:t>排放生活、服务、农业等废气、废水或其他污染物</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仿宋_GB2312" w:eastAsia="仿宋_GB2312"/>
                <w:highlight w:val="none"/>
              </w:rPr>
            </w:pPr>
            <w:r>
              <w:rPr>
                <w:rFonts w:hint="eastAsia" w:ascii="Times New Roman" w:hAnsi="Times New Roman" w:eastAsia="仿宋_GB2312" w:cs="Times New Roman"/>
                <w:highlight w:val="none"/>
              </w:rPr>
              <w:t>排放一般工业废气、废水或其他污染物</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仿宋_GB2312" w:eastAsia="仿宋_GB2312"/>
                <w:highlight w:val="none"/>
              </w:rPr>
            </w:pPr>
            <w:r>
              <w:rPr>
                <w:rFonts w:hint="eastAsia" w:ascii="Times New Roman" w:hAnsi="Times New Roman" w:eastAsia="仿宋_GB2312" w:cs="Times New Roman"/>
                <w:highlight w:val="none"/>
              </w:rPr>
              <w:t>排放含有毒有害物质的废气或废水、医疗废水、含一类污染物或重金属、病原体、放射性物质的废水或其他污染物</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违法持续时间</w:t>
            </w:r>
          </w:p>
        </w:tc>
        <w:tc>
          <w:tcPr>
            <w:tcW w:w="5213" w:type="dxa"/>
            <w:vAlign w:val="center"/>
          </w:tcPr>
          <w:p>
            <w:pPr>
              <w:snapToGrid w:val="0"/>
              <w:ind w:firstLine="420"/>
              <w:jc w:val="center"/>
              <w:rPr>
                <w:rFonts w:ascii="Times New Roman" w:hAnsi="Times New Roman" w:eastAsia="仿宋_GB2312" w:cs="Times New Roman"/>
                <w:color w:val="000000"/>
                <w:highlight w:val="none"/>
              </w:rPr>
            </w:pPr>
            <w:r>
              <w:rPr>
                <w:rFonts w:ascii="Times New Roman" w:hAnsi="Times New Roman" w:eastAsia="仿宋_GB2312" w:cs="仿宋_GB2312"/>
                <w:color w:val="000000"/>
                <w:highlight w:val="none"/>
              </w:rPr>
              <w:t>3</w:t>
            </w:r>
            <w:r>
              <w:rPr>
                <w:rFonts w:hint="eastAsia" w:ascii="Times New Roman" w:hAnsi="Times New Roman" w:eastAsia="仿宋_GB2312" w:cs="仿宋_GB2312"/>
                <w:color w:val="000000"/>
                <w:highlight w:val="none"/>
              </w:rPr>
              <w:t>个月</w:t>
            </w:r>
            <w:r>
              <w:rPr>
                <w:rFonts w:ascii="Times New Roman" w:hAnsi="Times New Roman" w:eastAsia="仿宋_GB2312" w:cs="仿宋_GB2312"/>
                <w:color w:val="000000"/>
                <w:highlight w:val="none"/>
              </w:rPr>
              <w:t>以内的</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仿宋_GB2312"/>
                <w:color w:val="000000"/>
                <w:highlight w:val="none"/>
              </w:rPr>
            </w:pPr>
            <w:r>
              <w:rPr>
                <w:rFonts w:ascii="Times New Roman" w:hAnsi="Times New Roman" w:eastAsia="仿宋_GB2312" w:cs="仿宋_GB2312"/>
                <w:color w:val="000000"/>
                <w:highlight w:val="none"/>
              </w:rPr>
              <w:t>3</w:t>
            </w:r>
            <w:r>
              <w:rPr>
                <w:rFonts w:hint="eastAsia" w:ascii="Times New Roman" w:hAnsi="Times New Roman" w:eastAsia="仿宋_GB2312" w:cs="仿宋_GB2312"/>
                <w:color w:val="000000"/>
                <w:highlight w:val="none"/>
              </w:rPr>
              <w:t>个月</w:t>
            </w:r>
            <w:r>
              <w:rPr>
                <w:rFonts w:ascii="Times New Roman" w:hAnsi="Times New Roman" w:eastAsia="仿宋_GB2312" w:cs="仿宋_GB2312"/>
                <w:color w:val="000000"/>
                <w:highlight w:val="none"/>
              </w:rPr>
              <w:t>以上并且在</w:t>
            </w:r>
            <w:r>
              <w:rPr>
                <w:rFonts w:hint="eastAsia" w:ascii="Times New Roman" w:hAnsi="Times New Roman" w:eastAsia="仿宋_GB2312" w:cs="仿宋_GB2312"/>
                <w:color w:val="000000"/>
                <w:highlight w:val="none"/>
              </w:rPr>
              <w:t>6个月</w:t>
            </w:r>
            <w:r>
              <w:rPr>
                <w:rFonts w:ascii="Times New Roman" w:hAnsi="Times New Roman" w:eastAsia="仿宋_GB2312" w:cs="仿宋_GB2312"/>
                <w:color w:val="000000"/>
                <w:highlight w:val="none"/>
              </w:rPr>
              <w:t>以内的</w:t>
            </w:r>
          </w:p>
        </w:tc>
        <w:tc>
          <w:tcPr>
            <w:tcW w:w="2689"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仿宋_GB2312"/>
                <w:color w:val="000000"/>
                <w:highlight w:val="none"/>
              </w:rPr>
            </w:pPr>
            <w:r>
              <w:rPr>
                <w:rFonts w:ascii="Times New Roman" w:hAnsi="Times New Roman" w:eastAsia="仿宋_GB2312" w:cs="仿宋_GB2312"/>
                <w:color w:val="000000"/>
                <w:highlight w:val="none"/>
              </w:rPr>
              <w:t>6</w:t>
            </w:r>
            <w:r>
              <w:rPr>
                <w:rFonts w:hint="eastAsia" w:ascii="Times New Roman" w:hAnsi="Times New Roman" w:eastAsia="仿宋_GB2312" w:cs="仿宋_GB2312"/>
                <w:color w:val="000000"/>
                <w:highlight w:val="none"/>
              </w:rPr>
              <w:t>个月</w:t>
            </w:r>
            <w:r>
              <w:rPr>
                <w:rFonts w:ascii="Times New Roman" w:hAnsi="Times New Roman" w:eastAsia="仿宋_GB2312" w:cs="仿宋_GB2312"/>
                <w:color w:val="000000"/>
                <w:highlight w:val="none"/>
              </w:rPr>
              <w:t>以上并且在1</w:t>
            </w:r>
            <w:r>
              <w:rPr>
                <w:rFonts w:hint="eastAsia" w:ascii="Times New Roman" w:hAnsi="Times New Roman" w:eastAsia="仿宋_GB2312" w:cs="仿宋_GB2312"/>
                <w:color w:val="000000"/>
                <w:highlight w:val="none"/>
              </w:rPr>
              <w:t>年</w:t>
            </w:r>
            <w:r>
              <w:rPr>
                <w:rFonts w:ascii="Times New Roman" w:hAnsi="Times New Roman" w:eastAsia="仿宋_GB2312" w:cs="仿宋_GB2312"/>
                <w:color w:val="000000"/>
                <w:highlight w:val="none"/>
              </w:rPr>
              <w:t>以内的</w:t>
            </w:r>
          </w:p>
        </w:tc>
        <w:tc>
          <w:tcPr>
            <w:tcW w:w="2689"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仿宋_GB2312"/>
                <w:color w:val="000000"/>
                <w:highlight w:val="none"/>
              </w:rPr>
              <w:t>1</w:t>
            </w:r>
            <w:r>
              <w:rPr>
                <w:rFonts w:hint="eastAsia" w:ascii="Times New Roman" w:hAnsi="Times New Roman" w:eastAsia="仿宋_GB2312" w:cs="仿宋_GB2312"/>
                <w:color w:val="000000"/>
                <w:highlight w:val="none"/>
              </w:rPr>
              <w:t>年</w:t>
            </w:r>
            <w:r>
              <w:rPr>
                <w:rFonts w:ascii="Times New Roman" w:hAnsi="Times New Roman" w:eastAsia="仿宋_GB2312" w:cs="仿宋_GB2312"/>
                <w:color w:val="000000"/>
                <w:highlight w:val="none"/>
              </w:rPr>
              <w:t>以上并且在2</w:t>
            </w:r>
            <w:r>
              <w:rPr>
                <w:rFonts w:hint="eastAsia" w:ascii="Times New Roman" w:hAnsi="Times New Roman" w:eastAsia="仿宋_GB2312" w:cs="仿宋_GB2312"/>
                <w:color w:val="000000"/>
                <w:highlight w:val="none"/>
              </w:rPr>
              <w:t>年</w:t>
            </w:r>
            <w:r>
              <w:rPr>
                <w:rFonts w:ascii="Times New Roman" w:hAnsi="Times New Roman" w:eastAsia="仿宋_GB2312" w:cs="仿宋_GB2312"/>
                <w:color w:val="000000"/>
                <w:highlight w:val="none"/>
              </w:rPr>
              <w:t>以内的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仿宋_GB2312"/>
                <w:color w:val="000000"/>
                <w:highlight w:val="none"/>
              </w:rPr>
              <w:t>2</w:t>
            </w:r>
            <w:r>
              <w:rPr>
                <w:rFonts w:hint="eastAsia" w:ascii="Times New Roman" w:hAnsi="Times New Roman" w:eastAsia="仿宋_GB2312" w:cs="仿宋_GB2312"/>
                <w:color w:val="000000"/>
                <w:highlight w:val="none"/>
              </w:rPr>
              <w:t>年</w:t>
            </w:r>
            <w:r>
              <w:rPr>
                <w:rFonts w:ascii="Times New Roman" w:hAnsi="Times New Roman" w:eastAsia="仿宋_GB2312" w:cs="仿宋_GB2312"/>
                <w:color w:val="000000"/>
                <w:highlight w:val="none"/>
              </w:rPr>
              <w:t>以上</w:t>
            </w:r>
            <w:r>
              <w:rPr>
                <w:rFonts w:hint="eastAsia" w:ascii="Times New Roman" w:hAnsi="Times New Roman" w:eastAsia="仿宋_GB2312" w:cs="仿宋_GB2312"/>
                <w:color w:val="000000"/>
                <w:highlight w:val="none"/>
              </w:rPr>
              <w:t>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vAlign w:val="center"/>
          </w:tcPr>
          <w:p>
            <w:pPr>
              <w:snapToGrid w:val="0"/>
              <w:ind w:firstLine="420"/>
              <w:jc w:val="center"/>
              <w:rPr>
                <w:rFonts w:ascii="Times New Roman" w:hAnsi="Times New Roman" w:cs="Times New Roman"/>
                <w:highlight w:val="none"/>
              </w:rPr>
            </w:pPr>
          </w:p>
        </w:tc>
      </w:tr>
    </w:tbl>
    <w:p>
      <w:pPr>
        <w:tabs>
          <w:tab w:val="left" w:pos="1305"/>
        </w:tabs>
        <w:rPr>
          <w:rFonts w:ascii="Times New Roman" w:hAnsi="Times New Roman" w:eastAsia="仿宋_GB2312" w:cs="Times New Roman"/>
          <w:sz w:val="32"/>
          <w:szCs w:val="32"/>
          <w:highlight w:val="none"/>
        </w:rPr>
      </w:pPr>
    </w:p>
    <w:p>
      <w:pPr>
        <w:tabs>
          <w:tab w:val="left" w:pos="1305"/>
        </w:tabs>
        <w:rPr>
          <w:rFonts w:ascii="Times New Roman" w:hAnsi="Times New Roman" w:eastAsia="仿宋_GB2312" w:cs="Times New Roman"/>
          <w:sz w:val="32"/>
          <w:szCs w:val="32"/>
          <w:highlight w:val="none"/>
        </w:rPr>
      </w:pPr>
    </w:p>
    <w:p>
      <w:pPr>
        <w:tabs>
          <w:tab w:val="left" w:pos="1305"/>
        </w:tabs>
        <w:rPr>
          <w:rFonts w:ascii="Times New Roman" w:hAnsi="Times New Roman" w:eastAsia="仿宋_GB2312" w:cs="Times New Roman"/>
          <w:sz w:val="32"/>
          <w:szCs w:val="32"/>
          <w:highlight w:val="none"/>
        </w:rPr>
      </w:pPr>
    </w:p>
    <w:p>
      <w:pPr>
        <w:tabs>
          <w:tab w:val="left" w:pos="1305"/>
        </w:tabs>
        <w:rPr>
          <w:rFonts w:ascii="Times New Roman" w:hAnsi="Times New Roman" w:eastAsia="仿宋_GB2312" w:cs="Times New Roman"/>
          <w:sz w:val="32"/>
          <w:szCs w:val="32"/>
          <w:highlight w:val="none"/>
        </w:rPr>
      </w:pPr>
    </w:p>
    <w:p>
      <w:pPr>
        <w:tabs>
          <w:tab w:val="left" w:pos="1305"/>
        </w:tabs>
        <w:rPr>
          <w:rFonts w:ascii="Times New Roman" w:hAnsi="Times New Roman" w:eastAsia="仿宋_GB2312" w:cs="Times New Roman"/>
          <w:sz w:val="10"/>
          <w:szCs w:val="10"/>
          <w:highlight w:val="none"/>
        </w:rPr>
      </w:pP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color w:val="000000"/>
                <w:highlight w:val="none"/>
              </w:rPr>
            </w:pPr>
            <w:r>
              <w:rPr>
                <w:rFonts w:hint="eastAsia" w:ascii="Times New Roman" w:hAnsi="Times New Roman" w:eastAsia="仿宋_GB2312" w:cs="仿宋_GB2312"/>
                <w:b/>
                <w:bCs/>
                <w:color w:val="000000"/>
                <w:sz w:val="32"/>
                <w:szCs w:val="32"/>
                <w:highlight w:val="none"/>
              </w:rPr>
              <w:t>（八）其他类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902" w:type="dxa"/>
            <w:gridSpan w:val="2"/>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tcBorders>
              <w:top w:val="single" w:color="auto" w:sz="4" w:space="0"/>
              <w:left w:val="single" w:color="auto" w:sz="4" w:space="0"/>
              <w:bottom w:val="single" w:color="auto" w:sz="4" w:space="0"/>
              <w:right w:val="single" w:color="auto" w:sz="4" w:space="0"/>
            </w:tcBorders>
            <w:vAlign w:val="center"/>
          </w:tcPr>
          <w:p>
            <w:pPr>
              <w:pStyle w:val="36"/>
              <w:ind w:firstLine="480"/>
              <w:rPr>
                <w:color w:val="000000"/>
                <w:highlight w:val="none"/>
              </w:rPr>
            </w:pPr>
            <w:r>
              <w:rPr>
                <w:rFonts w:hint="eastAsia" w:ascii="仿宋_GB2312" w:eastAsia="仿宋_GB2312"/>
                <w:color w:val="000000"/>
                <w:highlight w:val="none"/>
              </w:rPr>
              <w:t>需要填报排污登记表的企业事业单位和其他生产经营者，未依照本条例规定填报排污信息的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Borders>
              <w:top w:val="single" w:color="auto" w:sz="4" w:space="0"/>
              <w:left w:val="single" w:color="auto" w:sz="4" w:space="0"/>
              <w:bottom w:val="single" w:color="auto" w:sz="4" w:space="0"/>
              <w:right w:val="single" w:color="auto" w:sz="4" w:space="0"/>
            </w:tcBorders>
          </w:tcPr>
          <w:p>
            <w:pPr>
              <w:pStyle w:val="11"/>
              <w:ind w:firstLine="420"/>
              <w:rPr>
                <w:rFonts w:ascii="Times New Roman" w:hAnsi="Times New Roman" w:eastAsia="仿宋_GB2312" w:cs="Times New Roman"/>
                <w:sz w:val="21"/>
                <w:szCs w:val="21"/>
                <w:highlight w:val="none"/>
              </w:rPr>
            </w:pPr>
            <w:r>
              <w:rPr>
                <w:rFonts w:hint="eastAsia" w:ascii="仿宋_GB2312" w:hAnsi="Times New Roman" w:eastAsia="仿宋_GB2312" w:cs="Times New Roman"/>
                <w:b/>
                <w:bCs/>
                <w:sz w:val="21"/>
                <w:szCs w:val="21"/>
                <w:highlight w:val="none"/>
              </w:rPr>
              <w:t>《排污许可管理条例》第二十四条第一款、第三款</w:t>
            </w:r>
            <w:r>
              <w:rPr>
                <w:rFonts w:hint="eastAsia" w:ascii="仿宋" w:hAnsi="仿宋" w:eastAsia="仿宋" w:cs="Times New Roman"/>
                <w:sz w:val="36"/>
                <w:szCs w:val="36"/>
                <w:highlight w:val="none"/>
              </w:rPr>
              <w:t xml:space="preserve"> </w:t>
            </w:r>
            <w:r>
              <w:rPr>
                <w:rFonts w:hint="eastAsia" w:ascii="仿宋_GB2312" w:hAnsi="Times New Roman" w:eastAsia="仿宋_GB2312" w:cs="Times New Roman"/>
                <w:sz w:val="21"/>
                <w:szCs w:val="21"/>
                <w:highlight w:val="none"/>
              </w:rPr>
              <w:t>污染物产生量、排放量和对环境的影响程度都很小的企业事业单位和其他生产经营者，应当填报排污登记表，不需要申请取得排污许可证。</w:t>
            </w:r>
          </w:p>
          <w:p>
            <w:pPr>
              <w:pStyle w:val="11"/>
              <w:ind w:firstLine="420"/>
              <w:rPr>
                <w:rFonts w:ascii="Times New Roman" w:hAnsi="Times New Roman" w:eastAsia="仿宋_GB2312" w:cs="Times New Roman"/>
                <w:sz w:val="21"/>
                <w:szCs w:val="21"/>
                <w:highlight w:val="none"/>
              </w:rPr>
            </w:pPr>
            <w:r>
              <w:rPr>
                <w:rFonts w:hint="eastAsia" w:ascii="仿宋_GB2312" w:hAnsi="Times New Roman" w:eastAsia="仿宋_GB2312" w:cs="Times New Roman"/>
                <w:sz w:val="21"/>
                <w:szCs w:val="21"/>
                <w:highlight w:val="none"/>
              </w:rPr>
              <w:t>需要填报排污登记表的企业事业单位和其他生产经营者，应当在全国排污许可证管理信息平台上填报基本信息、污染物排放去向、执行的污染物排放标准以及采取的污染防治措施等信息；填报的信息发生变动的，应当自发生变动之日起</w:t>
            </w:r>
            <w:r>
              <w:rPr>
                <w:rFonts w:hint="eastAsia" w:ascii="Times New Roman" w:hAnsi="Times New Roman" w:eastAsia="仿宋_GB2312" w:cs="Times New Roman"/>
                <w:sz w:val="21"/>
                <w:szCs w:val="21"/>
                <w:highlight w:val="none"/>
              </w:rPr>
              <w:t>20</w:t>
            </w:r>
            <w:r>
              <w:rPr>
                <w:rFonts w:hint="eastAsia" w:ascii="仿宋_GB2312" w:hAnsi="Times New Roman" w:eastAsia="仿宋_GB2312" w:cs="Times New Roman"/>
                <w:sz w:val="21"/>
                <w:szCs w:val="21"/>
                <w:highlight w:val="none"/>
              </w:rPr>
              <w:t>日内进行变更填报。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Borders>
              <w:top w:val="single" w:color="auto" w:sz="4" w:space="0"/>
              <w:left w:val="single" w:color="auto" w:sz="4" w:space="0"/>
              <w:bottom w:val="single" w:color="auto" w:sz="4" w:space="0"/>
              <w:right w:val="single" w:color="auto" w:sz="4" w:space="0"/>
            </w:tcBorders>
          </w:tcPr>
          <w:p>
            <w:pPr>
              <w:ind w:firstLine="422" w:firstLineChars="200"/>
              <w:rPr>
                <w:rFonts w:cs="Times New Roman"/>
                <w:highlight w:val="none"/>
              </w:rPr>
            </w:pPr>
            <w:r>
              <w:rPr>
                <w:rFonts w:hint="eastAsia" w:ascii="仿宋_GB2312" w:hAnsi="Times New Roman" w:eastAsia="仿宋_GB2312" w:cs="Times New Roman"/>
                <w:b/>
                <w:bCs/>
                <w:highlight w:val="none"/>
              </w:rPr>
              <w:t>《排污许可管理条例》第四十三条</w:t>
            </w:r>
            <w:r>
              <w:rPr>
                <w:rFonts w:hint="eastAsia" w:ascii="仿宋" w:hAnsi="仿宋" w:eastAsia="仿宋" w:cs="Times New Roman"/>
                <w:sz w:val="36"/>
                <w:szCs w:val="36"/>
                <w:highlight w:val="none"/>
              </w:rPr>
              <w:t xml:space="preserve"> </w:t>
            </w:r>
            <w:r>
              <w:rPr>
                <w:rFonts w:hint="eastAsia" w:ascii="仿宋_GB2312" w:hAnsi="Times New Roman" w:eastAsia="仿宋_GB2312" w:cs="Times New Roman"/>
                <w:highlight w:val="none"/>
              </w:rPr>
              <w:t>需要填报排污登记表的企业事业单位和其他生产经营者，未依照本条例规定填报排污信息的，由生态环境主管部门责令改正，可以处</w:t>
            </w:r>
            <w:r>
              <w:rPr>
                <w:rFonts w:hint="eastAsia" w:ascii="Times New Roman" w:hAnsi="Times New Roman" w:eastAsia="仿宋_GB2312" w:cs="Times New Roman"/>
                <w:highlight w:val="none"/>
              </w:rPr>
              <w:t>5</w:t>
            </w:r>
            <w:r>
              <w:rPr>
                <w:rFonts w:hint="eastAsia" w:ascii="仿宋_GB2312" w:hAnsi="Times New Roman" w:eastAsia="仿宋_GB2312" w:cs="Times New Roman"/>
                <w:highlight w:val="none"/>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8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Times New Roman"/>
                <w:b/>
                <w:bCs/>
                <w:highlight w:val="none"/>
              </w:rPr>
              <w:t>违法事实★</w:t>
            </w:r>
          </w:p>
        </w:tc>
        <w:tc>
          <w:tcPr>
            <w:tcW w:w="5213"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未规范</w:t>
            </w:r>
            <w:r>
              <w:rPr>
                <w:rFonts w:ascii="Times New Roman" w:hAnsi="Times New Roman" w:eastAsia="仿宋_GB2312" w:cs="Times New Roman"/>
                <w:sz w:val="21"/>
                <w:szCs w:val="21"/>
                <w:highlight w:val="none"/>
              </w:rPr>
              <w:t>填报</w:t>
            </w:r>
            <w:r>
              <w:rPr>
                <w:rFonts w:hint="eastAsia" w:ascii="Times New Roman" w:hAnsi="Times New Roman" w:eastAsia="仿宋_GB2312" w:cs="Times New Roman"/>
                <w:sz w:val="21"/>
                <w:szCs w:val="21"/>
                <w:highlight w:val="none"/>
              </w:rPr>
              <w:t>部分</w:t>
            </w:r>
            <w:r>
              <w:rPr>
                <w:rFonts w:ascii="Times New Roman" w:hAnsi="Times New Roman" w:eastAsia="仿宋_GB2312" w:cs="Times New Roman"/>
                <w:sz w:val="21"/>
                <w:szCs w:val="21"/>
                <w:highlight w:val="none"/>
              </w:rPr>
              <w:t>排污信息</w:t>
            </w:r>
          </w:p>
        </w:tc>
        <w:tc>
          <w:tcPr>
            <w:tcW w:w="2689" w:type="dxa"/>
            <w:vAlign w:val="center"/>
          </w:tcPr>
          <w:p>
            <w:pPr>
              <w:snapToGrid w:val="0"/>
              <w:jc w:val="center"/>
              <w:rPr>
                <w:rFonts w:ascii="Times New Roman" w:hAnsi="Times New Roman" w:cs="Times New Roman"/>
                <w:highlight w:val="none"/>
              </w:rPr>
            </w:pPr>
            <w:r>
              <w:rPr>
                <w:rFonts w:hint="eastAsia"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未</w:t>
            </w:r>
            <w:r>
              <w:rPr>
                <w:rFonts w:ascii="Times New Roman" w:hAnsi="Times New Roman" w:eastAsia="仿宋_GB2312" w:cs="Times New Roman"/>
                <w:sz w:val="21"/>
                <w:szCs w:val="21"/>
                <w:highlight w:val="none"/>
              </w:rPr>
              <w:t>填报</w:t>
            </w:r>
            <w:r>
              <w:rPr>
                <w:rFonts w:hint="eastAsia" w:ascii="Times New Roman" w:hAnsi="Times New Roman" w:eastAsia="仿宋_GB2312" w:cs="Times New Roman"/>
                <w:sz w:val="21"/>
                <w:szCs w:val="21"/>
                <w:highlight w:val="none"/>
              </w:rPr>
              <w:t>部分</w:t>
            </w:r>
            <w:r>
              <w:rPr>
                <w:rFonts w:ascii="Times New Roman" w:hAnsi="Times New Roman" w:eastAsia="仿宋_GB2312" w:cs="Times New Roman"/>
                <w:sz w:val="21"/>
                <w:szCs w:val="21"/>
                <w:highlight w:val="none"/>
              </w:rPr>
              <w:t>排污信息</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未填报</w:t>
            </w:r>
            <w:r>
              <w:rPr>
                <w:rFonts w:ascii="Times New Roman" w:hAnsi="Times New Roman" w:eastAsia="仿宋_GB2312" w:cs="Times New Roman"/>
                <w:sz w:val="21"/>
                <w:szCs w:val="21"/>
                <w:highlight w:val="none"/>
              </w:rPr>
              <w:t>排污信息</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违法持续</w:t>
            </w:r>
          </w:p>
          <w:p>
            <w:pPr>
              <w:snapToGrid w:val="0"/>
              <w:jc w:val="center"/>
              <w:rPr>
                <w:rFonts w:ascii="Times New Roman" w:hAnsi="Times New Roman" w:cs="Times New Roman"/>
                <w:b/>
                <w:bCs/>
                <w:highlight w:val="none"/>
              </w:rPr>
            </w:pPr>
            <w:r>
              <w:rPr>
                <w:rFonts w:hint="eastAsia" w:ascii="Times New Roman" w:hAnsi="Times New Roman" w:cs="宋体"/>
                <w:b/>
                <w:bCs/>
                <w:color w:val="000000"/>
                <w:highlight w:val="none"/>
              </w:rPr>
              <w:t>时间</w:t>
            </w:r>
          </w:p>
        </w:tc>
        <w:tc>
          <w:tcPr>
            <w:tcW w:w="5213" w:type="dxa"/>
            <w:vAlign w:val="center"/>
          </w:tcPr>
          <w:p>
            <w:pPr>
              <w:snapToGrid w:val="0"/>
              <w:ind w:firstLine="420"/>
              <w:jc w:val="center"/>
              <w:rPr>
                <w:rFonts w:ascii="Times New Roman" w:hAnsi="Times New Roman" w:eastAsia="仿宋_GB2312" w:cs="Times New Roman"/>
                <w:color w:val="000000"/>
                <w:highlight w:val="none"/>
              </w:rPr>
            </w:pPr>
            <w:r>
              <w:rPr>
                <w:rFonts w:hint="eastAsia" w:ascii="Times New Roman" w:hAnsi="Times New Roman" w:eastAsia="仿宋_GB2312" w:cs="仿宋_GB2312"/>
                <w:highlight w:val="none"/>
              </w:rPr>
              <w:t>不足</w:t>
            </w:r>
            <w:r>
              <w:rPr>
                <w:rFonts w:ascii="Times New Roman" w:hAnsi="Times New Roman" w:eastAsia="仿宋_GB2312" w:cs="Times New Roman"/>
                <w:highlight w:val="none"/>
              </w:rPr>
              <w:t>3</w:t>
            </w:r>
            <w:r>
              <w:rPr>
                <w:rFonts w:hint="eastAsia" w:ascii="Times New Roman" w:hAnsi="Times New Roman" w:eastAsia="仿宋_GB2312" w:cs="Times New Roman"/>
                <w:highlight w:val="none"/>
              </w:rPr>
              <w:t>个月</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仿宋_GB2312"/>
                <w:color w:val="000000"/>
                <w:highlight w:val="none"/>
              </w:rPr>
            </w:pPr>
            <w:r>
              <w:rPr>
                <w:rFonts w:ascii="Times New Roman" w:hAnsi="Times New Roman" w:eastAsia="仿宋_GB2312" w:cs="Times New Roman"/>
                <w:highlight w:val="none"/>
              </w:rPr>
              <w:t>3</w:t>
            </w:r>
            <w:r>
              <w:rPr>
                <w:rFonts w:hint="eastAsia" w:ascii="Times New Roman" w:hAnsi="Times New Roman" w:eastAsia="仿宋_GB2312" w:cs="Times New Roman"/>
                <w:highlight w:val="none"/>
              </w:rPr>
              <w:t>个月</w:t>
            </w:r>
            <w:r>
              <w:rPr>
                <w:rFonts w:hint="eastAsia" w:ascii="Times New Roman" w:hAnsi="Times New Roman" w:eastAsia="仿宋_GB2312" w:cs="仿宋_GB2312"/>
                <w:highlight w:val="none"/>
              </w:rPr>
              <w:t>以上不足</w:t>
            </w:r>
            <w:r>
              <w:rPr>
                <w:rFonts w:ascii="Times New Roman" w:hAnsi="Times New Roman" w:eastAsia="仿宋_GB2312" w:cs="Times New Roman"/>
                <w:highlight w:val="none"/>
              </w:rPr>
              <w:t>6</w:t>
            </w:r>
            <w:r>
              <w:rPr>
                <w:rFonts w:hint="eastAsia" w:ascii="Times New Roman" w:hAnsi="Times New Roman" w:eastAsia="仿宋_GB2312" w:cs="Times New Roman"/>
                <w:highlight w:val="none"/>
              </w:rPr>
              <w:t>个月</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仿宋_GB2312"/>
                <w:color w:val="000000"/>
                <w:highlight w:val="none"/>
              </w:rPr>
            </w:pPr>
            <w:r>
              <w:rPr>
                <w:rFonts w:ascii="Times New Roman" w:hAnsi="Times New Roman" w:eastAsia="仿宋_GB2312" w:cs="Times New Roman"/>
                <w:highlight w:val="none"/>
              </w:rPr>
              <w:t>6</w:t>
            </w:r>
            <w:r>
              <w:rPr>
                <w:rFonts w:hint="eastAsia" w:ascii="Times New Roman" w:hAnsi="Times New Roman" w:eastAsia="仿宋_GB2312" w:cs="Times New Roman"/>
                <w:highlight w:val="none"/>
              </w:rPr>
              <w:t>个月</w:t>
            </w:r>
            <w:r>
              <w:rPr>
                <w:rFonts w:ascii="Times New Roman" w:hAnsi="Times New Roman" w:eastAsia="仿宋_GB2312" w:cs="Times New Roman"/>
                <w:highlight w:val="none"/>
              </w:rPr>
              <w:t>以上不足</w:t>
            </w:r>
            <w:r>
              <w:rPr>
                <w:rFonts w:hint="eastAsia" w:ascii="Times New Roman" w:hAnsi="Times New Roman" w:eastAsia="仿宋_GB2312" w:cs="Times New Roman"/>
                <w:highlight w:val="none"/>
              </w:rPr>
              <w:t>9个月</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9</w:t>
            </w:r>
            <w:r>
              <w:rPr>
                <w:rFonts w:hint="eastAsia" w:ascii="Times New Roman" w:hAnsi="Times New Roman" w:eastAsia="仿宋_GB2312" w:cs="Times New Roman"/>
                <w:highlight w:val="none"/>
              </w:rPr>
              <w:t>个月</w:t>
            </w:r>
            <w:r>
              <w:rPr>
                <w:rFonts w:ascii="Times New Roman" w:hAnsi="Times New Roman" w:eastAsia="仿宋_GB2312" w:cs="Times New Roman"/>
                <w:highlight w:val="none"/>
              </w:rPr>
              <w:t>以上不足</w:t>
            </w:r>
            <w:r>
              <w:rPr>
                <w:rFonts w:hint="eastAsia" w:ascii="Times New Roman" w:hAnsi="Times New Roman" w:eastAsia="仿宋_GB2312" w:cs="Times New Roman"/>
                <w:highlight w:val="none"/>
              </w:rPr>
              <w:t>12个月</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12</w:t>
            </w:r>
            <w:r>
              <w:rPr>
                <w:rFonts w:hint="eastAsia" w:ascii="Times New Roman" w:hAnsi="Times New Roman" w:eastAsia="仿宋_GB2312" w:cs="仿宋_GB2312"/>
                <w:highlight w:val="none"/>
              </w:rPr>
              <w:t>个月以上</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vAlign w:val="center"/>
          </w:tcPr>
          <w:p>
            <w:pPr>
              <w:snapToGrid w:val="0"/>
              <w:ind w:firstLine="420"/>
              <w:jc w:val="center"/>
              <w:rPr>
                <w:rFonts w:ascii="Times New Roman" w:hAnsi="Times New Roman" w:cs="Times New Roman"/>
                <w:highlight w:val="none"/>
              </w:rPr>
            </w:pPr>
          </w:p>
        </w:tc>
      </w:tr>
    </w:tbl>
    <w:p>
      <w:pPr>
        <w:tabs>
          <w:tab w:val="left" w:pos="1305"/>
        </w:tabs>
        <w:rPr>
          <w:rFonts w:ascii="Times New Roman" w:hAnsi="Times New Roman" w:eastAsia="仿宋_GB2312" w:cs="Times New Roman"/>
          <w:sz w:val="32"/>
          <w:szCs w:val="32"/>
          <w:highlight w:val="none"/>
        </w:rPr>
      </w:pPr>
    </w:p>
    <w:p>
      <w:pPr>
        <w:tabs>
          <w:tab w:val="left" w:pos="1305"/>
        </w:tabs>
        <w:rPr>
          <w:rFonts w:ascii="Times New Roman" w:hAnsi="Times New Roman" w:eastAsia="仿宋_GB2312" w:cs="Times New Roman"/>
          <w:sz w:val="32"/>
          <w:szCs w:val="32"/>
          <w:highlight w:val="none"/>
        </w:rPr>
      </w:pPr>
    </w:p>
    <w:p>
      <w:pPr>
        <w:tabs>
          <w:tab w:val="left" w:pos="1305"/>
        </w:tabs>
        <w:rPr>
          <w:rFonts w:ascii="Times New Roman" w:hAnsi="Times New Roman" w:eastAsia="仿宋_GB2312" w:cs="Times New Roman"/>
          <w:sz w:val="32"/>
          <w:szCs w:val="32"/>
          <w:highlight w:val="none"/>
        </w:rPr>
      </w:pPr>
    </w:p>
    <w:p>
      <w:pPr>
        <w:tabs>
          <w:tab w:val="left" w:pos="1305"/>
        </w:tabs>
        <w:rPr>
          <w:rFonts w:ascii="Times New Roman" w:hAnsi="Times New Roman" w:eastAsia="仿宋_GB2312" w:cs="Times New Roman"/>
          <w:sz w:val="32"/>
          <w:szCs w:val="32"/>
          <w:highlight w:val="none"/>
        </w:rPr>
      </w:pPr>
    </w:p>
    <w:p>
      <w:pPr>
        <w:tabs>
          <w:tab w:val="left" w:pos="1305"/>
        </w:tabs>
        <w:rPr>
          <w:rFonts w:ascii="Times New Roman" w:hAnsi="Times New Roman" w:eastAsia="仿宋_GB2312" w:cs="Times New Roman"/>
          <w:sz w:val="32"/>
          <w:szCs w:val="32"/>
          <w:highlight w:val="none"/>
        </w:rPr>
      </w:pPr>
    </w:p>
    <w:p>
      <w:pPr>
        <w:tabs>
          <w:tab w:val="left" w:pos="1305"/>
        </w:tabs>
        <w:rPr>
          <w:rFonts w:ascii="Times New Roman" w:hAnsi="Times New Roman" w:eastAsia="仿宋_GB2312" w:cs="Times New Roman"/>
          <w:sz w:val="32"/>
          <w:szCs w:val="32"/>
          <w:highlight w:val="none"/>
        </w:rPr>
      </w:pP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color w:val="000000"/>
                <w:highlight w:val="none"/>
              </w:rPr>
            </w:pPr>
            <w:r>
              <w:rPr>
                <w:rFonts w:hint="eastAsia" w:ascii="Times New Roman" w:hAnsi="Times New Roman" w:eastAsia="仿宋_GB2312" w:cs="仿宋_GB2312"/>
                <w:b/>
                <w:bCs/>
                <w:color w:val="000000"/>
                <w:sz w:val="32"/>
                <w:szCs w:val="32"/>
                <w:highlight w:val="none"/>
              </w:rPr>
              <w:t>（八）其他类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902" w:type="dxa"/>
            <w:gridSpan w:val="2"/>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tcBorders>
              <w:top w:val="single" w:color="auto" w:sz="4" w:space="0"/>
              <w:left w:val="single" w:color="auto" w:sz="4" w:space="0"/>
              <w:bottom w:val="single" w:color="auto" w:sz="4" w:space="0"/>
              <w:right w:val="single" w:color="auto" w:sz="4" w:space="0"/>
            </w:tcBorders>
            <w:vAlign w:val="center"/>
          </w:tcPr>
          <w:p>
            <w:pPr>
              <w:pStyle w:val="36"/>
              <w:ind w:firstLine="480"/>
              <w:rPr>
                <w:color w:val="000000"/>
                <w:highlight w:val="none"/>
              </w:rPr>
            </w:pPr>
            <w:r>
              <w:rPr>
                <w:rFonts w:hint="eastAsia" w:ascii="仿宋_GB2312" w:eastAsia="仿宋_GB2312"/>
                <w:color w:val="000000"/>
                <w:highlight w:val="none"/>
              </w:rPr>
              <w:t>未按规定开展突发环境事件风险评估工作，确定风险等级的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Borders>
              <w:top w:val="single" w:color="auto" w:sz="4" w:space="0"/>
              <w:left w:val="single" w:color="auto" w:sz="4" w:space="0"/>
              <w:bottom w:val="single" w:color="auto" w:sz="4" w:space="0"/>
              <w:right w:val="single" w:color="auto" w:sz="4" w:space="0"/>
            </w:tcBorders>
          </w:tcPr>
          <w:p>
            <w:pPr>
              <w:pStyle w:val="11"/>
              <w:ind w:firstLine="420"/>
              <w:rPr>
                <w:rFonts w:ascii="仿宋_GB2312" w:hAnsi="Times New Roman" w:eastAsia="仿宋_GB2312" w:cs="Times New Roman"/>
                <w:sz w:val="21"/>
                <w:szCs w:val="21"/>
                <w:highlight w:val="none"/>
              </w:rPr>
            </w:pPr>
            <w:r>
              <w:rPr>
                <w:rFonts w:hint="eastAsia" w:ascii="仿宋_GB2312" w:hAnsi="Times New Roman" w:eastAsia="仿宋_GB2312" w:cs="Times New Roman"/>
                <w:b/>
                <w:bCs/>
                <w:sz w:val="21"/>
                <w:szCs w:val="21"/>
                <w:highlight w:val="none"/>
              </w:rPr>
              <w:t xml:space="preserve">《突发环境事件应急管理办法》第六条  </w:t>
            </w:r>
            <w:r>
              <w:rPr>
                <w:rFonts w:hint="eastAsia" w:ascii="仿宋_GB2312" w:hAnsi="Times New Roman" w:eastAsia="仿宋_GB2312" w:cs="Times New Roman"/>
                <w:sz w:val="21"/>
                <w:szCs w:val="21"/>
                <w:highlight w:val="none"/>
              </w:rPr>
              <w:t>企业事业单位应当按照相关法律法规和标准规范的要求，履行下列义务：</w:t>
            </w:r>
          </w:p>
          <w:p>
            <w:pPr>
              <w:pStyle w:val="11"/>
              <w:ind w:firstLine="420"/>
              <w:rPr>
                <w:rFonts w:ascii="仿宋_GB2312" w:hAnsi="Times New Roman" w:eastAsia="仿宋_GB2312" w:cs="Times New Roman"/>
                <w:sz w:val="21"/>
                <w:szCs w:val="21"/>
                <w:highlight w:val="none"/>
              </w:rPr>
            </w:pPr>
            <w:r>
              <w:rPr>
                <w:rFonts w:hint="eastAsia" w:ascii="仿宋_GB2312" w:hAnsi="Times New Roman" w:eastAsia="仿宋_GB2312" w:cs="Times New Roman"/>
                <w:sz w:val="21"/>
                <w:szCs w:val="21"/>
                <w:highlight w:val="none"/>
              </w:rPr>
              <w:t>（一）开展突发环境事件风险评估；</w:t>
            </w:r>
          </w:p>
          <w:p>
            <w:pPr>
              <w:pStyle w:val="11"/>
              <w:ind w:firstLine="420"/>
              <w:rPr>
                <w:rFonts w:ascii="仿宋_GB2312" w:hAnsi="Times New Roman" w:eastAsia="仿宋_GB2312" w:cs="Times New Roman"/>
                <w:sz w:val="21"/>
                <w:szCs w:val="21"/>
                <w:highlight w:val="none"/>
              </w:rPr>
            </w:pPr>
            <w:r>
              <w:rPr>
                <w:rFonts w:hint="eastAsia" w:ascii="仿宋_GB2312" w:hAnsi="Times New Roman" w:eastAsia="仿宋_GB2312" w:cs="Times New Roman"/>
                <w:sz w:val="21"/>
                <w:szCs w:val="21"/>
                <w:highlight w:val="none"/>
              </w:rPr>
              <w:t>（二）完善突发环境事件风险防控措施；</w:t>
            </w:r>
          </w:p>
          <w:p>
            <w:pPr>
              <w:pStyle w:val="11"/>
              <w:ind w:firstLine="420"/>
              <w:rPr>
                <w:rFonts w:ascii="仿宋_GB2312" w:hAnsi="Times New Roman" w:eastAsia="仿宋_GB2312" w:cs="Times New Roman"/>
                <w:sz w:val="21"/>
                <w:szCs w:val="21"/>
                <w:highlight w:val="none"/>
              </w:rPr>
            </w:pPr>
            <w:r>
              <w:rPr>
                <w:rFonts w:hint="eastAsia" w:ascii="仿宋_GB2312" w:hAnsi="Times New Roman" w:eastAsia="仿宋_GB2312" w:cs="Times New Roman"/>
                <w:sz w:val="21"/>
                <w:szCs w:val="21"/>
                <w:highlight w:val="none"/>
              </w:rPr>
              <w:t>（三）排查治理环境安全隐患；</w:t>
            </w:r>
          </w:p>
          <w:p>
            <w:pPr>
              <w:pStyle w:val="11"/>
              <w:ind w:firstLine="420"/>
              <w:rPr>
                <w:rFonts w:ascii="仿宋_GB2312" w:hAnsi="Times New Roman" w:eastAsia="仿宋_GB2312" w:cs="Times New Roman"/>
                <w:sz w:val="21"/>
                <w:szCs w:val="21"/>
                <w:highlight w:val="none"/>
              </w:rPr>
            </w:pPr>
            <w:r>
              <w:rPr>
                <w:rFonts w:hint="eastAsia" w:ascii="仿宋_GB2312" w:hAnsi="Times New Roman" w:eastAsia="仿宋_GB2312" w:cs="Times New Roman"/>
                <w:sz w:val="21"/>
                <w:szCs w:val="21"/>
                <w:highlight w:val="none"/>
              </w:rPr>
              <w:t>（四）制定突发环境事件应急预案并备案、演练；</w:t>
            </w:r>
          </w:p>
          <w:p>
            <w:pPr>
              <w:pStyle w:val="11"/>
              <w:ind w:firstLine="420"/>
              <w:rPr>
                <w:rFonts w:ascii="仿宋_GB2312" w:hAnsi="Times New Roman" w:eastAsia="仿宋_GB2312" w:cs="Times New Roman"/>
                <w:sz w:val="21"/>
                <w:szCs w:val="21"/>
                <w:highlight w:val="none"/>
              </w:rPr>
            </w:pPr>
            <w:r>
              <w:rPr>
                <w:rFonts w:hint="eastAsia" w:ascii="仿宋_GB2312" w:hAnsi="Times New Roman" w:eastAsia="仿宋_GB2312" w:cs="Times New Roman"/>
                <w:sz w:val="21"/>
                <w:szCs w:val="21"/>
                <w:highlight w:val="none"/>
              </w:rPr>
              <w:t>（五）加强环境应急能力保障建设。</w:t>
            </w:r>
          </w:p>
          <w:p>
            <w:pPr>
              <w:pStyle w:val="11"/>
              <w:ind w:firstLine="420"/>
              <w:rPr>
                <w:rFonts w:ascii="Times New Roman" w:hAnsi="Times New Roman" w:eastAsia="仿宋_GB2312" w:cs="Times New Roman"/>
                <w:sz w:val="21"/>
                <w:szCs w:val="21"/>
                <w:highlight w:val="none"/>
              </w:rPr>
            </w:pPr>
            <w:r>
              <w:rPr>
                <w:rFonts w:hint="eastAsia" w:ascii="仿宋_GB2312" w:hAnsi="Times New Roman" w:eastAsia="仿宋_GB2312" w:cs="Times New Roman"/>
                <w:sz w:val="21"/>
                <w:szCs w:val="21"/>
                <w:highlight w:val="none"/>
              </w:rPr>
              <w:t>发生或者可能发生突发环境事件时，企业事业单位应当依法进行处理，并对所造成的损害承担责任。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Borders>
              <w:top w:val="single" w:color="auto" w:sz="4" w:space="0"/>
              <w:left w:val="single" w:color="auto" w:sz="4" w:space="0"/>
              <w:bottom w:val="single" w:color="auto" w:sz="4" w:space="0"/>
              <w:right w:val="single" w:color="auto" w:sz="4" w:space="0"/>
            </w:tcBorders>
          </w:tcPr>
          <w:p>
            <w:pPr>
              <w:ind w:firstLine="422" w:firstLineChars="200"/>
              <w:rPr>
                <w:rFonts w:ascii="仿宋_GB2312" w:hAnsi="Times New Roman" w:eastAsia="仿宋_GB2312" w:cs="Times New Roman"/>
                <w:highlight w:val="none"/>
              </w:rPr>
            </w:pPr>
            <w:r>
              <w:rPr>
                <w:rFonts w:hint="eastAsia" w:ascii="仿宋_GB2312" w:hAnsi="Times New Roman" w:eastAsia="仿宋_GB2312" w:cs="Times New Roman"/>
                <w:b/>
                <w:bCs/>
                <w:highlight w:val="none"/>
              </w:rPr>
              <w:t xml:space="preserve">《突发环境事件应急管理办法》第三十八条  </w:t>
            </w:r>
            <w:r>
              <w:rPr>
                <w:rFonts w:hint="eastAsia" w:ascii="仿宋_GB2312" w:hAnsi="Times New Roman" w:eastAsia="仿宋_GB2312" w:cs="Times New Roman"/>
                <w:highlight w:val="none"/>
              </w:rPr>
              <w:t>企业事业单位有下列情形之一的，由县级以上环境保护主管部门责令改正，可以处一万元以上三万元以下罚款：</w:t>
            </w:r>
          </w:p>
          <w:p>
            <w:pPr>
              <w:ind w:firstLine="420" w:firstLineChars="200"/>
              <w:rPr>
                <w:rFonts w:ascii="仿宋_GB2312" w:hAnsi="Times New Roman" w:eastAsia="仿宋_GB2312" w:cs="Times New Roman"/>
                <w:highlight w:val="none"/>
              </w:rPr>
            </w:pPr>
            <w:r>
              <w:rPr>
                <w:rFonts w:hint="eastAsia" w:ascii="仿宋_GB2312" w:hAnsi="Times New Roman" w:eastAsia="仿宋_GB2312" w:cs="Times New Roman"/>
                <w:highlight w:val="none"/>
              </w:rPr>
              <w:t>（一）未按规定开展突发环境事件风险评估工作，确定风险等级的；</w:t>
            </w:r>
          </w:p>
          <w:p>
            <w:pPr>
              <w:ind w:firstLine="420" w:firstLineChars="200"/>
              <w:rPr>
                <w:rFonts w:ascii="仿宋_GB2312" w:hAnsi="Times New Roman" w:eastAsia="仿宋_GB2312" w:cs="Times New Roman"/>
                <w:highlight w:val="none"/>
              </w:rPr>
            </w:pPr>
            <w:r>
              <w:rPr>
                <w:rFonts w:hint="eastAsia" w:ascii="仿宋_GB2312" w:hAnsi="Times New Roman" w:eastAsia="仿宋_GB2312" w:cs="Times New Roman"/>
                <w:highlight w:val="none"/>
              </w:rPr>
              <w:t>（二）未按规定开展环境安全隐患排查治理工作，建立隐患排查治理档案的；</w:t>
            </w:r>
          </w:p>
          <w:p>
            <w:pPr>
              <w:ind w:firstLine="420" w:firstLineChars="200"/>
              <w:rPr>
                <w:rFonts w:ascii="仿宋_GB2312" w:hAnsi="Times New Roman" w:eastAsia="仿宋_GB2312" w:cs="Times New Roman"/>
                <w:highlight w:val="none"/>
              </w:rPr>
            </w:pPr>
            <w:r>
              <w:rPr>
                <w:rFonts w:hint="eastAsia" w:ascii="仿宋_GB2312" w:hAnsi="Times New Roman" w:eastAsia="仿宋_GB2312" w:cs="Times New Roman"/>
                <w:highlight w:val="none"/>
              </w:rPr>
              <w:t>（三）未按规定将突发环境事件应急预案备案的；</w:t>
            </w:r>
          </w:p>
          <w:p>
            <w:pPr>
              <w:ind w:firstLine="420" w:firstLineChars="200"/>
              <w:rPr>
                <w:rFonts w:ascii="仿宋_GB2312" w:hAnsi="Times New Roman" w:eastAsia="仿宋_GB2312" w:cs="Times New Roman"/>
                <w:highlight w:val="none"/>
              </w:rPr>
            </w:pPr>
            <w:r>
              <w:rPr>
                <w:rFonts w:hint="eastAsia" w:ascii="仿宋_GB2312" w:hAnsi="Times New Roman" w:eastAsia="仿宋_GB2312" w:cs="Times New Roman"/>
                <w:highlight w:val="none"/>
              </w:rPr>
              <w:t>（四）未按规定开展突发环境事件应急培训，如实记录培训情况的；</w:t>
            </w:r>
          </w:p>
          <w:p>
            <w:pPr>
              <w:ind w:firstLine="420" w:firstLineChars="200"/>
              <w:rPr>
                <w:rFonts w:ascii="仿宋_GB2312" w:hAnsi="Times New Roman" w:eastAsia="仿宋_GB2312" w:cs="Times New Roman"/>
                <w:highlight w:val="none"/>
              </w:rPr>
            </w:pPr>
            <w:r>
              <w:rPr>
                <w:rFonts w:hint="eastAsia" w:ascii="仿宋_GB2312" w:hAnsi="Times New Roman" w:eastAsia="仿宋_GB2312" w:cs="Times New Roman"/>
                <w:highlight w:val="none"/>
              </w:rPr>
              <w:t>（五）未按规定储备必要的环境应急装备和物资；</w:t>
            </w:r>
          </w:p>
          <w:p>
            <w:pPr>
              <w:ind w:firstLine="420" w:firstLineChars="200"/>
              <w:rPr>
                <w:rFonts w:cs="Times New Roman"/>
                <w:highlight w:val="none"/>
              </w:rPr>
            </w:pPr>
            <w:r>
              <w:rPr>
                <w:rFonts w:hint="eastAsia" w:ascii="仿宋_GB2312" w:hAnsi="Times New Roman" w:eastAsia="仿宋_GB2312" w:cs="Times New Roman"/>
                <w:highlight w:val="none"/>
              </w:rPr>
              <w:t>（六）未按规定公开突发环境事件相关信息的。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8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宋体" w:hAnsi="宋体" w:cs="Times New Roman"/>
                <w:b/>
                <w:bCs/>
                <w:highlight w:val="none"/>
              </w:rPr>
            </w:pPr>
            <w:r>
              <w:rPr>
                <w:rFonts w:hint="eastAsia" w:ascii="宋体" w:hAnsi="宋体" w:cs="Times New Roman"/>
                <w:b/>
                <w:color w:val="000000"/>
                <w:highlight w:val="none"/>
              </w:rPr>
              <w:t>违法事实</w:t>
            </w:r>
            <w:r>
              <w:rPr>
                <w:rFonts w:hint="eastAsia" w:ascii="Times New Roman" w:hAnsi="Times New Roman" w:cs="Times New Roman"/>
                <w:b/>
                <w:bCs/>
                <w:highlight w:val="none"/>
              </w:rPr>
              <w:t>★</w:t>
            </w:r>
          </w:p>
        </w:tc>
        <w:tc>
          <w:tcPr>
            <w:tcW w:w="5213"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Times New Roman"/>
                <w:color w:val="000000"/>
                <w:sz w:val="21"/>
                <w:szCs w:val="21"/>
                <w:highlight w:val="none"/>
              </w:rPr>
              <w:t>发生重大变化，未重新开展突发环境事件风险评估工作，确定风险等级的</w:t>
            </w:r>
          </w:p>
        </w:tc>
        <w:tc>
          <w:tcPr>
            <w:tcW w:w="2689" w:type="dxa"/>
            <w:vAlign w:val="center"/>
          </w:tcPr>
          <w:p>
            <w:pPr>
              <w:snapToGrid w:val="0"/>
              <w:jc w:val="center"/>
              <w:rPr>
                <w:rFonts w:ascii="Times New Roman" w:hAnsi="Times New Roman" w:cs="Times New Roman"/>
                <w:highlight w:val="none"/>
              </w:rPr>
            </w:pPr>
            <w:r>
              <w:rPr>
                <w:rFonts w:hint="eastAsia"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宋体" w:hAnsi="宋体"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Times New Roman"/>
                <w:color w:val="000000"/>
                <w:sz w:val="21"/>
                <w:szCs w:val="21"/>
                <w:highlight w:val="none"/>
              </w:rPr>
              <w:t>开展突发环境事件风险评估工作，但确定风险等级错误的，或突发环境事件风险评估不符合实际的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宋体" w:hAnsi="宋体"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Times New Roman"/>
                <w:color w:val="000000"/>
                <w:sz w:val="21"/>
                <w:szCs w:val="21"/>
                <w:highlight w:val="none"/>
              </w:rPr>
              <w:t>未开展突发环境事件风险评估工作的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宋体" w:hAnsi="宋体" w:cs="Times New Roman"/>
                <w:b/>
                <w:bCs/>
                <w:highlight w:val="none"/>
              </w:rPr>
            </w:pPr>
            <w:r>
              <w:rPr>
                <w:rFonts w:hint="eastAsia" w:ascii="宋体" w:hAnsi="宋体" w:cs="Times New Roman"/>
                <w:b/>
                <w:color w:val="000000"/>
                <w:highlight w:val="none"/>
              </w:rPr>
              <w:t>企业突发环境事件风险等级</w:t>
            </w: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一般</w:t>
            </w:r>
          </w:p>
        </w:tc>
        <w:tc>
          <w:tcPr>
            <w:tcW w:w="2689" w:type="dxa"/>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宋体" w:hAnsi="宋体" w:cs="Times New Roman"/>
                <w:b/>
                <w:bCs/>
                <w:highlight w:val="none"/>
              </w:rPr>
            </w:pPr>
          </w:p>
        </w:tc>
        <w:tc>
          <w:tcPr>
            <w:tcW w:w="5213"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Times New Roman"/>
                <w:color w:val="000000"/>
                <w:highlight w:val="none"/>
              </w:rPr>
              <w:t>较大</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宋体" w:hAnsi="宋体" w:cs="Times New Roman"/>
                <w:b/>
                <w:bCs/>
                <w:highlight w:val="none"/>
              </w:rPr>
            </w:pPr>
          </w:p>
        </w:tc>
        <w:tc>
          <w:tcPr>
            <w:tcW w:w="5213"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Times New Roman"/>
                <w:color w:val="000000"/>
                <w:highlight w:val="none"/>
              </w:rPr>
              <w:t>重大</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宋体" w:hAnsi="宋体" w:cs="Times New Roman"/>
                <w:b/>
                <w:bCs/>
                <w:highlight w:val="none"/>
              </w:rPr>
            </w:pPr>
            <w:r>
              <w:rPr>
                <w:rFonts w:hint="eastAsia" w:ascii="宋体" w:hAnsi="宋体" w:cs="Times New Roman"/>
                <w:b/>
                <w:color w:val="000000"/>
                <w:highlight w:val="none"/>
              </w:rPr>
              <w:t>违法时间</w:t>
            </w: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1</w:t>
            </w:r>
            <w:r>
              <w:rPr>
                <w:rFonts w:hint="eastAsia" w:ascii="Times New Roman" w:hAnsi="Times New Roman" w:eastAsia="仿宋_GB2312" w:cs="Times New Roman"/>
                <w:color w:val="000000"/>
                <w:highlight w:val="none"/>
              </w:rPr>
              <w:t>个月以上，不满</w:t>
            </w:r>
            <w:r>
              <w:rPr>
                <w:rFonts w:ascii="Times New Roman" w:hAnsi="Times New Roman" w:eastAsia="仿宋_GB2312" w:cs="Times New Roman"/>
                <w:color w:val="000000"/>
                <w:highlight w:val="none"/>
              </w:rPr>
              <w:t>3</w:t>
            </w:r>
            <w:r>
              <w:rPr>
                <w:rFonts w:hint="eastAsia" w:ascii="Times New Roman" w:hAnsi="Times New Roman" w:eastAsia="仿宋_GB2312" w:cs="Times New Roman"/>
                <w:color w:val="000000"/>
                <w:highlight w:val="none"/>
              </w:rPr>
              <w:t>个月</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3</w:t>
            </w:r>
            <w:r>
              <w:rPr>
                <w:rFonts w:hint="eastAsia" w:ascii="Times New Roman" w:hAnsi="Times New Roman" w:eastAsia="仿宋_GB2312" w:cs="Times New Roman"/>
                <w:color w:val="000000"/>
                <w:highlight w:val="none"/>
              </w:rPr>
              <w:t>个月以上，不满</w:t>
            </w:r>
            <w:r>
              <w:rPr>
                <w:rFonts w:ascii="Times New Roman" w:hAnsi="Times New Roman" w:eastAsia="仿宋_GB2312" w:cs="Times New Roman"/>
                <w:color w:val="000000"/>
                <w:highlight w:val="none"/>
              </w:rPr>
              <w:t>6</w:t>
            </w:r>
            <w:r>
              <w:rPr>
                <w:rFonts w:hint="eastAsia" w:ascii="Times New Roman" w:hAnsi="Times New Roman" w:eastAsia="仿宋_GB2312" w:cs="Times New Roman"/>
                <w:color w:val="000000"/>
                <w:highlight w:val="none"/>
              </w:rPr>
              <w:t>个月</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6</w:t>
            </w:r>
            <w:r>
              <w:rPr>
                <w:rFonts w:hint="eastAsia" w:ascii="Times New Roman" w:hAnsi="Times New Roman" w:eastAsia="仿宋_GB2312" w:cs="Times New Roman"/>
                <w:color w:val="000000"/>
                <w:highlight w:val="none"/>
              </w:rPr>
              <w:t>个月以上</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vAlign w:val="center"/>
          </w:tcPr>
          <w:p>
            <w:pPr>
              <w:snapToGrid w:val="0"/>
              <w:ind w:firstLine="420"/>
              <w:jc w:val="center"/>
              <w:rPr>
                <w:rFonts w:ascii="Times New Roman" w:hAnsi="Times New Roman" w:cs="Times New Roman"/>
                <w:highlight w:val="none"/>
              </w:rPr>
            </w:pPr>
          </w:p>
        </w:tc>
      </w:tr>
    </w:tbl>
    <w:p>
      <w:pPr>
        <w:tabs>
          <w:tab w:val="left" w:pos="1305"/>
        </w:tabs>
        <w:rPr>
          <w:rFonts w:ascii="Times New Roman" w:hAnsi="Times New Roman" w:eastAsia="仿宋_GB2312" w:cs="Times New Roman"/>
          <w:sz w:val="32"/>
          <w:szCs w:val="32"/>
          <w:highlight w:val="none"/>
        </w:rPr>
      </w:pPr>
    </w:p>
    <w:p>
      <w:pPr>
        <w:tabs>
          <w:tab w:val="left" w:pos="1305"/>
        </w:tabs>
        <w:rPr>
          <w:rFonts w:ascii="Times New Roman" w:hAnsi="Times New Roman" w:eastAsia="仿宋_GB2312" w:cs="Times New Roman"/>
          <w:sz w:val="32"/>
          <w:szCs w:val="32"/>
          <w:highlight w:val="none"/>
        </w:rPr>
      </w:pP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color w:val="000000"/>
                <w:highlight w:val="none"/>
              </w:rPr>
            </w:pPr>
            <w:r>
              <w:rPr>
                <w:rFonts w:hint="eastAsia" w:ascii="Times New Roman" w:hAnsi="Times New Roman" w:eastAsia="仿宋_GB2312" w:cs="仿宋_GB2312"/>
                <w:b/>
                <w:bCs/>
                <w:color w:val="000000"/>
                <w:sz w:val="32"/>
                <w:szCs w:val="32"/>
                <w:highlight w:val="none"/>
              </w:rPr>
              <w:t>（八）其他类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902" w:type="dxa"/>
            <w:gridSpan w:val="2"/>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tcBorders>
              <w:top w:val="single" w:color="auto" w:sz="4" w:space="0"/>
              <w:left w:val="single" w:color="auto" w:sz="4" w:space="0"/>
              <w:bottom w:val="single" w:color="auto" w:sz="4" w:space="0"/>
              <w:right w:val="single" w:color="auto" w:sz="4" w:space="0"/>
            </w:tcBorders>
            <w:vAlign w:val="center"/>
          </w:tcPr>
          <w:p>
            <w:pPr>
              <w:pStyle w:val="36"/>
              <w:ind w:firstLine="480"/>
              <w:rPr>
                <w:color w:val="000000"/>
                <w:highlight w:val="none"/>
              </w:rPr>
            </w:pPr>
            <w:r>
              <w:rPr>
                <w:rFonts w:hint="eastAsia" w:ascii="仿宋_GB2312" w:eastAsia="仿宋_GB2312"/>
                <w:color w:val="000000"/>
                <w:highlight w:val="none"/>
              </w:rPr>
              <w:t>未按规定开展环境安全隐患排查治理工作，建立隐患排查治理档案的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Borders>
              <w:top w:val="single" w:color="auto" w:sz="4" w:space="0"/>
              <w:left w:val="single" w:color="auto" w:sz="4" w:space="0"/>
              <w:bottom w:val="single" w:color="auto" w:sz="4" w:space="0"/>
              <w:right w:val="single" w:color="auto" w:sz="4" w:space="0"/>
            </w:tcBorders>
          </w:tcPr>
          <w:p>
            <w:pPr>
              <w:pStyle w:val="11"/>
              <w:ind w:firstLine="420"/>
              <w:rPr>
                <w:rFonts w:ascii="仿宋_GB2312" w:hAnsi="Times New Roman" w:eastAsia="仿宋_GB2312" w:cs="Times New Roman"/>
                <w:sz w:val="21"/>
                <w:szCs w:val="21"/>
                <w:highlight w:val="none"/>
              </w:rPr>
            </w:pPr>
            <w:r>
              <w:rPr>
                <w:rFonts w:hint="eastAsia" w:ascii="仿宋_GB2312" w:hAnsi="Times New Roman" w:eastAsia="仿宋_GB2312" w:cs="Times New Roman"/>
                <w:b/>
                <w:bCs/>
                <w:sz w:val="21"/>
                <w:szCs w:val="21"/>
                <w:highlight w:val="none"/>
              </w:rPr>
              <w:t xml:space="preserve">《突发环境事件应急管理办法》第六条  </w:t>
            </w:r>
            <w:r>
              <w:rPr>
                <w:rFonts w:hint="eastAsia" w:ascii="仿宋_GB2312" w:hAnsi="Times New Roman" w:eastAsia="仿宋_GB2312" w:cs="Times New Roman"/>
                <w:sz w:val="21"/>
                <w:szCs w:val="21"/>
                <w:highlight w:val="none"/>
              </w:rPr>
              <w:t>企业事业单位应当按照相关法律法规和标准规范的要求，履行下列义务：</w:t>
            </w:r>
          </w:p>
          <w:p>
            <w:pPr>
              <w:pStyle w:val="11"/>
              <w:ind w:firstLine="420"/>
              <w:rPr>
                <w:rFonts w:ascii="仿宋_GB2312" w:hAnsi="Times New Roman" w:eastAsia="仿宋_GB2312" w:cs="Times New Roman"/>
                <w:sz w:val="21"/>
                <w:szCs w:val="21"/>
                <w:highlight w:val="none"/>
              </w:rPr>
            </w:pPr>
            <w:r>
              <w:rPr>
                <w:rFonts w:hint="eastAsia" w:ascii="仿宋_GB2312" w:hAnsi="Times New Roman" w:eastAsia="仿宋_GB2312" w:cs="Times New Roman"/>
                <w:sz w:val="21"/>
                <w:szCs w:val="21"/>
                <w:highlight w:val="none"/>
              </w:rPr>
              <w:t>（一）开展突发环境事件风险评估；</w:t>
            </w:r>
          </w:p>
          <w:p>
            <w:pPr>
              <w:pStyle w:val="11"/>
              <w:ind w:firstLine="420"/>
              <w:rPr>
                <w:rFonts w:ascii="仿宋_GB2312" w:hAnsi="Times New Roman" w:eastAsia="仿宋_GB2312" w:cs="Times New Roman"/>
                <w:sz w:val="21"/>
                <w:szCs w:val="21"/>
                <w:highlight w:val="none"/>
              </w:rPr>
            </w:pPr>
            <w:r>
              <w:rPr>
                <w:rFonts w:hint="eastAsia" w:ascii="仿宋_GB2312" w:hAnsi="Times New Roman" w:eastAsia="仿宋_GB2312" w:cs="Times New Roman"/>
                <w:sz w:val="21"/>
                <w:szCs w:val="21"/>
                <w:highlight w:val="none"/>
              </w:rPr>
              <w:t>（二）完善突发环境事件风险防控措施；</w:t>
            </w:r>
          </w:p>
          <w:p>
            <w:pPr>
              <w:pStyle w:val="11"/>
              <w:ind w:firstLine="420"/>
              <w:rPr>
                <w:rFonts w:ascii="仿宋_GB2312" w:hAnsi="Times New Roman" w:eastAsia="仿宋_GB2312" w:cs="Times New Roman"/>
                <w:sz w:val="21"/>
                <w:szCs w:val="21"/>
                <w:highlight w:val="none"/>
              </w:rPr>
            </w:pPr>
            <w:r>
              <w:rPr>
                <w:rFonts w:hint="eastAsia" w:ascii="仿宋_GB2312" w:hAnsi="Times New Roman" w:eastAsia="仿宋_GB2312" w:cs="Times New Roman"/>
                <w:sz w:val="21"/>
                <w:szCs w:val="21"/>
                <w:highlight w:val="none"/>
              </w:rPr>
              <w:t>（三）排查治理环境安全隐患；</w:t>
            </w:r>
          </w:p>
          <w:p>
            <w:pPr>
              <w:pStyle w:val="11"/>
              <w:ind w:firstLine="420"/>
              <w:rPr>
                <w:rFonts w:ascii="仿宋_GB2312" w:hAnsi="Times New Roman" w:eastAsia="仿宋_GB2312" w:cs="Times New Roman"/>
                <w:sz w:val="21"/>
                <w:szCs w:val="21"/>
                <w:highlight w:val="none"/>
              </w:rPr>
            </w:pPr>
            <w:r>
              <w:rPr>
                <w:rFonts w:hint="eastAsia" w:ascii="仿宋_GB2312" w:hAnsi="Times New Roman" w:eastAsia="仿宋_GB2312" w:cs="Times New Roman"/>
                <w:sz w:val="21"/>
                <w:szCs w:val="21"/>
                <w:highlight w:val="none"/>
              </w:rPr>
              <w:t>（四）制定突发环境事件应急预案并备案、演练；</w:t>
            </w:r>
          </w:p>
          <w:p>
            <w:pPr>
              <w:pStyle w:val="11"/>
              <w:ind w:firstLine="420"/>
              <w:rPr>
                <w:rFonts w:ascii="仿宋_GB2312" w:hAnsi="Times New Roman" w:eastAsia="仿宋_GB2312" w:cs="Times New Roman"/>
                <w:sz w:val="21"/>
                <w:szCs w:val="21"/>
                <w:highlight w:val="none"/>
              </w:rPr>
            </w:pPr>
            <w:r>
              <w:rPr>
                <w:rFonts w:hint="eastAsia" w:ascii="仿宋_GB2312" w:hAnsi="Times New Roman" w:eastAsia="仿宋_GB2312" w:cs="Times New Roman"/>
                <w:sz w:val="21"/>
                <w:szCs w:val="21"/>
                <w:highlight w:val="none"/>
              </w:rPr>
              <w:t>（五）加强环境应急能力保障建设。</w:t>
            </w:r>
          </w:p>
          <w:p>
            <w:pPr>
              <w:pStyle w:val="11"/>
              <w:ind w:firstLine="420"/>
              <w:rPr>
                <w:rFonts w:ascii="Times New Roman" w:hAnsi="Times New Roman" w:eastAsia="仿宋_GB2312" w:cs="Times New Roman"/>
                <w:sz w:val="21"/>
                <w:szCs w:val="21"/>
                <w:highlight w:val="none"/>
              </w:rPr>
            </w:pPr>
            <w:r>
              <w:rPr>
                <w:rFonts w:hint="eastAsia" w:ascii="仿宋_GB2312" w:hAnsi="Times New Roman" w:eastAsia="仿宋_GB2312" w:cs="Times New Roman"/>
                <w:sz w:val="21"/>
                <w:szCs w:val="21"/>
                <w:highlight w:val="none"/>
              </w:rPr>
              <w:t>发生或者可能发生突发环境事件时，企业事业单位应当依法进行处理，并对所造成的损害承担责任。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Borders>
              <w:top w:val="single" w:color="auto" w:sz="4" w:space="0"/>
              <w:left w:val="single" w:color="auto" w:sz="4" w:space="0"/>
              <w:bottom w:val="single" w:color="auto" w:sz="4" w:space="0"/>
              <w:right w:val="single" w:color="auto" w:sz="4" w:space="0"/>
            </w:tcBorders>
          </w:tcPr>
          <w:p>
            <w:pPr>
              <w:ind w:firstLine="422" w:firstLineChars="200"/>
              <w:rPr>
                <w:rFonts w:ascii="仿宋_GB2312" w:hAnsi="Times New Roman" w:eastAsia="仿宋_GB2312" w:cs="Times New Roman"/>
                <w:highlight w:val="none"/>
              </w:rPr>
            </w:pPr>
            <w:r>
              <w:rPr>
                <w:rFonts w:hint="eastAsia" w:ascii="仿宋_GB2312" w:hAnsi="Times New Roman" w:eastAsia="仿宋_GB2312" w:cs="Times New Roman"/>
                <w:b/>
                <w:bCs/>
                <w:highlight w:val="none"/>
              </w:rPr>
              <w:t xml:space="preserve">《突发环境事件应急管理办法》第三十八条  </w:t>
            </w:r>
            <w:r>
              <w:rPr>
                <w:rFonts w:hint="eastAsia" w:ascii="仿宋_GB2312" w:hAnsi="Times New Roman" w:eastAsia="仿宋_GB2312" w:cs="Times New Roman"/>
                <w:highlight w:val="none"/>
              </w:rPr>
              <w:t>企业事业单位有下列情形之一的，由县级以上环境保护主管部门责令改正，可以处一万元以上三万元以下罚款：</w:t>
            </w:r>
          </w:p>
          <w:p>
            <w:pPr>
              <w:ind w:firstLine="420" w:firstLineChars="200"/>
              <w:rPr>
                <w:rFonts w:ascii="仿宋_GB2312" w:hAnsi="Times New Roman" w:eastAsia="仿宋_GB2312" w:cs="Times New Roman"/>
                <w:highlight w:val="none"/>
              </w:rPr>
            </w:pPr>
            <w:r>
              <w:rPr>
                <w:rFonts w:hint="eastAsia" w:ascii="仿宋_GB2312" w:hAnsi="Times New Roman" w:eastAsia="仿宋_GB2312" w:cs="Times New Roman"/>
                <w:highlight w:val="none"/>
              </w:rPr>
              <w:t>（一）未按规定开展突发环境事件风险评估工作，确定风险等级的；</w:t>
            </w:r>
          </w:p>
          <w:p>
            <w:pPr>
              <w:ind w:firstLine="420" w:firstLineChars="200"/>
              <w:rPr>
                <w:rFonts w:ascii="仿宋_GB2312" w:hAnsi="Times New Roman" w:eastAsia="仿宋_GB2312" w:cs="Times New Roman"/>
                <w:highlight w:val="none"/>
              </w:rPr>
            </w:pPr>
            <w:r>
              <w:rPr>
                <w:rFonts w:hint="eastAsia" w:ascii="仿宋_GB2312" w:hAnsi="Times New Roman" w:eastAsia="仿宋_GB2312" w:cs="Times New Roman"/>
                <w:highlight w:val="none"/>
              </w:rPr>
              <w:t>（二）未按规定开展环境安全隐患排查治理工作，建立隐患排查治理档案的；</w:t>
            </w:r>
          </w:p>
          <w:p>
            <w:pPr>
              <w:ind w:firstLine="420" w:firstLineChars="200"/>
              <w:rPr>
                <w:rFonts w:ascii="仿宋_GB2312" w:hAnsi="Times New Roman" w:eastAsia="仿宋_GB2312" w:cs="Times New Roman"/>
                <w:highlight w:val="none"/>
              </w:rPr>
            </w:pPr>
            <w:r>
              <w:rPr>
                <w:rFonts w:hint="eastAsia" w:ascii="仿宋_GB2312" w:hAnsi="Times New Roman" w:eastAsia="仿宋_GB2312" w:cs="Times New Roman"/>
                <w:highlight w:val="none"/>
              </w:rPr>
              <w:t>（三）未按规定将突发环境事件应急预案备案的；</w:t>
            </w:r>
          </w:p>
          <w:p>
            <w:pPr>
              <w:ind w:firstLine="420" w:firstLineChars="200"/>
              <w:rPr>
                <w:rFonts w:ascii="仿宋_GB2312" w:hAnsi="Times New Roman" w:eastAsia="仿宋_GB2312" w:cs="Times New Roman"/>
                <w:highlight w:val="none"/>
              </w:rPr>
            </w:pPr>
            <w:r>
              <w:rPr>
                <w:rFonts w:hint="eastAsia" w:ascii="仿宋_GB2312" w:hAnsi="Times New Roman" w:eastAsia="仿宋_GB2312" w:cs="Times New Roman"/>
                <w:highlight w:val="none"/>
              </w:rPr>
              <w:t>（四）未按规定开展突发环境事件应急培训，如实记录培训情况的；</w:t>
            </w:r>
          </w:p>
          <w:p>
            <w:pPr>
              <w:ind w:firstLine="420" w:firstLineChars="200"/>
              <w:rPr>
                <w:rFonts w:ascii="仿宋_GB2312" w:hAnsi="Times New Roman" w:eastAsia="仿宋_GB2312" w:cs="Times New Roman"/>
                <w:highlight w:val="none"/>
              </w:rPr>
            </w:pPr>
            <w:r>
              <w:rPr>
                <w:rFonts w:hint="eastAsia" w:ascii="仿宋_GB2312" w:hAnsi="Times New Roman" w:eastAsia="仿宋_GB2312" w:cs="Times New Roman"/>
                <w:highlight w:val="none"/>
              </w:rPr>
              <w:t>（五）未按规定储备必要的环境应急装备和物资；</w:t>
            </w:r>
          </w:p>
          <w:p>
            <w:pPr>
              <w:ind w:firstLine="420" w:firstLineChars="200"/>
              <w:rPr>
                <w:rFonts w:cs="Times New Roman"/>
                <w:highlight w:val="none"/>
              </w:rPr>
            </w:pPr>
            <w:r>
              <w:rPr>
                <w:rFonts w:hint="eastAsia" w:ascii="仿宋_GB2312" w:hAnsi="Times New Roman" w:eastAsia="仿宋_GB2312" w:cs="Times New Roman"/>
                <w:highlight w:val="none"/>
              </w:rPr>
              <w:t>（六）未按规定公开突发环境事件相关信息的。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8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宋体" w:hAnsi="宋体" w:cs="Times New Roman"/>
                <w:b/>
                <w:bCs/>
                <w:highlight w:val="none"/>
              </w:rPr>
            </w:pPr>
            <w:r>
              <w:rPr>
                <w:rFonts w:hint="eastAsia" w:ascii="宋体" w:hAnsi="宋体" w:cs="Times New Roman"/>
                <w:b/>
                <w:color w:val="000000"/>
                <w:highlight w:val="none"/>
              </w:rPr>
              <w:t>违法事实</w:t>
            </w:r>
            <w:r>
              <w:rPr>
                <w:rFonts w:hint="eastAsia" w:ascii="Times New Roman" w:hAnsi="Times New Roman" w:cs="Times New Roman"/>
                <w:b/>
                <w:bCs/>
                <w:highlight w:val="none"/>
              </w:rPr>
              <w:t>★</w:t>
            </w:r>
          </w:p>
        </w:tc>
        <w:tc>
          <w:tcPr>
            <w:tcW w:w="5213"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Times New Roman"/>
                <w:color w:val="000000"/>
                <w:sz w:val="21"/>
                <w:szCs w:val="21"/>
                <w:highlight w:val="none"/>
              </w:rPr>
              <w:t>企业外部、内部重要或关键因素发生变化时，未及时开展环境安全隐患排查治理工作</w:t>
            </w:r>
          </w:p>
        </w:tc>
        <w:tc>
          <w:tcPr>
            <w:tcW w:w="2689" w:type="dxa"/>
            <w:vAlign w:val="center"/>
          </w:tcPr>
          <w:p>
            <w:pPr>
              <w:snapToGrid w:val="0"/>
              <w:jc w:val="center"/>
              <w:rPr>
                <w:rFonts w:ascii="Times New Roman" w:hAnsi="Times New Roman" w:cs="Times New Roman"/>
                <w:highlight w:val="none"/>
              </w:rPr>
            </w:pPr>
            <w:r>
              <w:rPr>
                <w:rFonts w:hint="eastAsia"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宋体" w:hAnsi="宋体"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Times New Roman"/>
                <w:color w:val="000000"/>
                <w:sz w:val="21"/>
                <w:szCs w:val="21"/>
                <w:highlight w:val="none"/>
              </w:rPr>
              <w:t>开展环境安全隐患排查治理工作，但隐患排查治理档案未建立或不规范</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宋体" w:hAnsi="宋体"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Times New Roman"/>
                <w:color w:val="000000"/>
                <w:sz w:val="21"/>
                <w:szCs w:val="21"/>
                <w:highlight w:val="none"/>
              </w:rPr>
              <w:t>未开展环境安全隐患排查治理工作</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宋体" w:hAnsi="宋体" w:cs="Times New Roman"/>
                <w:b/>
                <w:bCs/>
                <w:highlight w:val="none"/>
              </w:rPr>
            </w:pPr>
            <w:r>
              <w:rPr>
                <w:rFonts w:hint="eastAsia" w:ascii="宋体" w:hAnsi="宋体" w:cs="Times New Roman"/>
                <w:b/>
                <w:color w:val="000000"/>
                <w:highlight w:val="none"/>
              </w:rPr>
              <w:t>企业突发环境事件风险等级</w:t>
            </w: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一般</w:t>
            </w:r>
          </w:p>
        </w:tc>
        <w:tc>
          <w:tcPr>
            <w:tcW w:w="2689" w:type="dxa"/>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宋体" w:hAnsi="宋体" w:cs="Times New Roman"/>
                <w:b/>
                <w:bCs/>
                <w:highlight w:val="none"/>
              </w:rPr>
            </w:pPr>
          </w:p>
        </w:tc>
        <w:tc>
          <w:tcPr>
            <w:tcW w:w="5213"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Times New Roman"/>
                <w:color w:val="000000"/>
                <w:highlight w:val="none"/>
              </w:rPr>
              <w:t>较大</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宋体" w:hAnsi="宋体" w:cs="Times New Roman"/>
                <w:b/>
                <w:bCs/>
                <w:highlight w:val="none"/>
              </w:rPr>
            </w:pPr>
          </w:p>
        </w:tc>
        <w:tc>
          <w:tcPr>
            <w:tcW w:w="5213"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Times New Roman"/>
                <w:color w:val="000000"/>
                <w:highlight w:val="none"/>
              </w:rPr>
              <w:t>重大</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宋体" w:hAnsi="宋体" w:cs="Times New Roman"/>
                <w:b/>
                <w:bCs/>
                <w:highlight w:val="none"/>
              </w:rPr>
            </w:pPr>
            <w:r>
              <w:rPr>
                <w:rFonts w:hint="eastAsia" w:ascii="宋体" w:hAnsi="宋体" w:cs="Times New Roman"/>
                <w:b/>
                <w:color w:val="000000"/>
                <w:highlight w:val="none"/>
              </w:rPr>
              <w:t>违法时间</w:t>
            </w: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color w:val="000000"/>
                <w:highlight w:val="none"/>
              </w:rPr>
              <w:t>1个月以上，不满3个月</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color w:val="000000"/>
                <w:highlight w:val="none"/>
              </w:rPr>
              <w:t>3个月以上，不满6个月</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color w:val="000000"/>
                <w:highlight w:val="none"/>
              </w:rPr>
              <w:t>6个月以上</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vAlign w:val="center"/>
          </w:tcPr>
          <w:p>
            <w:pPr>
              <w:snapToGrid w:val="0"/>
              <w:ind w:firstLine="420"/>
              <w:jc w:val="center"/>
              <w:rPr>
                <w:rFonts w:ascii="Times New Roman" w:hAnsi="Times New Roman" w:cs="Times New Roman"/>
                <w:highlight w:val="none"/>
              </w:rPr>
            </w:pPr>
          </w:p>
        </w:tc>
      </w:tr>
    </w:tbl>
    <w:p>
      <w:pPr>
        <w:tabs>
          <w:tab w:val="left" w:pos="1305"/>
        </w:tabs>
        <w:rPr>
          <w:rFonts w:ascii="Times New Roman" w:hAnsi="Times New Roman" w:eastAsia="仿宋_GB2312" w:cs="Times New Roman"/>
          <w:sz w:val="32"/>
          <w:szCs w:val="32"/>
          <w:highlight w:val="none"/>
        </w:rPr>
      </w:pPr>
    </w:p>
    <w:p>
      <w:pPr>
        <w:tabs>
          <w:tab w:val="left" w:pos="1305"/>
        </w:tabs>
        <w:rPr>
          <w:rFonts w:ascii="Times New Roman" w:hAnsi="Times New Roman" w:eastAsia="仿宋_GB2312" w:cs="Times New Roman"/>
          <w:sz w:val="32"/>
          <w:szCs w:val="32"/>
          <w:highlight w:val="none"/>
        </w:rPr>
      </w:pP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08" w:type="dxa"/>
            <w:gridSpan w:val="3"/>
            <w:vAlign w:val="center"/>
          </w:tcPr>
          <w:p>
            <w:pPr>
              <w:widowControl/>
              <w:snapToGrid w:val="0"/>
              <w:jc w:val="center"/>
              <w:rPr>
                <w:rFonts w:ascii="Times New Roman" w:hAnsi="Times New Roman" w:cs="Times New Roman"/>
                <w:color w:val="000000"/>
                <w:highlight w:val="none"/>
              </w:rPr>
            </w:pPr>
            <w:r>
              <w:rPr>
                <w:rFonts w:hint="eastAsia" w:ascii="Times New Roman" w:hAnsi="Times New Roman" w:eastAsia="仿宋_GB2312" w:cs="仿宋_GB2312"/>
                <w:b/>
                <w:bCs/>
                <w:color w:val="000000"/>
                <w:sz w:val="32"/>
                <w:szCs w:val="32"/>
                <w:highlight w:val="none"/>
              </w:rPr>
              <w:t>（八）其他类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902" w:type="dxa"/>
            <w:gridSpan w:val="2"/>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tcBorders>
              <w:top w:val="single" w:color="auto" w:sz="4" w:space="0"/>
              <w:left w:val="single" w:color="auto" w:sz="4" w:space="0"/>
              <w:bottom w:val="single" w:color="auto" w:sz="4" w:space="0"/>
              <w:right w:val="single" w:color="auto" w:sz="4" w:space="0"/>
            </w:tcBorders>
            <w:vAlign w:val="center"/>
          </w:tcPr>
          <w:p>
            <w:pPr>
              <w:pStyle w:val="36"/>
              <w:ind w:firstLine="480"/>
              <w:rPr>
                <w:color w:val="000000"/>
                <w:highlight w:val="none"/>
              </w:rPr>
            </w:pPr>
            <w:r>
              <w:rPr>
                <w:rFonts w:hint="eastAsia" w:ascii="仿宋_GB2312" w:eastAsia="仿宋_GB2312"/>
                <w:color w:val="000000"/>
                <w:highlight w:val="none"/>
              </w:rPr>
              <w:t>未按规定将突发环境事件应急预案备案的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Borders>
              <w:top w:val="single" w:color="auto" w:sz="4" w:space="0"/>
              <w:left w:val="single" w:color="auto" w:sz="4" w:space="0"/>
              <w:bottom w:val="single" w:color="auto" w:sz="4" w:space="0"/>
              <w:right w:val="single" w:color="auto" w:sz="4" w:space="0"/>
            </w:tcBorders>
          </w:tcPr>
          <w:p>
            <w:pPr>
              <w:pStyle w:val="11"/>
              <w:ind w:firstLine="420"/>
              <w:rPr>
                <w:rFonts w:ascii="仿宋_GB2312" w:hAnsi="Times New Roman" w:eastAsia="仿宋_GB2312" w:cs="Times New Roman"/>
                <w:sz w:val="21"/>
                <w:szCs w:val="21"/>
                <w:highlight w:val="none"/>
              </w:rPr>
            </w:pPr>
            <w:r>
              <w:rPr>
                <w:rFonts w:hint="eastAsia" w:ascii="仿宋_GB2312" w:hAnsi="Times New Roman" w:eastAsia="仿宋_GB2312" w:cs="Times New Roman"/>
                <w:b/>
                <w:bCs/>
                <w:sz w:val="21"/>
                <w:szCs w:val="21"/>
                <w:highlight w:val="none"/>
              </w:rPr>
              <w:t xml:space="preserve">《突发环境事件应急管理办法》第六条  </w:t>
            </w:r>
            <w:r>
              <w:rPr>
                <w:rFonts w:hint="eastAsia" w:ascii="仿宋_GB2312" w:hAnsi="Times New Roman" w:eastAsia="仿宋_GB2312" w:cs="Times New Roman"/>
                <w:sz w:val="21"/>
                <w:szCs w:val="21"/>
                <w:highlight w:val="none"/>
              </w:rPr>
              <w:t>企业事业单位应当按照相关法律法规和标准规范的要求，履行下列义务：</w:t>
            </w:r>
          </w:p>
          <w:p>
            <w:pPr>
              <w:pStyle w:val="11"/>
              <w:ind w:firstLine="420"/>
              <w:rPr>
                <w:rFonts w:ascii="仿宋_GB2312" w:hAnsi="Times New Roman" w:eastAsia="仿宋_GB2312" w:cs="Times New Roman"/>
                <w:sz w:val="21"/>
                <w:szCs w:val="21"/>
                <w:highlight w:val="none"/>
              </w:rPr>
            </w:pPr>
            <w:r>
              <w:rPr>
                <w:rFonts w:hint="eastAsia" w:ascii="仿宋_GB2312" w:hAnsi="Times New Roman" w:eastAsia="仿宋_GB2312" w:cs="Times New Roman"/>
                <w:sz w:val="21"/>
                <w:szCs w:val="21"/>
                <w:highlight w:val="none"/>
              </w:rPr>
              <w:t>（一）开展突发环境事件风险评估；</w:t>
            </w:r>
          </w:p>
          <w:p>
            <w:pPr>
              <w:pStyle w:val="11"/>
              <w:ind w:firstLine="420"/>
              <w:rPr>
                <w:rFonts w:ascii="仿宋_GB2312" w:hAnsi="Times New Roman" w:eastAsia="仿宋_GB2312" w:cs="Times New Roman"/>
                <w:sz w:val="21"/>
                <w:szCs w:val="21"/>
                <w:highlight w:val="none"/>
              </w:rPr>
            </w:pPr>
            <w:r>
              <w:rPr>
                <w:rFonts w:hint="eastAsia" w:ascii="仿宋_GB2312" w:hAnsi="Times New Roman" w:eastAsia="仿宋_GB2312" w:cs="Times New Roman"/>
                <w:sz w:val="21"/>
                <w:szCs w:val="21"/>
                <w:highlight w:val="none"/>
              </w:rPr>
              <w:t>（二）完善突发环境事件风险防控措施；</w:t>
            </w:r>
          </w:p>
          <w:p>
            <w:pPr>
              <w:pStyle w:val="11"/>
              <w:ind w:firstLine="420"/>
              <w:rPr>
                <w:rFonts w:ascii="仿宋_GB2312" w:hAnsi="Times New Roman" w:eastAsia="仿宋_GB2312" w:cs="Times New Roman"/>
                <w:sz w:val="21"/>
                <w:szCs w:val="21"/>
                <w:highlight w:val="none"/>
              </w:rPr>
            </w:pPr>
            <w:r>
              <w:rPr>
                <w:rFonts w:hint="eastAsia" w:ascii="仿宋_GB2312" w:hAnsi="Times New Roman" w:eastAsia="仿宋_GB2312" w:cs="Times New Roman"/>
                <w:sz w:val="21"/>
                <w:szCs w:val="21"/>
                <w:highlight w:val="none"/>
              </w:rPr>
              <w:t>（三）排查治理环境安全隐患；</w:t>
            </w:r>
          </w:p>
          <w:p>
            <w:pPr>
              <w:pStyle w:val="11"/>
              <w:ind w:firstLine="420"/>
              <w:rPr>
                <w:rFonts w:ascii="仿宋_GB2312" w:hAnsi="Times New Roman" w:eastAsia="仿宋_GB2312" w:cs="Times New Roman"/>
                <w:sz w:val="21"/>
                <w:szCs w:val="21"/>
                <w:highlight w:val="none"/>
              </w:rPr>
            </w:pPr>
            <w:r>
              <w:rPr>
                <w:rFonts w:hint="eastAsia" w:ascii="仿宋_GB2312" w:hAnsi="Times New Roman" w:eastAsia="仿宋_GB2312" w:cs="Times New Roman"/>
                <w:sz w:val="21"/>
                <w:szCs w:val="21"/>
                <w:highlight w:val="none"/>
              </w:rPr>
              <w:t>（四）制定突发环境事件应急预案并备案、演练；</w:t>
            </w:r>
          </w:p>
          <w:p>
            <w:pPr>
              <w:pStyle w:val="11"/>
              <w:ind w:firstLine="420"/>
              <w:rPr>
                <w:rFonts w:ascii="仿宋_GB2312" w:hAnsi="Times New Roman" w:eastAsia="仿宋_GB2312" w:cs="Times New Roman"/>
                <w:sz w:val="21"/>
                <w:szCs w:val="21"/>
                <w:highlight w:val="none"/>
              </w:rPr>
            </w:pPr>
            <w:r>
              <w:rPr>
                <w:rFonts w:hint="eastAsia" w:ascii="仿宋_GB2312" w:hAnsi="Times New Roman" w:eastAsia="仿宋_GB2312" w:cs="Times New Roman"/>
                <w:sz w:val="21"/>
                <w:szCs w:val="21"/>
                <w:highlight w:val="none"/>
              </w:rPr>
              <w:t>（五）加强环境应急能力保障建设。</w:t>
            </w:r>
          </w:p>
          <w:p>
            <w:pPr>
              <w:pStyle w:val="11"/>
              <w:ind w:firstLine="420"/>
              <w:rPr>
                <w:rFonts w:ascii="Times New Roman" w:hAnsi="Times New Roman" w:eastAsia="仿宋_GB2312" w:cs="Times New Roman"/>
                <w:sz w:val="21"/>
                <w:szCs w:val="21"/>
                <w:highlight w:val="none"/>
              </w:rPr>
            </w:pPr>
            <w:r>
              <w:rPr>
                <w:rFonts w:hint="eastAsia" w:ascii="仿宋_GB2312" w:hAnsi="Times New Roman" w:eastAsia="仿宋_GB2312" w:cs="Times New Roman"/>
                <w:sz w:val="21"/>
                <w:szCs w:val="21"/>
                <w:highlight w:val="none"/>
              </w:rPr>
              <w:t>发生或者可能发生突发环境事件时，企业事业单位应当依法进行处理，并对所造成的损害承担责任。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Borders>
              <w:top w:val="single" w:color="auto" w:sz="4" w:space="0"/>
              <w:left w:val="single" w:color="auto" w:sz="4" w:space="0"/>
              <w:bottom w:val="single" w:color="auto" w:sz="4" w:space="0"/>
              <w:right w:val="single" w:color="auto" w:sz="4" w:space="0"/>
            </w:tcBorders>
          </w:tcPr>
          <w:p>
            <w:pPr>
              <w:ind w:firstLine="422" w:firstLineChars="200"/>
              <w:rPr>
                <w:rFonts w:ascii="仿宋_GB2312" w:hAnsi="Times New Roman" w:eastAsia="仿宋_GB2312" w:cs="Times New Roman"/>
                <w:highlight w:val="none"/>
              </w:rPr>
            </w:pPr>
            <w:r>
              <w:rPr>
                <w:rFonts w:hint="eastAsia" w:ascii="仿宋_GB2312" w:hAnsi="Times New Roman" w:eastAsia="仿宋_GB2312" w:cs="Times New Roman"/>
                <w:b/>
                <w:bCs/>
                <w:highlight w:val="none"/>
              </w:rPr>
              <w:t xml:space="preserve">《突发环境事件应急管理办法》第三十八条  </w:t>
            </w:r>
            <w:r>
              <w:rPr>
                <w:rFonts w:hint="eastAsia" w:ascii="仿宋_GB2312" w:hAnsi="Times New Roman" w:eastAsia="仿宋_GB2312" w:cs="Times New Roman"/>
                <w:highlight w:val="none"/>
              </w:rPr>
              <w:t>企业事业单位有下列情形之一的，由县级以上环境保护主管部门责令改正，可以处一万元以上三万元以下罚款：</w:t>
            </w:r>
          </w:p>
          <w:p>
            <w:pPr>
              <w:ind w:firstLine="420" w:firstLineChars="200"/>
              <w:rPr>
                <w:rFonts w:ascii="仿宋_GB2312" w:hAnsi="Times New Roman" w:eastAsia="仿宋_GB2312" w:cs="Times New Roman"/>
                <w:highlight w:val="none"/>
              </w:rPr>
            </w:pPr>
            <w:r>
              <w:rPr>
                <w:rFonts w:hint="eastAsia" w:ascii="仿宋_GB2312" w:hAnsi="Times New Roman" w:eastAsia="仿宋_GB2312" w:cs="Times New Roman"/>
                <w:highlight w:val="none"/>
              </w:rPr>
              <w:t>（一）未按规定开展突发环境事件风险评估工作，确定风险等级的；</w:t>
            </w:r>
          </w:p>
          <w:p>
            <w:pPr>
              <w:ind w:firstLine="420" w:firstLineChars="200"/>
              <w:rPr>
                <w:rFonts w:ascii="仿宋_GB2312" w:hAnsi="Times New Roman" w:eastAsia="仿宋_GB2312" w:cs="Times New Roman"/>
                <w:highlight w:val="none"/>
              </w:rPr>
            </w:pPr>
            <w:r>
              <w:rPr>
                <w:rFonts w:hint="eastAsia" w:ascii="仿宋_GB2312" w:hAnsi="Times New Roman" w:eastAsia="仿宋_GB2312" w:cs="Times New Roman"/>
                <w:highlight w:val="none"/>
              </w:rPr>
              <w:t>（二）未按规定开展环境安全隐患排查治理工作，建立隐患排查治理档案的；</w:t>
            </w:r>
          </w:p>
          <w:p>
            <w:pPr>
              <w:ind w:firstLine="420" w:firstLineChars="200"/>
              <w:rPr>
                <w:rFonts w:ascii="仿宋_GB2312" w:hAnsi="Times New Roman" w:eastAsia="仿宋_GB2312" w:cs="Times New Roman"/>
                <w:highlight w:val="none"/>
              </w:rPr>
            </w:pPr>
            <w:r>
              <w:rPr>
                <w:rFonts w:hint="eastAsia" w:ascii="仿宋_GB2312" w:hAnsi="Times New Roman" w:eastAsia="仿宋_GB2312" w:cs="Times New Roman"/>
                <w:highlight w:val="none"/>
              </w:rPr>
              <w:t>（三）未按规定将突发环境事件应急预案备案的；</w:t>
            </w:r>
          </w:p>
          <w:p>
            <w:pPr>
              <w:ind w:firstLine="420" w:firstLineChars="200"/>
              <w:rPr>
                <w:rFonts w:ascii="仿宋_GB2312" w:hAnsi="Times New Roman" w:eastAsia="仿宋_GB2312" w:cs="Times New Roman"/>
                <w:highlight w:val="none"/>
              </w:rPr>
            </w:pPr>
            <w:r>
              <w:rPr>
                <w:rFonts w:hint="eastAsia" w:ascii="仿宋_GB2312" w:hAnsi="Times New Roman" w:eastAsia="仿宋_GB2312" w:cs="Times New Roman"/>
                <w:highlight w:val="none"/>
              </w:rPr>
              <w:t>（四）未按规定开展突发环境事件应急培训，如实记录培训情况的；</w:t>
            </w:r>
          </w:p>
          <w:p>
            <w:pPr>
              <w:ind w:firstLine="420" w:firstLineChars="200"/>
              <w:rPr>
                <w:rFonts w:ascii="仿宋_GB2312" w:hAnsi="Times New Roman" w:eastAsia="仿宋_GB2312" w:cs="Times New Roman"/>
                <w:highlight w:val="none"/>
              </w:rPr>
            </w:pPr>
            <w:r>
              <w:rPr>
                <w:rFonts w:hint="eastAsia" w:ascii="仿宋_GB2312" w:hAnsi="Times New Roman" w:eastAsia="仿宋_GB2312" w:cs="Times New Roman"/>
                <w:highlight w:val="none"/>
              </w:rPr>
              <w:t>（五）未按规定储备必要的环境应急装备和物资；</w:t>
            </w:r>
          </w:p>
          <w:p>
            <w:pPr>
              <w:ind w:firstLine="420" w:firstLineChars="200"/>
              <w:rPr>
                <w:rFonts w:cs="Times New Roman"/>
                <w:highlight w:val="none"/>
              </w:rPr>
            </w:pPr>
            <w:r>
              <w:rPr>
                <w:rFonts w:hint="eastAsia" w:ascii="仿宋_GB2312" w:hAnsi="Times New Roman" w:eastAsia="仿宋_GB2312" w:cs="Times New Roman"/>
                <w:highlight w:val="none"/>
              </w:rPr>
              <w:t>（六）未按规定公开突发环境事件相关信息的。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8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宋体" w:hAnsi="宋体" w:cs="Times New Roman"/>
                <w:b/>
                <w:bCs/>
                <w:highlight w:val="none"/>
              </w:rPr>
            </w:pPr>
            <w:r>
              <w:rPr>
                <w:rFonts w:hint="eastAsia" w:ascii="宋体" w:hAnsi="宋体" w:cs="Times New Roman"/>
                <w:b/>
                <w:color w:val="000000"/>
                <w:highlight w:val="none"/>
              </w:rPr>
              <w:t>违法事实</w:t>
            </w:r>
            <w:r>
              <w:rPr>
                <w:rFonts w:hint="eastAsia" w:ascii="Times New Roman" w:hAnsi="Times New Roman" w:cs="Times New Roman"/>
                <w:b/>
                <w:bCs/>
                <w:highlight w:val="none"/>
              </w:rPr>
              <w:t>★</w:t>
            </w:r>
          </w:p>
        </w:tc>
        <w:tc>
          <w:tcPr>
            <w:tcW w:w="5213" w:type="dxa"/>
            <w:vAlign w:val="center"/>
          </w:tcPr>
          <w:p>
            <w:pPr>
              <w:pStyle w:val="11"/>
              <w:snapToGrid w:val="0"/>
              <w:jc w:val="center"/>
              <w:rPr>
                <w:rFonts w:ascii="Times New Roman" w:hAnsi="Times New Roman" w:eastAsia="仿宋_GB2312" w:cs="Times New Roman"/>
                <w:sz w:val="21"/>
                <w:szCs w:val="21"/>
                <w:highlight w:val="none"/>
              </w:rPr>
            </w:pPr>
            <w:r>
              <w:rPr>
                <w:rFonts w:hint="eastAsia" w:ascii="Times New Roman" w:hAnsi="Times New Roman" w:eastAsia="仿宋_GB2312" w:cs="Times New Roman"/>
                <w:color w:val="000000"/>
                <w:sz w:val="21"/>
                <w:szCs w:val="21"/>
                <w:highlight w:val="none"/>
              </w:rPr>
              <w:t>存在重大隐患或环境风险状况发生重大变化时，未按规定将突发环境事件应急预案重新备案的</w:t>
            </w:r>
          </w:p>
        </w:tc>
        <w:tc>
          <w:tcPr>
            <w:tcW w:w="2689" w:type="dxa"/>
            <w:vAlign w:val="center"/>
          </w:tcPr>
          <w:p>
            <w:pPr>
              <w:snapToGrid w:val="0"/>
              <w:jc w:val="center"/>
              <w:rPr>
                <w:rFonts w:ascii="Times New Roman" w:hAnsi="Times New Roman" w:cs="Times New Roman"/>
                <w:highlight w:val="none"/>
              </w:rPr>
            </w:pPr>
            <w:r>
              <w:rPr>
                <w:rFonts w:hint="eastAsia"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宋体" w:hAnsi="宋体"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Times New Roman"/>
                <w:color w:val="000000"/>
                <w:sz w:val="21"/>
                <w:szCs w:val="21"/>
                <w:highlight w:val="none"/>
              </w:rPr>
              <w:t>突发环境事件应急预案编制未备案的</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Merge w:val="continue"/>
            <w:vAlign w:val="center"/>
          </w:tcPr>
          <w:p>
            <w:pPr>
              <w:snapToGrid w:val="0"/>
              <w:jc w:val="center"/>
              <w:rPr>
                <w:rFonts w:ascii="宋体" w:hAnsi="宋体" w:cs="Times New Roman"/>
                <w:b/>
                <w:bCs/>
                <w:highlight w:val="none"/>
              </w:rPr>
            </w:pPr>
          </w:p>
        </w:tc>
        <w:tc>
          <w:tcPr>
            <w:tcW w:w="5213"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Times New Roman"/>
                <w:color w:val="000000"/>
                <w:sz w:val="21"/>
                <w:szCs w:val="21"/>
                <w:highlight w:val="none"/>
              </w:rPr>
              <w:t>突发环境事件应急预案未编制或者内容不符合实际的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宋体" w:hAnsi="宋体" w:cs="Times New Roman"/>
                <w:b/>
                <w:bCs/>
                <w:highlight w:val="none"/>
              </w:rPr>
            </w:pPr>
            <w:r>
              <w:rPr>
                <w:rFonts w:hint="eastAsia" w:ascii="宋体" w:hAnsi="宋体" w:cs="Times New Roman"/>
                <w:b/>
                <w:color w:val="000000"/>
                <w:highlight w:val="none"/>
              </w:rPr>
              <w:t>企业突发环境事件风险等级</w:t>
            </w: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一般</w:t>
            </w:r>
          </w:p>
        </w:tc>
        <w:tc>
          <w:tcPr>
            <w:tcW w:w="2689" w:type="dxa"/>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宋体" w:hAnsi="宋体" w:cs="Times New Roman"/>
                <w:b/>
                <w:bCs/>
                <w:highlight w:val="none"/>
              </w:rPr>
            </w:pPr>
          </w:p>
        </w:tc>
        <w:tc>
          <w:tcPr>
            <w:tcW w:w="5213"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Times New Roman"/>
                <w:color w:val="000000"/>
                <w:highlight w:val="none"/>
              </w:rPr>
              <w:t>较大</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6" w:type="dxa"/>
            <w:vMerge w:val="continue"/>
            <w:vAlign w:val="center"/>
          </w:tcPr>
          <w:p>
            <w:pPr>
              <w:snapToGrid w:val="0"/>
              <w:jc w:val="center"/>
              <w:rPr>
                <w:rFonts w:ascii="宋体" w:hAnsi="宋体" w:cs="Times New Roman"/>
                <w:b/>
                <w:bCs/>
                <w:highlight w:val="none"/>
              </w:rPr>
            </w:pPr>
          </w:p>
        </w:tc>
        <w:tc>
          <w:tcPr>
            <w:tcW w:w="5213"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Times New Roman"/>
                <w:color w:val="000000"/>
                <w:highlight w:val="none"/>
              </w:rPr>
              <w:t>重大</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宋体" w:hAnsi="宋体" w:cs="Times New Roman"/>
                <w:b/>
                <w:bCs/>
                <w:highlight w:val="none"/>
              </w:rPr>
            </w:pPr>
            <w:r>
              <w:rPr>
                <w:rFonts w:hint="eastAsia" w:ascii="宋体" w:hAnsi="宋体" w:cs="Times New Roman"/>
                <w:b/>
                <w:color w:val="000000"/>
                <w:highlight w:val="none"/>
              </w:rPr>
              <w:t>违法时间</w:t>
            </w: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color w:val="000000"/>
                <w:highlight w:val="none"/>
              </w:rPr>
              <w:t>1个月以上，不满3个月</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color w:val="000000"/>
                <w:highlight w:val="none"/>
              </w:rPr>
              <w:t>3个月以上，不满6个月</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color w:val="000000"/>
                <w:highlight w:val="none"/>
              </w:rPr>
              <w:t>6个月以上</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vAlign w:val="center"/>
          </w:tcPr>
          <w:p>
            <w:pPr>
              <w:snapToGrid w:val="0"/>
              <w:ind w:firstLine="420"/>
              <w:jc w:val="center"/>
              <w:rPr>
                <w:rFonts w:ascii="Times New Roman" w:hAnsi="Times New Roman" w:cs="Times New Roman"/>
                <w:highlight w:val="none"/>
              </w:rPr>
            </w:pPr>
          </w:p>
        </w:tc>
      </w:tr>
    </w:tbl>
    <w:p>
      <w:pPr>
        <w:tabs>
          <w:tab w:val="left" w:pos="1305"/>
        </w:tabs>
        <w:rPr>
          <w:rFonts w:ascii="Times New Roman" w:hAnsi="Times New Roman" w:eastAsia="仿宋_GB2312" w:cs="Times New Roman"/>
          <w:sz w:val="32"/>
          <w:szCs w:val="32"/>
          <w:highlight w:val="none"/>
        </w:rPr>
      </w:pPr>
    </w:p>
    <w:p>
      <w:pPr>
        <w:tabs>
          <w:tab w:val="left" w:pos="1305"/>
        </w:tabs>
        <w:rPr>
          <w:rFonts w:ascii="Times New Roman" w:hAnsi="Times New Roman" w:eastAsia="仿宋_GB2312" w:cs="Times New Roman"/>
          <w:sz w:val="32"/>
          <w:szCs w:val="32"/>
          <w:highlight w:val="none"/>
        </w:rPr>
      </w:pP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08" w:type="dxa"/>
            <w:gridSpan w:val="3"/>
            <w:vAlign w:val="center"/>
          </w:tcPr>
          <w:p>
            <w:pPr>
              <w:widowControl/>
              <w:snapToGrid w:val="0"/>
              <w:jc w:val="center"/>
              <w:rPr>
                <w:rFonts w:ascii="Times New Roman" w:hAnsi="Times New Roman" w:cs="Times New Roman"/>
                <w:color w:val="000000"/>
                <w:highlight w:val="none"/>
              </w:rPr>
            </w:pPr>
            <w:r>
              <w:rPr>
                <w:rFonts w:hint="eastAsia" w:ascii="Times New Roman" w:hAnsi="Times New Roman" w:eastAsia="仿宋_GB2312" w:cs="仿宋_GB2312"/>
                <w:b/>
                <w:bCs/>
                <w:color w:val="000000"/>
                <w:sz w:val="32"/>
                <w:szCs w:val="32"/>
                <w:highlight w:val="none"/>
              </w:rPr>
              <w:t>（八）其他类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902" w:type="dxa"/>
            <w:gridSpan w:val="2"/>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tcBorders>
              <w:top w:val="single" w:color="auto" w:sz="4" w:space="0"/>
              <w:left w:val="single" w:color="auto" w:sz="4" w:space="0"/>
              <w:bottom w:val="single" w:color="auto" w:sz="4" w:space="0"/>
              <w:right w:val="single" w:color="auto" w:sz="4" w:space="0"/>
            </w:tcBorders>
            <w:vAlign w:val="center"/>
          </w:tcPr>
          <w:p>
            <w:pPr>
              <w:pStyle w:val="36"/>
              <w:ind w:firstLine="480"/>
              <w:rPr>
                <w:color w:val="000000"/>
                <w:highlight w:val="none"/>
              </w:rPr>
            </w:pPr>
            <w:r>
              <w:rPr>
                <w:rFonts w:hint="eastAsia" w:ascii="仿宋_GB2312" w:eastAsia="仿宋_GB2312"/>
                <w:color w:val="000000"/>
                <w:highlight w:val="none"/>
              </w:rPr>
              <w:t>未按规定开展突发环境事件应急培训，如实记录培训情况的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Borders>
              <w:top w:val="single" w:color="auto" w:sz="4" w:space="0"/>
              <w:left w:val="single" w:color="auto" w:sz="4" w:space="0"/>
              <w:bottom w:val="single" w:color="auto" w:sz="4" w:space="0"/>
              <w:right w:val="single" w:color="auto" w:sz="4" w:space="0"/>
            </w:tcBorders>
          </w:tcPr>
          <w:p>
            <w:pPr>
              <w:pStyle w:val="11"/>
              <w:ind w:firstLine="420"/>
              <w:rPr>
                <w:rFonts w:ascii="仿宋_GB2312" w:hAnsi="Times New Roman" w:eastAsia="仿宋_GB2312" w:cs="Times New Roman"/>
                <w:sz w:val="21"/>
                <w:szCs w:val="21"/>
                <w:highlight w:val="none"/>
              </w:rPr>
            </w:pPr>
            <w:r>
              <w:rPr>
                <w:rFonts w:hint="eastAsia" w:ascii="仿宋_GB2312" w:hAnsi="Times New Roman" w:eastAsia="仿宋_GB2312" w:cs="Times New Roman"/>
                <w:b/>
                <w:bCs/>
                <w:sz w:val="21"/>
                <w:szCs w:val="21"/>
                <w:highlight w:val="none"/>
              </w:rPr>
              <w:t xml:space="preserve">《突发环境事件应急管理办法》第六条  </w:t>
            </w:r>
            <w:r>
              <w:rPr>
                <w:rFonts w:hint="eastAsia" w:ascii="仿宋_GB2312" w:hAnsi="Times New Roman" w:eastAsia="仿宋_GB2312" w:cs="Times New Roman"/>
                <w:sz w:val="21"/>
                <w:szCs w:val="21"/>
                <w:highlight w:val="none"/>
              </w:rPr>
              <w:t>企业事业单位应当按照相关法律法规和标准规范的要求，履行下列义务：</w:t>
            </w:r>
          </w:p>
          <w:p>
            <w:pPr>
              <w:pStyle w:val="11"/>
              <w:ind w:firstLine="420"/>
              <w:rPr>
                <w:rFonts w:ascii="仿宋_GB2312" w:hAnsi="Times New Roman" w:eastAsia="仿宋_GB2312" w:cs="Times New Roman"/>
                <w:sz w:val="21"/>
                <w:szCs w:val="21"/>
                <w:highlight w:val="none"/>
              </w:rPr>
            </w:pPr>
            <w:r>
              <w:rPr>
                <w:rFonts w:hint="eastAsia" w:ascii="仿宋_GB2312" w:hAnsi="Times New Roman" w:eastAsia="仿宋_GB2312" w:cs="Times New Roman"/>
                <w:sz w:val="21"/>
                <w:szCs w:val="21"/>
                <w:highlight w:val="none"/>
              </w:rPr>
              <w:t>（一）开展突发环境事件风险评估；</w:t>
            </w:r>
          </w:p>
          <w:p>
            <w:pPr>
              <w:pStyle w:val="11"/>
              <w:ind w:firstLine="420"/>
              <w:rPr>
                <w:rFonts w:ascii="仿宋_GB2312" w:hAnsi="Times New Roman" w:eastAsia="仿宋_GB2312" w:cs="Times New Roman"/>
                <w:sz w:val="21"/>
                <w:szCs w:val="21"/>
                <w:highlight w:val="none"/>
              </w:rPr>
            </w:pPr>
            <w:r>
              <w:rPr>
                <w:rFonts w:hint="eastAsia" w:ascii="仿宋_GB2312" w:hAnsi="Times New Roman" w:eastAsia="仿宋_GB2312" w:cs="Times New Roman"/>
                <w:sz w:val="21"/>
                <w:szCs w:val="21"/>
                <w:highlight w:val="none"/>
              </w:rPr>
              <w:t>（二）完善突发环境事件风险防控措施；</w:t>
            </w:r>
          </w:p>
          <w:p>
            <w:pPr>
              <w:pStyle w:val="11"/>
              <w:ind w:firstLine="420"/>
              <w:rPr>
                <w:rFonts w:ascii="仿宋_GB2312" w:hAnsi="Times New Roman" w:eastAsia="仿宋_GB2312" w:cs="Times New Roman"/>
                <w:sz w:val="21"/>
                <w:szCs w:val="21"/>
                <w:highlight w:val="none"/>
              </w:rPr>
            </w:pPr>
            <w:r>
              <w:rPr>
                <w:rFonts w:hint="eastAsia" w:ascii="仿宋_GB2312" w:hAnsi="Times New Roman" w:eastAsia="仿宋_GB2312" w:cs="Times New Roman"/>
                <w:sz w:val="21"/>
                <w:szCs w:val="21"/>
                <w:highlight w:val="none"/>
              </w:rPr>
              <w:t>（三）排查治理环境安全隐患；</w:t>
            </w:r>
          </w:p>
          <w:p>
            <w:pPr>
              <w:pStyle w:val="11"/>
              <w:ind w:firstLine="420"/>
              <w:rPr>
                <w:rFonts w:ascii="仿宋_GB2312" w:hAnsi="Times New Roman" w:eastAsia="仿宋_GB2312" w:cs="Times New Roman"/>
                <w:sz w:val="21"/>
                <w:szCs w:val="21"/>
                <w:highlight w:val="none"/>
              </w:rPr>
            </w:pPr>
            <w:r>
              <w:rPr>
                <w:rFonts w:hint="eastAsia" w:ascii="仿宋_GB2312" w:hAnsi="Times New Roman" w:eastAsia="仿宋_GB2312" w:cs="Times New Roman"/>
                <w:sz w:val="21"/>
                <w:szCs w:val="21"/>
                <w:highlight w:val="none"/>
              </w:rPr>
              <w:t>（四）制定突发环境事件应急预案并备案、演练；</w:t>
            </w:r>
          </w:p>
          <w:p>
            <w:pPr>
              <w:pStyle w:val="11"/>
              <w:ind w:firstLine="420"/>
              <w:rPr>
                <w:rFonts w:ascii="仿宋_GB2312" w:hAnsi="Times New Roman" w:eastAsia="仿宋_GB2312" w:cs="Times New Roman"/>
                <w:sz w:val="21"/>
                <w:szCs w:val="21"/>
                <w:highlight w:val="none"/>
              </w:rPr>
            </w:pPr>
            <w:r>
              <w:rPr>
                <w:rFonts w:hint="eastAsia" w:ascii="仿宋_GB2312" w:hAnsi="Times New Roman" w:eastAsia="仿宋_GB2312" w:cs="Times New Roman"/>
                <w:sz w:val="21"/>
                <w:szCs w:val="21"/>
                <w:highlight w:val="none"/>
              </w:rPr>
              <w:t>（五）加强环境应急能力保障建设。</w:t>
            </w:r>
          </w:p>
          <w:p>
            <w:pPr>
              <w:pStyle w:val="11"/>
              <w:ind w:firstLine="420"/>
              <w:rPr>
                <w:rFonts w:ascii="Times New Roman" w:hAnsi="Times New Roman" w:eastAsia="仿宋_GB2312" w:cs="Times New Roman"/>
                <w:sz w:val="21"/>
                <w:szCs w:val="21"/>
                <w:highlight w:val="none"/>
              </w:rPr>
            </w:pPr>
            <w:r>
              <w:rPr>
                <w:rFonts w:hint="eastAsia" w:ascii="仿宋_GB2312" w:hAnsi="Times New Roman" w:eastAsia="仿宋_GB2312" w:cs="Times New Roman"/>
                <w:sz w:val="21"/>
                <w:szCs w:val="21"/>
                <w:highlight w:val="none"/>
              </w:rPr>
              <w:t>发生或者可能发生突发环境事件时，企业事业单位应当依法进行处理，并对所造成的损害承担责任。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Borders>
              <w:top w:val="single" w:color="auto" w:sz="4" w:space="0"/>
              <w:left w:val="single" w:color="auto" w:sz="4" w:space="0"/>
              <w:bottom w:val="single" w:color="auto" w:sz="4" w:space="0"/>
              <w:right w:val="single" w:color="auto" w:sz="4" w:space="0"/>
            </w:tcBorders>
          </w:tcPr>
          <w:p>
            <w:pPr>
              <w:ind w:firstLine="422" w:firstLineChars="200"/>
              <w:rPr>
                <w:rFonts w:ascii="仿宋_GB2312" w:hAnsi="Times New Roman" w:eastAsia="仿宋_GB2312" w:cs="Times New Roman"/>
                <w:highlight w:val="none"/>
              </w:rPr>
            </w:pPr>
            <w:r>
              <w:rPr>
                <w:rFonts w:hint="eastAsia" w:ascii="仿宋_GB2312" w:hAnsi="Times New Roman" w:eastAsia="仿宋_GB2312" w:cs="Times New Roman"/>
                <w:b/>
                <w:bCs/>
                <w:highlight w:val="none"/>
              </w:rPr>
              <w:t xml:space="preserve">《突发环境事件应急管理办法》第三十八条  </w:t>
            </w:r>
            <w:r>
              <w:rPr>
                <w:rFonts w:hint="eastAsia" w:ascii="仿宋_GB2312" w:hAnsi="Times New Roman" w:eastAsia="仿宋_GB2312" w:cs="Times New Roman"/>
                <w:highlight w:val="none"/>
              </w:rPr>
              <w:t>企业事业单位有下列情形之一的，由县级以上环境保护主管部门责令改正，可以处一万元以上三万元以下罚款：</w:t>
            </w:r>
          </w:p>
          <w:p>
            <w:pPr>
              <w:ind w:firstLine="420" w:firstLineChars="200"/>
              <w:rPr>
                <w:rFonts w:ascii="仿宋_GB2312" w:hAnsi="Times New Roman" w:eastAsia="仿宋_GB2312" w:cs="Times New Roman"/>
                <w:highlight w:val="none"/>
              </w:rPr>
            </w:pPr>
            <w:r>
              <w:rPr>
                <w:rFonts w:hint="eastAsia" w:ascii="仿宋_GB2312" w:hAnsi="Times New Roman" w:eastAsia="仿宋_GB2312" w:cs="Times New Roman"/>
                <w:highlight w:val="none"/>
              </w:rPr>
              <w:t>（一）未按规定开展突发环境事件风险评估工作，确定风险等级的；</w:t>
            </w:r>
          </w:p>
          <w:p>
            <w:pPr>
              <w:ind w:firstLine="420" w:firstLineChars="200"/>
              <w:rPr>
                <w:rFonts w:ascii="仿宋_GB2312" w:hAnsi="Times New Roman" w:eastAsia="仿宋_GB2312" w:cs="Times New Roman"/>
                <w:highlight w:val="none"/>
              </w:rPr>
            </w:pPr>
            <w:r>
              <w:rPr>
                <w:rFonts w:hint="eastAsia" w:ascii="仿宋_GB2312" w:hAnsi="Times New Roman" w:eastAsia="仿宋_GB2312" w:cs="Times New Roman"/>
                <w:highlight w:val="none"/>
              </w:rPr>
              <w:t>（二）未按规定开展环境安全隐患排查治理工作，建立隐患排查治理档案的；</w:t>
            </w:r>
          </w:p>
          <w:p>
            <w:pPr>
              <w:ind w:firstLine="420" w:firstLineChars="200"/>
              <w:rPr>
                <w:rFonts w:ascii="仿宋_GB2312" w:hAnsi="Times New Roman" w:eastAsia="仿宋_GB2312" w:cs="Times New Roman"/>
                <w:highlight w:val="none"/>
              </w:rPr>
            </w:pPr>
            <w:r>
              <w:rPr>
                <w:rFonts w:hint="eastAsia" w:ascii="仿宋_GB2312" w:hAnsi="Times New Roman" w:eastAsia="仿宋_GB2312" w:cs="Times New Roman"/>
                <w:highlight w:val="none"/>
              </w:rPr>
              <w:t>（三）未按规定将突发环境事件应急预案备案的；</w:t>
            </w:r>
          </w:p>
          <w:p>
            <w:pPr>
              <w:ind w:firstLine="420" w:firstLineChars="200"/>
              <w:rPr>
                <w:rFonts w:ascii="仿宋_GB2312" w:hAnsi="Times New Roman" w:eastAsia="仿宋_GB2312" w:cs="Times New Roman"/>
                <w:highlight w:val="none"/>
              </w:rPr>
            </w:pPr>
            <w:r>
              <w:rPr>
                <w:rFonts w:hint="eastAsia" w:ascii="仿宋_GB2312" w:hAnsi="Times New Roman" w:eastAsia="仿宋_GB2312" w:cs="Times New Roman"/>
                <w:highlight w:val="none"/>
              </w:rPr>
              <w:t>（四）未按规定开展突发环境事件应急培训，如实记录培训情况的；</w:t>
            </w:r>
          </w:p>
          <w:p>
            <w:pPr>
              <w:ind w:firstLine="420" w:firstLineChars="200"/>
              <w:rPr>
                <w:rFonts w:ascii="仿宋_GB2312" w:hAnsi="Times New Roman" w:eastAsia="仿宋_GB2312" w:cs="Times New Roman"/>
                <w:highlight w:val="none"/>
              </w:rPr>
            </w:pPr>
            <w:r>
              <w:rPr>
                <w:rFonts w:hint="eastAsia" w:ascii="仿宋_GB2312" w:hAnsi="Times New Roman" w:eastAsia="仿宋_GB2312" w:cs="Times New Roman"/>
                <w:highlight w:val="none"/>
              </w:rPr>
              <w:t>（五）未按规定储备必要的环境应急装备和物资；</w:t>
            </w:r>
          </w:p>
          <w:p>
            <w:pPr>
              <w:ind w:firstLine="420" w:firstLineChars="200"/>
              <w:rPr>
                <w:rFonts w:cs="Times New Roman"/>
                <w:highlight w:val="none"/>
              </w:rPr>
            </w:pPr>
            <w:r>
              <w:rPr>
                <w:rFonts w:hint="eastAsia" w:ascii="仿宋_GB2312" w:hAnsi="Times New Roman" w:eastAsia="仿宋_GB2312" w:cs="Times New Roman"/>
                <w:highlight w:val="none"/>
              </w:rPr>
              <w:t>（六）未按规定公开突发环境事件相关信息的。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8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宋体" w:hAnsi="宋体" w:cs="Times New Roman"/>
                <w:b/>
                <w:bCs/>
                <w:highlight w:val="none"/>
              </w:rPr>
            </w:pPr>
            <w:r>
              <w:rPr>
                <w:rFonts w:hint="eastAsia" w:ascii="宋体" w:hAnsi="宋体" w:cs="Times New Roman"/>
                <w:b/>
                <w:color w:val="000000"/>
                <w:highlight w:val="none"/>
              </w:rPr>
              <w:t>违法事实</w:t>
            </w:r>
            <w:r>
              <w:rPr>
                <w:rFonts w:hint="eastAsia" w:ascii="Times New Roman" w:hAnsi="Times New Roman" w:cs="Times New Roman"/>
                <w:b/>
                <w:bCs/>
                <w:highlight w:val="none"/>
              </w:rPr>
              <w:t>★</w:t>
            </w:r>
          </w:p>
        </w:tc>
        <w:tc>
          <w:tcPr>
            <w:tcW w:w="5213" w:type="dxa"/>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开展突发环境事件应急培训，但未记录培训情况，未发生突发环境事件的</w:t>
            </w:r>
          </w:p>
        </w:tc>
        <w:tc>
          <w:tcPr>
            <w:tcW w:w="2689" w:type="dxa"/>
            <w:vAlign w:val="center"/>
          </w:tcPr>
          <w:p>
            <w:pPr>
              <w:snapToGrid w:val="0"/>
              <w:jc w:val="center"/>
              <w:rPr>
                <w:rFonts w:ascii="Times New Roman" w:hAnsi="Times New Roman" w:cs="Times New Roman"/>
                <w:highlight w:val="none"/>
              </w:rPr>
            </w:pPr>
            <w:r>
              <w:rPr>
                <w:rFonts w:hint="eastAsia"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宋体" w:hAnsi="宋体" w:cs="Times New Roman"/>
                <w:b/>
                <w:bCs/>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未开展突发环境事件应急培训，未发生突发环境事件的</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宋体" w:hAnsi="宋体" w:cs="Times New Roman"/>
                <w:b/>
                <w:bCs/>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未开展突发环境事件应急培训，发生突发环境事件的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宋体" w:hAnsi="宋体" w:cs="Times New Roman"/>
                <w:b/>
                <w:bCs/>
                <w:highlight w:val="none"/>
              </w:rPr>
            </w:pPr>
            <w:r>
              <w:rPr>
                <w:rFonts w:hint="eastAsia" w:ascii="宋体" w:hAnsi="宋体" w:cs="Times New Roman"/>
                <w:b/>
                <w:color w:val="000000"/>
                <w:highlight w:val="none"/>
              </w:rPr>
              <w:t>突发环境事件等级</w:t>
            </w: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一般突发环境事件</w:t>
            </w:r>
          </w:p>
        </w:tc>
        <w:tc>
          <w:tcPr>
            <w:tcW w:w="2689" w:type="dxa"/>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宋体" w:hAnsi="宋体" w:cs="Times New Roman"/>
                <w:b/>
                <w:bCs/>
                <w:highlight w:val="none"/>
              </w:rPr>
            </w:pPr>
          </w:p>
        </w:tc>
        <w:tc>
          <w:tcPr>
            <w:tcW w:w="5213"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Times New Roman"/>
                <w:color w:val="000000"/>
                <w:highlight w:val="none"/>
              </w:rPr>
              <w:t>较大突发环境事件</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宋体" w:hAnsi="宋体" w:cs="Times New Roman"/>
                <w:b/>
                <w:bCs/>
                <w:highlight w:val="none"/>
              </w:rPr>
            </w:pPr>
          </w:p>
        </w:tc>
        <w:tc>
          <w:tcPr>
            <w:tcW w:w="5213"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Times New Roman"/>
                <w:color w:val="000000"/>
                <w:highlight w:val="none"/>
              </w:rPr>
              <w:t>重大及以上突发环境事件</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宋体" w:hAnsi="宋体" w:cs="Times New Roman"/>
                <w:b/>
                <w:bCs/>
                <w:highlight w:val="none"/>
              </w:rPr>
            </w:pPr>
            <w:r>
              <w:rPr>
                <w:rFonts w:hint="eastAsia" w:ascii="宋体" w:hAnsi="宋体" w:cs="Times New Roman"/>
                <w:b/>
                <w:color w:val="000000"/>
                <w:highlight w:val="none"/>
              </w:rPr>
              <w:t>违法时间</w:t>
            </w: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color w:val="000000"/>
                <w:highlight w:val="none"/>
              </w:rPr>
              <w:t>1个月以上，不满3个月</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color w:val="000000"/>
                <w:highlight w:val="none"/>
              </w:rPr>
              <w:t>3个月以上，不满6个月</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color w:val="000000"/>
                <w:highlight w:val="none"/>
              </w:rPr>
              <w:t>6个月以上</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vAlign w:val="center"/>
          </w:tcPr>
          <w:p>
            <w:pPr>
              <w:snapToGrid w:val="0"/>
              <w:ind w:firstLine="420"/>
              <w:jc w:val="center"/>
              <w:rPr>
                <w:rFonts w:ascii="Times New Roman" w:hAnsi="Times New Roman" w:cs="Times New Roman"/>
                <w:highlight w:val="none"/>
              </w:rPr>
            </w:pPr>
          </w:p>
        </w:tc>
      </w:tr>
    </w:tbl>
    <w:p>
      <w:pPr>
        <w:tabs>
          <w:tab w:val="left" w:pos="1305"/>
        </w:tabs>
        <w:rPr>
          <w:rFonts w:ascii="Times New Roman" w:hAnsi="Times New Roman" w:eastAsia="仿宋_GB2312" w:cs="Times New Roman"/>
          <w:sz w:val="32"/>
          <w:szCs w:val="32"/>
          <w:highlight w:val="none"/>
        </w:rPr>
      </w:pPr>
    </w:p>
    <w:p>
      <w:pPr>
        <w:tabs>
          <w:tab w:val="left" w:pos="1305"/>
        </w:tabs>
        <w:rPr>
          <w:rFonts w:ascii="Times New Roman" w:hAnsi="Times New Roman" w:eastAsia="仿宋_GB2312" w:cs="Times New Roman"/>
          <w:sz w:val="32"/>
          <w:szCs w:val="32"/>
          <w:highlight w:val="none"/>
        </w:rPr>
      </w:pP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color w:val="000000"/>
                <w:highlight w:val="none"/>
              </w:rPr>
            </w:pPr>
            <w:r>
              <w:rPr>
                <w:rFonts w:hint="eastAsia" w:ascii="Times New Roman" w:hAnsi="Times New Roman" w:eastAsia="仿宋_GB2312" w:cs="仿宋_GB2312"/>
                <w:b/>
                <w:bCs/>
                <w:color w:val="000000"/>
                <w:sz w:val="32"/>
                <w:szCs w:val="32"/>
                <w:highlight w:val="none"/>
              </w:rPr>
              <w:t>（八）其他类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902" w:type="dxa"/>
            <w:gridSpan w:val="2"/>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tcBorders>
              <w:top w:val="single" w:color="auto" w:sz="4" w:space="0"/>
              <w:left w:val="single" w:color="auto" w:sz="4" w:space="0"/>
              <w:bottom w:val="single" w:color="auto" w:sz="4" w:space="0"/>
              <w:right w:val="single" w:color="auto" w:sz="4" w:space="0"/>
            </w:tcBorders>
            <w:vAlign w:val="center"/>
          </w:tcPr>
          <w:p>
            <w:pPr>
              <w:pStyle w:val="36"/>
              <w:ind w:firstLine="480"/>
              <w:rPr>
                <w:color w:val="000000"/>
                <w:highlight w:val="none"/>
              </w:rPr>
            </w:pPr>
            <w:r>
              <w:rPr>
                <w:rFonts w:hint="eastAsia" w:ascii="仿宋_GB2312" w:eastAsia="仿宋_GB2312"/>
                <w:color w:val="000000"/>
                <w:highlight w:val="none"/>
              </w:rPr>
              <w:t>未按规定储备必要的环境应急装备和物资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Borders>
              <w:top w:val="single" w:color="auto" w:sz="4" w:space="0"/>
              <w:left w:val="single" w:color="auto" w:sz="4" w:space="0"/>
              <w:bottom w:val="single" w:color="auto" w:sz="4" w:space="0"/>
              <w:right w:val="single" w:color="auto" w:sz="4" w:space="0"/>
            </w:tcBorders>
          </w:tcPr>
          <w:p>
            <w:pPr>
              <w:pStyle w:val="11"/>
              <w:ind w:firstLine="420"/>
              <w:rPr>
                <w:rFonts w:ascii="仿宋_GB2312" w:hAnsi="Times New Roman" w:eastAsia="仿宋_GB2312" w:cs="Times New Roman"/>
                <w:sz w:val="21"/>
                <w:szCs w:val="21"/>
                <w:highlight w:val="none"/>
              </w:rPr>
            </w:pPr>
            <w:r>
              <w:rPr>
                <w:rFonts w:hint="eastAsia" w:ascii="仿宋_GB2312" w:hAnsi="Times New Roman" w:eastAsia="仿宋_GB2312" w:cs="Times New Roman"/>
                <w:b/>
                <w:bCs/>
                <w:sz w:val="21"/>
                <w:szCs w:val="21"/>
                <w:highlight w:val="none"/>
              </w:rPr>
              <w:t xml:space="preserve">《突发环境事件应急管理办法》第六条  </w:t>
            </w:r>
            <w:r>
              <w:rPr>
                <w:rFonts w:hint="eastAsia" w:ascii="仿宋_GB2312" w:hAnsi="Times New Roman" w:eastAsia="仿宋_GB2312" w:cs="Times New Roman"/>
                <w:sz w:val="21"/>
                <w:szCs w:val="21"/>
                <w:highlight w:val="none"/>
              </w:rPr>
              <w:t>企业事业单位应当按照相关法律法规和标准规范的要求，履行下列义务：</w:t>
            </w:r>
          </w:p>
          <w:p>
            <w:pPr>
              <w:pStyle w:val="11"/>
              <w:ind w:firstLine="420"/>
              <w:rPr>
                <w:rFonts w:ascii="仿宋_GB2312" w:hAnsi="Times New Roman" w:eastAsia="仿宋_GB2312" w:cs="Times New Roman"/>
                <w:sz w:val="21"/>
                <w:szCs w:val="21"/>
                <w:highlight w:val="none"/>
              </w:rPr>
            </w:pPr>
            <w:r>
              <w:rPr>
                <w:rFonts w:hint="eastAsia" w:ascii="仿宋_GB2312" w:hAnsi="Times New Roman" w:eastAsia="仿宋_GB2312" w:cs="Times New Roman"/>
                <w:sz w:val="21"/>
                <w:szCs w:val="21"/>
                <w:highlight w:val="none"/>
              </w:rPr>
              <w:t>（一）开展突发环境事件风险评估；</w:t>
            </w:r>
          </w:p>
          <w:p>
            <w:pPr>
              <w:pStyle w:val="11"/>
              <w:ind w:firstLine="420"/>
              <w:rPr>
                <w:rFonts w:ascii="仿宋_GB2312" w:hAnsi="Times New Roman" w:eastAsia="仿宋_GB2312" w:cs="Times New Roman"/>
                <w:sz w:val="21"/>
                <w:szCs w:val="21"/>
                <w:highlight w:val="none"/>
              </w:rPr>
            </w:pPr>
            <w:r>
              <w:rPr>
                <w:rFonts w:hint="eastAsia" w:ascii="仿宋_GB2312" w:hAnsi="Times New Roman" w:eastAsia="仿宋_GB2312" w:cs="Times New Roman"/>
                <w:sz w:val="21"/>
                <w:szCs w:val="21"/>
                <w:highlight w:val="none"/>
              </w:rPr>
              <w:t>（二）完善突发环境事件风险防控措施；</w:t>
            </w:r>
          </w:p>
          <w:p>
            <w:pPr>
              <w:pStyle w:val="11"/>
              <w:ind w:firstLine="420"/>
              <w:rPr>
                <w:rFonts w:ascii="仿宋_GB2312" w:hAnsi="Times New Roman" w:eastAsia="仿宋_GB2312" w:cs="Times New Roman"/>
                <w:sz w:val="21"/>
                <w:szCs w:val="21"/>
                <w:highlight w:val="none"/>
              </w:rPr>
            </w:pPr>
            <w:r>
              <w:rPr>
                <w:rFonts w:hint="eastAsia" w:ascii="仿宋_GB2312" w:hAnsi="Times New Roman" w:eastAsia="仿宋_GB2312" w:cs="Times New Roman"/>
                <w:sz w:val="21"/>
                <w:szCs w:val="21"/>
                <w:highlight w:val="none"/>
              </w:rPr>
              <w:t>（三）排查治理环境安全隐患；</w:t>
            </w:r>
          </w:p>
          <w:p>
            <w:pPr>
              <w:pStyle w:val="11"/>
              <w:ind w:firstLine="420"/>
              <w:rPr>
                <w:rFonts w:ascii="仿宋_GB2312" w:hAnsi="Times New Roman" w:eastAsia="仿宋_GB2312" w:cs="Times New Roman"/>
                <w:sz w:val="21"/>
                <w:szCs w:val="21"/>
                <w:highlight w:val="none"/>
              </w:rPr>
            </w:pPr>
            <w:r>
              <w:rPr>
                <w:rFonts w:hint="eastAsia" w:ascii="仿宋_GB2312" w:hAnsi="Times New Roman" w:eastAsia="仿宋_GB2312" w:cs="Times New Roman"/>
                <w:sz w:val="21"/>
                <w:szCs w:val="21"/>
                <w:highlight w:val="none"/>
              </w:rPr>
              <w:t>（四）制定突发环境事件应急预案并备案、演练；</w:t>
            </w:r>
          </w:p>
          <w:p>
            <w:pPr>
              <w:pStyle w:val="11"/>
              <w:ind w:firstLine="420"/>
              <w:rPr>
                <w:rFonts w:ascii="仿宋_GB2312" w:hAnsi="Times New Roman" w:eastAsia="仿宋_GB2312" w:cs="Times New Roman"/>
                <w:sz w:val="21"/>
                <w:szCs w:val="21"/>
                <w:highlight w:val="none"/>
              </w:rPr>
            </w:pPr>
            <w:r>
              <w:rPr>
                <w:rFonts w:hint="eastAsia" w:ascii="仿宋_GB2312" w:hAnsi="Times New Roman" w:eastAsia="仿宋_GB2312" w:cs="Times New Roman"/>
                <w:sz w:val="21"/>
                <w:szCs w:val="21"/>
                <w:highlight w:val="none"/>
              </w:rPr>
              <w:t>（五）加强环境应急能力保障建设。</w:t>
            </w:r>
          </w:p>
          <w:p>
            <w:pPr>
              <w:pStyle w:val="11"/>
              <w:ind w:firstLine="420"/>
              <w:rPr>
                <w:rFonts w:ascii="Times New Roman" w:hAnsi="Times New Roman" w:eastAsia="仿宋_GB2312" w:cs="Times New Roman"/>
                <w:sz w:val="21"/>
                <w:szCs w:val="21"/>
                <w:highlight w:val="none"/>
              </w:rPr>
            </w:pPr>
            <w:r>
              <w:rPr>
                <w:rFonts w:hint="eastAsia" w:ascii="仿宋_GB2312" w:hAnsi="Times New Roman" w:eastAsia="仿宋_GB2312" w:cs="Times New Roman"/>
                <w:sz w:val="21"/>
                <w:szCs w:val="21"/>
                <w:highlight w:val="none"/>
              </w:rPr>
              <w:t>发生或者可能发生突发环境事件时，企业事业单位应当依法进行处理，并对所造成的损害承担责任。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Borders>
              <w:top w:val="single" w:color="auto" w:sz="4" w:space="0"/>
              <w:left w:val="single" w:color="auto" w:sz="4" w:space="0"/>
              <w:bottom w:val="single" w:color="auto" w:sz="4" w:space="0"/>
              <w:right w:val="single" w:color="auto" w:sz="4" w:space="0"/>
            </w:tcBorders>
          </w:tcPr>
          <w:p>
            <w:pPr>
              <w:ind w:firstLine="422" w:firstLineChars="200"/>
              <w:rPr>
                <w:rFonts w:ascii="仿宋_GB2312" w:hAnsi="Times New Roman" w:eastAsia="仿宋_GB2312" w:cs="Times New Roman"/>
                <w:highlight w:val="none"/>
              </w:rPr>
            </w:pPr>
            <w:r>
              <w:rPr>
                <w:rFonts w:hint="eastAsia" w:ascii="仿宋_GB2312" w:hAnsi="Times New Roman" w:eastAsia="仿宋_GB2312" w:cs="Times New Roman"/>
                <w:b/>
                <w:bCs/>
                <w:highlight w:val="none"/>
              </w:rPr>
              <w:t xml:space="preserve">《突发环境事件应急管理办法》第三十八条  </w:t>
            </w:r>
            <w:r>
              <w:rPr>
                <w:rFonts w:hint="eastAsia" w:ascii="仿宋_GB2312" w:hAnsi="Times New Roman" w:eastAsia="仿宋_GB2312" w:cs="Times New Roman"/>
                <w:highlight w:val="none"/>
              </w:rPr>
              <w:t>企业事业单位有下列情形之一的，由县级以上环境保护主管部门责令改正，可以处一万元以上三万元以下罚款：</w:t>
            </w:r>
          </w:p>
          <w:p>
            <w:pPr>
              <w:ind w:firstLine="420" w:firstLineChars="200"/>
              <w:rPr>
                <w:rFonts w:ascii="仿宋_GB2312" w:hAnsi="Times New Roman" w:eastAsia="仿宋_GB2312" w:cs="Times New Roman"/>
                <w:highlight w:val="none"/>
              </w:rPr>
            </w:pPr>
            <w:r>
              <w:rPr>
                <w:rFonts w:hint="eastAsia" w:ascii="仿宋_GB2312" w:hAnsi="Times New Roman" w:eastAsia="仿宋_GB2312" w:cs="Times New Roman"/>
                <w:highlight w:val="none"/>
              </w:rPr>
              <w:t>（一）未按规定开展突发环境事件风险评估工作，确定风险等级的；</w:t>
            </w:r>
          </w:p>
          <w:p>
            <w:pPr>
              <w:ind w:firstLine="420" w:firstLineChars="200"/>
              <w:rPr>
                <w:rFonts w:ascii="仿宋_GB2312" w:hAnsi="Times New Roman" w:eastAsia="仿宋_GB2312" w:cs="Times New Roman"/>
                <w:highlight w:val="none"/>
              </w:rPr>
            </w:pPr>
            <w:r>
              <w:rPr>
                <w:rFonts w:hint="eastAsia" w:ascii="仿宋_GB2312" w:hAnsi="Times New Roman" w:eastAsia="仿宋_GB2312" w:cs="Times New Roman"/>
                <w:highlight w:val="none"/>
              </w:rPr>
              <w:t>（二）未按规定开展环境安全隐患排查治理工作，建立隐患排查治理档案的；</w:t>
            </w:r>
          </w:p>
          <w:p>
            <w:pPr>
              <w:ind w:firstLine="420" w:firstLineChars="200"/>
              <w:rPr>
                <w:rFonts w:ascii="仿宋_GB2312" w:hAnsi="Times New Roman" w:eastAsia="仿宋_GB2312" w:cs="Times New Roman"/>
                <w:highlight w:val="none"/>
              </w:rPr>
            </w:pPr>
            <w:r>
              <w:rPr>
                <w:rFonts w:hint="eastAsia" w:ascii="仿宋_GB2312" w:hAnsi="Times New Roman" w:eastAsia="仿宋_GB2312" w:cs="Times New Roman"/>
                <w:highlight w:val="none"/>
              </w:rPr>
              <w:t>（三）未按规定将突发环境事件应急预案备案的；</w:t>
            </w:r>
          </w:p>
          <w:p>
            <w:pPr>
              <w:ind w:firstLine="420" w:firstLineChars="200"/>
              <w:rPr>
                <w:rFonts w:ascii="仿宋_GB2312" w:hAnsi="Times New Roman" w:eastAsia="仿宋_GB2312" w:cs="Times New Roman"/>
                <w:highlight w:val="none"/>
              </w:rPr>
            </w:pPr>
            <w:r>
              <w:rPr>
                <w:rFonts w:hint="eastAsia" w:ascii="仿宋_GB2312" w:hAnsi="Times New Roman" w:eastAsia="仿宋_GB2312" w:cs="Times New Roman"/>
                <w:highlight w:val="none"/>
              </w:rPr>
              <w:t>（四）未按规定开展突发环境事件应急培训，如实记录培训情况的；</w:t>
            </w:r>
          </w:p>
          <w:p>
            <w:pPr>
              <w:ind w:firstLine="420" w:firstLineChars="200"/>
              <w:rPr>
                <w:rFonts w:ascii="仿宋_GB2312" w:hAnsi="Times New Roman" w:eastAsia="仿宋_GB2312" w:cs="Times New Roman"/>
                <w:highlight w:val="none"/>
              </w:rPr>
            </w:pPr>
            <w:r>
              <w:rPr>
                <w:rFonts w:hint="eastAsia" w:ascii="仿宋_GB2312" w:hAnsi="Times New Roman" w:eastAsia="仿宋_GB2312" w:cs="Times New Roman"/>
                <w:highlight w:val="none"/>
              </w:rPr>
              <w:t>（五）未按规定储备必要的环境应急装备和物资；</w:t>
            </w:r>
          </w:p>
          <w:p>
            <w:pPr>
              <w:ind w:firstLine="420" w:firstLineChars="200"/>
              <w:rPr>
                <w:rFonts w:cs="Times New Roman"/>
                <w:highlight w:val="none"/>
              </w:rPr>
            </w:pPr>
            <w:r>
              <w:rPr>
                <w:rFonts w:hint="eastAsia" w:ascii="仿宋_GB2312" w:hAnsi="Times New Roman" w:eastAsia="仿宋_GB2312" w:cs="Times New Roman"/>
                <w:highlight w:val="none"/>
              </w:rPr>
              <w:t>（六）未按规定公开突发环境事件相关信息的。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8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宋体" w:hAnsi="宋体" w:cs="Times New Roman"/>
                <w:b/>
                <w:bCs/>
                <w:highlight w:val="none"/>
              </w:rPr>
            </w:pPr>
            <w:r>
              <w:rPr>
                <w:rFonts w:hint="eastAsia" w:ascii="宋体" w:hAnsi="宋体" w:cs="Times New Roman"/>
                <w:b/>
                <w:color w:val="000000"/>
                <w:highlight w:val="none"/>
              </w:rPr>
              <w:t>违法事实</w:t>
            </w:r>
            <w:r>
              <w:rPr>
                <w:rFonts w:hint="eastAsia" w:ascii="Times New Roman" w:hAnsi="Times New Roman" w:cs="Times New Roman"/>
                <w:b/>
                <w:bCs/>
                <w:highlight w:val="none"/>
              </w:rPr>
              <w:t>★</w:t>
            </w: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必要的环境应急装备和物资储备不齐全，未发生突发环境事件的</w:t>
            </w:r>
          </w:p>
        </w:tc>
        <w:tc>
          <w:tcPr>
            <w:tcW w:w="2689" w:type="dxa"/>
            <w:vAlign w:val="center"/>
          </w:tcPr>
          <w:p>
            <w:pPr>
              <w:snapToGrid w:val="0"/>
              <w:jc w:val="center"/>
              <w:rPr>
                <w:rFonts w:ascii="Times New Roman" w:hAnsi="Times New Roman" w:cs="Times New Roman"/>
                <w:highlight w:val="none"/>
              </w:rPr>
            </w:pPr>
            <w:r>
              <w:rPr>
                <w:rFonts w:hint="eastAsia"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宋体" w:hAnsi="宋体" w:cs="Times New Roman"/>
                <w:b/>
                <w:bCs/>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未储备必要的环境应急装备和物资，未发生突发环境事件的</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宋体" w:hAnsi="宋体" w:cs="Times New Roman"/>
                <w:b/>
                <w:bCs/>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未储备必要的环境应急装备和物资，发生突发环境事件的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宋体" w:hAnsi="宋体" w:cs="Times New Roman"/>
                <w:b/>
                <w:bCs/>
                <w:highlight w:val="none"/>
              </w:rPr>
            </w:pPr>
            <w:r>
              <w:rPr>
                <w:rFonts w:hint="eastAsia" w:ascii="宋体" w:hAnsi="宋体" w:cs="Times New Roman"/>
                <w:b/>
                <w:color w:val="000000"/>
                <w:highlight w:val="none"/>
              </w:rPr>
              <w:t>企业突发环境事件风险等级</w:t>
            </w: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一般</w:t>
            </w:r>
          </w:p>
        </w:tc>
        <w:tc>
          <w:tcPr>
            <w:tcW w:w="2689" w:type="dxa"/>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宋体" w:hAnsi="宋体" w:cs="Times New Roman"/>
                <w:b/>
                <w:bCs/>
                <w:highlight w:val="none"/>
              </w:rPr>
            </w:pPr>
          </w:p>
        </w:tc>
        <w:tc>
          <w:tcPr>
            <w:tcW w:w="5213"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Times New Roman"/>
                <w:color w:val="000000"/>
                <w:highlight w:val="none"/>
              </w:rPr>
              <w:t>较大</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宋体" w:hAnsi="宋体" w:cs="Times New Roman"/>
                <w:b/>
                <w:bCs/>
                <w:highlight w:val="none"/>
              </w:rPr>
            </w:pPr>
          </w:p>
        </w:tc>
        <w:tc>
          <w:tcPr>
            <w:tcW w:w="5213"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Times New Roman"/>
                <w:color w:val="000000"/>
                <w:highlight w:val="none"/>
              </w:rPr>
              <w:t>重大</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宋体" w:hAnsi="宋体" w:cs="Times New Roman"/>
                <w:b/>
                <w:bCs/>
                <w:highlight w:val="none"/>
              </w:rPr>
            </w:pPr>
            <w:r>
              <w:rPr>
                <w:rFonts w:hint="eastAsia" w:ascii="宋体" w:hAnsi="宋体" w:cs="Times New Roman"/>
                <w:b/>
                <w:color w:val="000000"/>
                <w:highlight w:val="none"/>
              </w:rPr>
              <w:t>违法时间</w:t>
            </w: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color w:val="000000"/>
                <w:highlight w:val="none"/>
              </w:rPr>
              <w:t>1个月以上，不满3个月</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color w:val="000000"/>
                <w:highlight w:val="none"/>
              </w:rPr>
              <w:t>3个月以上，不满6个月</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color w:val="000000"/>
                <w:highlight w:val="none"/>
              </w:rPr>
              <w:t>6个月以上</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vAlign w:val="center"/>
          </w:tcPr>
          <w:p>
            <w:pPr>
              <w:snapToGrid w:val="0"/>
              <w:ind w:firstLine="420"/>
              <w:jc w:val="center"/>
              <w:rPr>
                <w:rFonts w:ascii="Times New Roman" w:hAnsi="Times New Roman" w:cs="Times New Roman"/>
                <w:highlight w:val="none"/>
              </w:rPr>
            </w:pPr>
          </w:p>
        </w:tc>
      </w:tr>
    </w:tbl>
    <w:p>
      <w:pPr>
        <w:tabs>
          <w:tab w:val="left" w:pos="1305"/>
        </w:tabs>
        <w:rPr>
          <w:rFonts w:ascii="Times New Roman" w:hAnsi="Times New Roman" w:eastAsia="仿宋_GB2312" w:cs="Times New Roman"/>
          <w:sz w:val="32"/>
          <w:szCs w:val="32"/>
          <w:highlight w:val="none"/>
        </w:rPr>
      </w:pPr>
    </w:p>
    <w:p>
      <w:pPr>
        <w:tabs>
          <w:tab w:val="left" w:pos="1305"/>
        </w:tabs>
        <w:rPr>
          <w:rFonts w:ascii="Times New Roman" w:hAnsi="Times New Roman" w:eastAsia="仿宋_GB2312" w:cs="Times New Roman"/>
          <w:sz w:val="32"/>
          <w:szCs w:val="32"/>
          <w:highlight w:val="none"/>
        </w:rPr>
      </w:pP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21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3"/>
            <w:vAlign w:val="center"/>
          </w:tcPr>
          <w:p>
            <w:pPr>
              <w:widowControl/>
              <w:snapToGrid w:val="0"/>
              <w:jc w:val="center"/>
              <w:rPr>
                <w:rFonts w:ascii="Times New Roman" w:hAnsi="Times New Roman" w:cs="Times New Roman"/>
                <w:color w:val="000000"/>
                <w:highlight w:val="none"/>
              </w:rPr>
            </w:pPr>
            <w:r>
              <w:rPr>
                <w:rFonts w:hint="eastAsia" w:ascii="Times New Roman" w:hAnsi="Times New Roman" w:eastAsia="仿宋_GB2312" w:cs="仿宋_GB2312"/>
                <w:b/>
                <w:bCs/>
                <w:color w:val="000000"/>
                <w:sz w:val="32"/>
                <w:szCs w:val="32"/>
                <w:highlight w:val="none"/>
              </w:rPr>
              <w:t>（八）其他类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序号</w:t>
            </w:r>
          </w:p>
        </w:tc>
        <w:tc>
          <w:tcPr>
            <w:tcW w:w="7902" w:type="dxa"/>
            <w:gridSpan w:val="2"/>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7902" w:type="dxa"/>
            <w:gridSpan w:val="2"/>
            <w:tcBorders>
              <w:top w:val="single" w:color="auto" w:sz="4" w:space="0"/>
              <w:left w:val="single" w:color="auto" w:sz="4" w:space="0"/>
              <w:bottom w:val="single" w:color="auto" w:sz="4" w:space="0"/>
              <w:right w:val="single" w:color="auto" w:sz="4" w:space="0"/>
            </w:tcBorders>
            <w:vAlign w:val="center"/>
          </w:tcPr>
          <w:p>
            <w:pPr>
              <w:pStyle w:val="36"/>
              <w:ind w:firstLine="480"/>
              <w:rPr>
                <w:color w:val="000000"/>
                <w:highlight w:val="none"/>
              </w:rPr>
            </w:pPr>
            <w:r>
              <w:rPr>
                <w:rFonts w:hint="eastAsia" w:ascii="仿宋_GB2312" w:eastAsia="仿宋_GB2312"/>
                <w:color w:val="000000"/>
                <w:highlight w:val="none"/>
              </w:rPr>
              <w:t>未按规定公开突发环境事件相关信息的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违反条款</w:t>
            </w:r>
          </w:p>
        </w:tc>
        <w:tc>
          <w:tcPr>
            <w:tcW w:w="7902" w:type="dxa"/>
            <w:gridSpan w:val="2"/>
            <w:tcBorders>
              <w:top w:val="single" w:color="auto" w:sz="4" w:space="0"/>
              <w:left w:val="single" w:color="auto" w:sz="4" w:space="0"/>
              <w:bottom w:val="single" w:color="auto" w:sz="4" w:space="0"/>
              <w:right w:val="single" w:color="auto" w:sz="4" w:space="0"/>
            </w:tcBorders>
          </w:tcPr>
          <w:p>
            <w:pPr>
              <w:pStyle w:val="11"/>
              <w:ind w:firstLine="420"/>
              <w:rPr>
                <w:rFonts w:ascii="仿宋_GB2312" w:hAnsi="Times New Roman" w:eastAsia="仿宋_GB2312" w:cs="Times New Roman"/>
                <w:sz w:val="21"/>
                <w:szCs w:val="21"/>
                <w:highlight w:val="none"/>
              </w:rPr>
            </w:pPr>
            <w:r>
              <w:rPr>
                <w:rFonts w:hint="eastAsia" w:ascii="仿宋_GB2312" w:hAnsi="Times New Roman" w:eastAsia="仿宋_GB2312" w:cs="Times New Roman"/>
                <w:b/>
                <w:bCs/>
                <w:sz w:val="21"/>
                <w:szCs w:val="21"/>
                <w:highlight w:val="none"/>
              </w:rPr>
              <w:t xml:space="preserve">《突发环境事件应急管理办法》第六条  </w:t>
            </w:r>
            <w:r>
              <w:rPr>
                <w:rFonts w:hint="eastAsia" w:ascii="仿宋_GB2312" w:hAnsi="Times New Roman" w:eastAsia="仿宋_GB2312" w:cs="Times New Roman"/>
                <w:sz w:val="21"/>
                <w:szCs w:val="21"/>
                <w:highlight w:val="none"/>
              </w:rPr>
              <w:t>企业事业单位应当按照相关法律法规和标准规范的要求，履行下列义务：</w:t>
            </w:r>
          </w:p>
          <w:p>
            <w:pPr>
              <w:pStyle w:val="11"/>
              <w:ind w:firstLine="420"/>
              <w:rPr>
                <w:rFonts w:ascii="仿宋_GB2312" w:hAnsi="Times New Roman" w:eastAsia="仿宋_GB2312" w:cs="Times New Roman"/>
                <w:sz w:val="21"/>
                <w:szCs w:val="21"/>
                <w:highlight w:val="none"/>
              </w:rPr>
            </w:pPr>
            <w:r>
              <w:rPr>
                <w:rFonts w:hint="eastAsia" w:ascii="仿宋_GB2312" w:hAnsi="Times New Roman" w:eastAsia="仿宋_GB2312" w:cs="Times New Roman"/>
                <w:sz w:val="21"/>
                <w:szCs w:val="21"/>
                <w:highlight w:val="none"/>
              </w:rPr>
              <w:t>（一）开展突发环境事件风险评估；</w:t>
            </w:r>
          </w:p>
          <w:p>
            <w:pPr>
              <w:pStyle w:val="11"/>
              <w:ind w:firstLine="420"/>
              <w:rPr>
                <w:rFonts w:ascii="仿宋_GB2312" w:hAnsi="Times New Roman" w:eastAsia="仿宋_GB2312" w:cs="Times New Roman"/>
                <w:sz w:val="21"/>
                <w:szCs w:val="21"/>
                <w:highlight w:val="none"/>
              </w:rPr>
            </w:pPr>
            <w:r>
              <w:rPr>
                <w:rFonts w:hint="eastAsia" w:ascii="仿宋_GB2312" w:hAnsi="Times New Roman" w:eastAsia="仿宋_GB2312" w:cs="Times New Roman"/>
                <w:sz w:val="21"/>
                <w:szCs w:val="21"/>
                <w:highlight w:val="none"/>
              </w:rPr>
              <w:t>（二）完善突发环境事件风险防控措施；</w:t>
            </w:r>
          </w:p>
          <w:p>
            <w:pPr>
              <w:pStyle w:val="11"/>
              <w:ind w:firstLine="420"/>
              <w:rPr>
                <w:rFonts w:ascii="仿宋_GB2312" w:hAnsi="Times New Roman" w:eastAsia="仿宋_GB2312" w:cs="Times New Roman"/>
                <w:sz w:val="21"/>
                <w:szCs w:val="21"/>
                <w:highlight w:val="none"/>
              </w:rPr>
            </w:pPr>
            <w:r>
              <w:rPr>
                <w:rFonts w:hint="eastAsia" w:ascii="仿宋_GB2312" w:hAnsi="Times New Roman" w:eastAsia="仿宋_GB2312" w:cs="Times New Roman"/>
                <w:sz w:val="21"/>
                <w:szCs w:val="21"/>
                <w:highlight w:val="none"/>
              </w:rPr>
              <w:t>（三）排查治理环境安全隐患；</w:t>
            </w:r>
          </w:p>
          <w:p>
            <w:pPr>
              <w:pStyle w:val="11"/>
              <w:ind w:firstLine="420"/>
              <w:rPr>
                <w:rFonts w:ascii="仿宋_GB2312" w:hAnsi="Times New Roman" w:eastAsia="仿宋_GB2312" w:cs="Times New Roman"/>
                <w:sz w:val="21"/>
                <w:szCs w:val="21"/>
                <w:highlight w:val="none"/>
              </w:rPr>
            </w:pPr>
            <w:r>
              <w:rPr>
                <w:rFonts w:hint="eastAsia" w:ascii="仿宋_GB2312" w:hAnsi="Times New Roman" w:eastAsia="仿宋_GB2312" w:cs="Times New Roman"/>
                <w:sz w:val="21"/>
                <w:szCs w:val="21"/>
                <w:highlight w:val="none"/>
              </w:rPr>
              <w:t>（四）制定突发环境事件应急预案并备案、演练；</w:t>
            </w:r>
          </w:p>
          <w:p>
            <w:pPr>
              <w:pStyle w:val="11"/>
              <w:ind w:firstLine="420"/>
              <w:rPr>
                <w:rFonts w:ascii="仿宋_GB2312" w:hAnsi="Times New Roman" w:eastAsia="仿宋_GB2312" w:cs="Times New Roman"/>
                <w:sz w:val="21"/>
                <w:szCs w:val="21"/>
                <w:highlight w:val="none"/>
              </w:rPr>
            </w:pPr>
            <w:r>
              <w:rPr>
                <w:rFonts w:hint="eastAsia" w:ascii="仿宋_GB2312" w:hAnsi="Times New Roman" w:eastAsia="仿宋_GB2312" w:cs="Times New Roman"/>
                <w:sz w:val="21"/>
                <w:szCs w:val="21"/>
                <w:highlight w:val="none"/>
              </w:rPr>
              <w:t>（五）加强环境应急能力保障建设。</w:t>
            </w:r>
          </w:p>
          <w:p>
            <w:pPr>
              <w:pStyle w:val="11"/>
              <w:ind w:firstLine="420"/>
              <w:rPr>
                <w:rFonts w:ascii="Times New Roman" w:hAnsi="Times New Roman" w:eastAsia="仿宋_GB2312" w:cs="Times New Roman"/>
                <w:sz w:val="21"/>
                <w:szCs w:val="21"/>
                <w:highlight w:val="none"/>
              </w:rPr>
            </w:pPr>
            <w:r>
              <w:rPr>
                <w:rFonts w:hint="eastAsia" w:ascii="仿宋_GB2312" w:hAnsi="Times New Roman" w:eastAsia="仿宋_GB2312" w:cs="Times New Roman"/>
                <w:sz w:val="21"/>
                <w:szCs w:val="21"/>
                <w:highlight w:val="none"/>
              </w:rPr>
              <w:t>发生或者可能发生突发环境事件时，企业事业单位应当依法进行处理，并对所造成的损害承担责任。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处罚依据</w:t>
            </w:r>
          </w:p>
        </w:tc>
        <w:tc>
          <w:tcPr>
            <w:tcW w:w="7902" w:type="dxa"/>
            <w:gridSpan w:val="2"/>
            <w:tcBorders>
              <w:top w:val="single" w:color="auto" w:sz="4" w:space="0"/>
              <w:left w:val="single" w:color="auto" w:sz="4" w:space="0"/>
              <w:bottom w:val="single" w:color="auto" w:sz="4" w:space="0"/>
              <w:right w:val="single" w:color="auto" w:sz="4" w:space="0"/>
            </w:tcBorders>
          </w:tcPr>
          <w:p>
            <w:pPr>
              <w:ind w:firstLine="422" w:firstLineChars="200"/>
              <w:rPr>
                <w:rFonts w:ascii="仿宋_GB2312" w:hAnsi="Times New Roman" w:eastAsia="仿宋_GB2312" w:cs="Times New Roman"/>
                <w:highlight w:val="none"/>
              </w:rPr>
            </w:pPr>
            <w:r>
              <w:rPr>
                <w:rFonts w:hint="eastAsia" w:ascii="仿宋_GB2312" w:hAnsi="Times New Roman" w:eastAsia="仿宋_GB2312" w:cs="Times New Roman"/>
                <w:b/>
                <w:bCs/>
                <w:highlight w:val="none"/>
              </w:rPr>
              <w:t xml:space="preserve">《突发环境事件应急管理办法》第三十八条  </w:t>
            </w:r>
            <w:r>
              <w:rPr>
                <w:rFonts w:hint="eastAsia" w:ascii="仿宋_GB2312" w:hAnsi="Times New Roman" w:eastAsia="仿宋_GB2312" w:cs="Times New Roman"/>
                <w:highlight w:val="none"/>
              </w:rPr>
              <w:t>企业事业单位有下列情形之一的，由县级以上环境保护主管部门责令改正，可以处一万元以上三万元以下罚款：</w:t>
            </w:r>
          </w:p>
          <w:p>
            <w:pPr>
              <w:ind w:firstLine="420" w:firstLineChars="200"/>
              <w:rPr>
                <w:rFonts w:ascii="仿宋_GB2312" w:hAnsi="Times New Roman" w:eastAsia="仿宋_GB2312" w:cs="Times New Roman"/>
                <w:highlight w:val="none"/>
              </w:rPr>
            </w:pPr>
            <w:r>
              <w:rPr>
                <w:rFonts w:hint="eastAsia" w:ascii="仿宋_GB2312" w:hAnsi="Times New Roman" w:eastAsia="仿宋_GB2312" w:cs="Times New Roman"/>
                <w:highlight w:val="none"/>
              </w:rPr>
              <w:t>（一）未按规定开展突发环境事件风险评估工作，确定风险等级的；</w:t>
            </w:r>
          </w:p>
          <w:p>
            <w:pPr>
              <w:ind w:firstLine="420" w:firstLineChars="200"/>
              <w:rPr>
                <w:rFonts w:ascii="仿宋_GB2312" w:hAnsi="Times New Roman" w:eastAsia="仿宋_GB2312" w:cs="Times New Roman"/>
                <w:highlight w:val="none"/>
              </w:rPr>
            </w:pPr>
            <w:r>
              <w:rPr>
                <w:rFonts w:hint="eastAsia" w:ascii="仿宋_GB2312" w:hAnsi="Times New Roman" w:eastAsia="仿宋_GB2312" w:cs="Times New Roman"/>
                <w:highlight w:val="none"/>
              </w:rPr>
              <w:t>（二）未按规定开展环境安全隐患排查治理工作，建立隐患排查治理档案的；</w:t>
            </w:r>
          </w:p>
          <w:p>
            <w:pPr>
              <w:ind w:firstLine="420" w:firstLineChars="200"/>
              <w:rPr>
                <w:rFonts w:ascii="仿宋_GB2312" w:hAnsi="Times New Roman" w:eastAsia="仿宋_GB2312" w:cs="Times New Roman"/>
                <w:highlight w:val="none"/>
              </w:rPr>
            </w:pPr>
            <w:r>
              <w:rPr>
                <w:rFonts w:hint="eastAsia" w:ascii="仿宋_GB2312" w:hAnsi="Times New Roman" w:eastAsia="仿宋_GB2312" w:cs="Times New Roman"/>
                <w:highlight w:val="none"/>
              </w:rPr>
              <w:t>（三）未按规定将突发环境事件应急预案备案的；</w:t>
            </w:r>
          </w:p>
          <w:p>
            <w:pPr>
              <w:ind w:firstLine="420" w:firstLineChars="200"/>
              <w:rPr>
                <w:rFonts w:ascii="仿宋_GB2312" w:hAnsi="Times New Roman" w:eastAsia="仿宋_GB2312" w:cs="Times New Roman"/>
                <w:highlight w:val="none"/>
              </w:rPr>
            </w:pPr>
            <w:r>
              <w:rPr>
                <w:rFonts w:hint="eastAsia" w:ascii="仿宋_GB2312" w:hAnsi="Times New Roman" w:eastAsia="仿宋_GB2312" w:cs="Times New Roman"/>
                <w:highlight w:val="none"/>
              </w:rPr>
              <w:t>（四）未按规定开展突发环境事件应急培训，如实记录培训情况的；</w:t>
            </w:r>
          </w:p>
          <w:p>
            <w:pPr>
              <w:ind w:firstLine="420" w:firstLineChars="200"/>
              <w:rPr>
                <w:rFonts w:ascii="仿宋_GB2312" w:hAnsi="Times New Roman" w:eastAsia="仿宋_GB2312" w:cs="Times New Roman"/>
                <w:highlight w:val="none"/>
              </w:rPr>
            </w:pPr>
            <w:r>
              <w:rPr>
                <w:rFonts w:hint="eastAsia" w:ascii="仿宋_GB2312" w:hAnsi="Times New Roman" w:eastAsia="仿宋_GB2312" w:cs="Times New Roman"/>
                <w:highlight w:val="none"/>
              </w:rPr>
              <w:t>（五）未按规定储备必要的环境应急装备和物资；</w:t>
            </w:r>
          </w:p>
          <w:p>
            <w:pPr>
              <w:ind w:firstLine="420" w:firstLineChars="200"/>
              <w:rPr>
                <w:rFonts w:cs="Times New Roman"/>
                <w:highlight w:val="none"/>
              </w:rPr>
            </w:pPr>
            <w:r>
              <w:rPr>
                <w:rFonts w:hint="eastAsia" w:ascii="仿宋_GB2312" w:hAnsi="Times New Roman" w:eastAsia="仿宋_GB2312" w:cs="Times New Roman"/>
                <w:highlight w:val="none"/>
              </w:rPr>
              <w:t>（六）未按规定公开突发环境事件相关信息的。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13"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8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宋体" w:hAnsi="宋体" w:cs="Times New Roman"/>
                <w:b/>
                <w:bCs/>
                <w:highlight w:val="none"/>
              </w:rPr>
            </w:pPr>
            <w:r>
              <w:rPr>
                <w:rFonts w:hint="eastAsia" w:ascii="宋体" w:hAnsi="宋体" w:cs="Times New Roman"/>
                <w:b/>
                <w:color w:val="000000"/>
                <w:highlight w:val="none"/>
              </w:rPr>
              <w:t>违法事实</w:t>
            </w:r>
            <w:r>
              <w:rPr>
                <w:rFonts w:hint="eastAsia" w:ascii="Times New Roman" w:hAnsi="Times New Roman" w:cs="Times New Roman"/>
                <w:b/>
                <w:bCs/>
                <w:highlight w:val="none"/>
              </w:rPr>
              <w:t>★</w:t>
            </w: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突发环境事件相关信息公开不及时、不规范的</w:t>
            </w:r>
          </w:p>
        </w:tc>
        <w:tc>
          <w:tcPr>
            <w:tcW w:w="2689" w:type="dxa"/>
            <w:vAlign w:val="center"/>
          </w:tcPr>
          <w:p>
            <w:pPr>
              <w:snapToGrid w:val="0"/>
              <w:jc w:val="center"/>
              <w:rPr>
                <w:rFonts w:ascii="Times New Roman" w:hAnsi="Times New Roman" w:cs="Times New Roman"/>
                <w:highlight w:val="none"/>
              </w:rPr>
            </w:pPr>
            <w:r>
              <w:rPr>
                <w:rFonts w:hint="eastAsia"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宋体" w:hAnsi="宋体" w:cs="Times New Roman"/>
                <w:b/>
                <w:bCs/>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未公开突发环境事件相关信息或公布内容不真实的</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宋体" w:hAnsi="宋体" w:cs="Times New Roman"/>
                <w:b/>
                <w:bCs/>
                <w:highlight w:val="none"/>
              </w:rPr>
            </w:pP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拒不公开的</w:t>
            </w:r>
          </w:p>
        </w:tc>
        <w:tc>
          <w:tcPr>
            <w:tcW w:w="2689" w:type="dxa"/>
            <w:vAlign w:val="center"/>
          </w:tcPr>
          <w:p>
            <w:pPr>
              <w:snapToGrid w:val="0"/>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宋体" w:hAnsi="宋体" w:cs="Times New Roman"/>
                <w:b/>
                <w:color w:val="000000"/>
                <w:highlight w:val="none"/>
              </w:rPr>
            </w:pPr>
            <w:r>
              <w:rPr>
                <w:rFonts w:hint="eastAsia" w:ascii="宋体" w:hAnsi="宋体" w:cs="Times New Roman"/>
                <w:b/>
                <w:color w:val="000000"/>
                <w:highlight w:val="none"/>
              </w:rPr>
              <w:t>突发环境事件级别</w:t>
            </w:r>
          </w:p>
        </w:tc>
        <w:tc>
          <w:tcPr>
            <w:tcW w:w="5213"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一般突发环境事件</w:t>
            </w:r>
          </w:p>
        </w:tc>
        <w:tc>
          <w:tcPr>
            <w:tcW w:w="2689" w:type="dxa"/>
            <w:vAlign w:val="center"/>
          </w:tcPr>
          <w:p>
            <w:pPr>
              <w:snapToGrid w:val="0"/>
              <w:jc w:val="center"/>
              <w:rPr>
                <w:rFonts w:ascii="Times New Roman" w:hAnsi="Times New Roman" w:cs="Times New Roman"/>
                <w:color w:val="000000"/>
                <w:highlight w:val="none"/>
              </w:rPr>
            </w:pPr>
            <w:r>
              <w:rPr>
                <w:rFonts w:hint="eastAsia"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宋体" w:hAnsi="宋体" w:cs="Times New Roman"/>
                <w:b/>
                <w:color w:val="000000"/>
                <w:highlight w:val="none"/>
              </w:rPr>
            </w:pPr>
          </w:p>
        </w:tc>
        <w:tc>
          <w:tcPr>
            <w:tcW w:w="5213"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Times New Roman"/>
                <w:color w:val="000000"/>
                <w:highlight w:val="none"/>
              </w:rPr>
              <w:t>较大突发环境事件</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宋体" w:hAnsi="宋体" w:cs="Times New Roman"/>
                <w:b/>
                <w:color w:val="000000"/>
                <w:highlight w:val="none"/>
              </w:rPr>
            </w:pPr>
          </w:p>
        </w:tc>
        <w:tc>
          <w:tcPr>
            <w:tcW w:w="5213" w:type="dxa"/>
            <w:vAlign w:val="center"/>
          </w:tcPr>
          <w:p>
            <w:pPr>
              <w:snapToGrid w:val="0"/>
              <w:jc w:val="center"/>
              <w:rPr>
                <w:rFonts w:ascii="Times New Roman" w:hAnsi="Times New Roman" w:eastAsia="仿宋_GB2312" w:cs="仿宋_GB2312"/>
                <w:color w:val="000000"/>
                <w:highlight w:val="none"/>
              </w:rPr>
            </w:pPr>
            <w:r>
              <w:rPr>
                <w:rFonts w:hint="eastAsia" w:ascii="Times New Roman" w:hAnsi="Times New Roman" w:eastAsia="仿宋_GB2312" w:cs="Times New Roman"/>
                <w:color w:val="000000"/>
                <w:highlight w:val="none"/>
              </w:rPr>
              <w:t>重大及以上突发环境事件</w:t>
            </w:r>
          </w:p>
        </w:tc>
        <w:tc>
          <w:tcPr>
            <w:tcW w:w="2689" w:type="dxa"/>
            <w:vAlign w:val="center"/>
          </w:tcPr>
          <w:p>
            <w:pPr>
              <w:snapToGrid w:val="0"/>
              <w:jc w:val="center"/>
              <w:rPr>
                <w:rFonts w:ascii="Times New Roman" w:hAnsi="Times New Roman" w:cs="Times New Roman"/>
                <w:color w:val="000000"/>
                <w:highlight w:val="none"/>
              </w:rPr>
            </w:pPr>
            <w:r>
              <w:rPr>
                <w:rFonts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restart"/>
            <w:vAlign w:val="center"/>
          </w:tcPr>
          <w:p>
            <w:pPr>
              <w:snapToGrid w:val="0"/>
              <w:jc w:val="center"/>
              <w:rPr>
                <w:rFonts w:ascii="宋体" w:hAnsi="宋体" w:cs="Times New Roman"/>
                <w:b/>
                <w:color w:val="000000"/>
                <w:highlight w:val="none"/>
              </w:rPr>
            </w:pPr>
            <w:r>
              <w:rPr>
                <w:rFonts w:hint="eastAsia" w:ascii="宋体" w:hAnsi="宋体" w:cs="Times New Roman"/>
                <w:b/>
                <w:color w:val="000000"/>
                <w:highlight w:val="none"/>
              </w:rPr>
              <w:t>信息公开及时性</w:t>
            </w: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color w:val="000000"/>
                <w:highlight w:val="none"/>
              </w:rPr>
              <w:t>延迟</w:t>
            </w:r>
            <w:r>
              <w:rPr>
                <w:rFonts w:ascii="Times New Roman" w:hAnsi="Times New Roman" w:eastAsia="仿宋_GB2312" w:cs="Times New Roman"/>
                <w:color w:val="000000"/>
                <w:highlight w:val="none"/>
              </w:rPr>
              <w:t>24</w:t>
            </w:r>
            <w:r>
              <w:rPr>
                <w:rFonts w:hint="eastAsia" w:ascii="Times New Roman" w:hAnsi="Times New Roman" w:eastAsia="仿宋_GB2312" w:cs="Times New Roman"/>
                <w:color w:val="000000"/>
                <w:highlight w:val="none"/>
              </w:rPr>
              <w:t>小时</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color w:val="000000"/>
                <w:highlight w:val="none"/>
              </w:rPr>
              <w:t>延迟</w:t>
            </w:r>
            <w:r>
              <w:rPr>
                <w:rFonts w:ascii="Times New Roman" w:hAnsi="Times New Roman" w:eastAsia="仿宋_GB2312" w:cs="Times New Roman"/>
                <w:color w:val="000000"/>
                <w:highlight w:val="none"/>
              </w:rPr>
              <w:t>24</w:t>
            </w:r>
            <w:r>
              <w:rPr>
                <w:rFonts w:hint="eastAsia" w:ascii="Times New Roman" w:hAnsi="Times New Roman" w:eastAsia="仿宋_GB2312" w:cs="Times New Roman"/>
                <w:color w:val="000000"/>
                <w:highlight w:val="none"/>
              </w:rPr>
              <w:t>小时，不到</w:t>
            </w:r>
            <w:r>
              <w:rPr>
                <w:rFonts w:ascii="Times New Roman" w:hAnsi="Times New Roman" w:eastAsia="仿宋_GB2312" w:cs="Times New Roman"/>
                <w:color w:val="000000"/>
                <w:highlight w:val="none"/>
              </w:rPr>
              <w:t>48</w:t>
            </w:r>
            <w:r>
              <w:rPr>
                <w:rFonts w:hint="eastAsia" w:ascii="Times New Roman" w:hAnsi="Times New Roman" w:eastAsia="仿宋_GB2312" w:cs="Times New Roman"/>
                <w:color w:val="000000"/>
                <w:highlight w:val="none"/>
              </w:rPr>
              <w:t>小时</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Merge w:val="continue"/>
            <w:vAlign w:val="center"/>
          </w:tcPr>
          <w:p>
            <w:pPr>
              <w:snapToGrid w:val="0"/>
              <w:jc w:val="center"/>
              <w:rPr>
                <w:rFonts w:ascii="Times New Roman" w:hAnsi="Times New Roman" w:cs="Times New Roman"/>
                <w:b/>
                <w:bCs/>
                <w:highlight w:val="none"/>
              </w:rPr>
            </w:pPr>
          </w:p>
        </w:tc>
        <w:tc>
          <w:tcPr>
            <w:tcW w:w="5213"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color w:val="000000"/>
                <w:highlight w:val="none"/>
              </w:rPr>
              <w:t>延迟</w:t>
            </w:r>
            <w:r>
              <w:rPr>
                <w:rFonts w:ascii="Times New Roman" w:hAnsi="Times New Roman" w:eastAsia="仿宋_GB2312" w:cs="Times New Roman"/>
                <w:color w:val="000000"/>
                <w:highlight w:val="none"/>
              </w:rPr>
              <w:t>48</w:t>
            </w:r>
            <w:r>
              <w:rPr>
                <w:rFonts w:hint="eastAsia" w:ascii="Times New Roman" w:hAnsi="Times New Roman" w:eastAsia="仿宋_GB2312" w:cs="Times New Roman"/>
                <w:color w:val="000000"/>
                <w:highlight w:val="none"/>
              </w:rPr>
              <w:t>小时以上</w:t>
            </w:r>
          </w:p>
        </w:tc>
        <w:tc>
          <w:tcPr>
            <w:tcW w:w="268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6"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902" w:type="dxa"/>
            <w:gridSpan w:val="2"/>
            <w:vAlign w:val="center"/>
          </w:tcPr>
          <w:p>
            <w:pPr>
              <w:snapToGrid w:val="0"/>
              <w:ind w:firstLine="420"/>
              <w:jc w:val="center"/>
              <w:rPr>
                <w:rFonts w:ascii="Times New Roman" w:hAnsi="Times New Roman" w:cs="Times New Roman"/>
                <w:highlight w:val="none"/>
              </w:rPr>
            </w:pPr>
          </w:p>
        </w:tc>
      </w:tr>
    </w:tbl>
    <w:p>
      <w:pPr>
        <w:tabs>
          <w:tab w:val="left" w:pos="1305"/>
        </w:tabs>
        <w:rPr>
          <w:rFonts w:ascii="Times New Roman" w:hAnsi="Times New Roman" w:eastAsia="仿宋_GB2312" w:cs="Times New Roman"/>
          <w:sz w:val="32"/>
          <w:szCs w:val="32"/>
          <w:highlight w:val="none"/>
        </w:rPr>
      </w:pPr>
    </w:p>
    <w:p>
      <w:pPr>
        <w:tabs>
          <w:tab w:val="left" w:pos="1305"/>
        </w:tabs>
        <w:rPr>
          <w:rFonts w:ascii="Times New Roman" w:hAnsi="Times New Roman" w:eastAsia="仿宋_GB2312" w:cs="Times New Roman"/>
          <w:sz w:val="32"/>
          <w:szCs w:val="32"/>
          <w:highlight w:val="none"/>
        </w:rPr>
      </w:pPr>
    </w:p>
    <w:p>
      <w:pPr>
        <w:jc w:val="center"/>
        <w:rPr>
          <w:rFonts w:ascii="Times New Roman" w:hAnsi="Times New Roman" w:eastAsia="仿宋_GB2312" w:cs="Times New Roman"/>
          <w:b/>
          <w:bCs/>
          <w:sz w:val="32"/>
          <w:szCs w:val="32"/>
          <w:highlight w:val="none"/>
        </w:rPr>
      </w:pPr>
      <w:r>
        <w:rPr>
          <w:rFonts w:hint="eastAsia" w:ascii="Times New Roman" w:hAnsi="Times New Roman" w:eastAsia="方正小标宋简体" w:cs="方正小标宋简体"/>
          <w:b/>
          <w:bCs/>
          <w:sz w:val="44"/>
          <w:szCs w:val="44"/>
          <w:highlight w:val="none"/>
        </w:rPr>
        <w:t>二、通用处罚裁量表</w:t>
      </w:r>
    </w:p>
    <w:tbl>
      <w:tblPr>
        <w:tblStyle w:val="14"/>
        <w:tblW w:w="92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5209"/>
        <w:gridCol w:w="2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08" w:type="dxa"/>
            <w:gridSpan w:val="3"/>
            <w:vAlign w:val="center"/>
          </w:tcPr>
          <w:p>
            <w:pPr>
              <w:snapToGrid w:val="0"/>
              <w:jc w:val="center"/>
              <w:rPr>
                <w:rFonts w:ascii="Times New Roman" w:hAnsi="Times New Roman" w:cs="Times New Roman"/>
                <w:highlight w:val="none"/>
              </w:rPr>
            </w:pPr>
            <w:r>
              <w:rPr>
                <w:rFonts w:hint="eastAsia" w:ascii="Times New Roman" w:hAnsi="Times New Roman" w:eastAsia="仿宋_GB2312" w:cs="仿宋_GB2312"/>
                <w:b/>
                <w:bCs/>
                <w:sz w:val="32"/>
                <w:szCs w:val="32"/>
                <w:highlight w:val="none"/>
              </w:rPr>
              <w:t>通用处罚裁量表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裁量因素</w:t>
            </w:r>
          </w:p>
        </w:tc>
        <w:tc>
          <w:tcPr>
            <w:tcW w:w="520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判定标准</w:t>
            </w:r>
          </w:p>
        </w:tc>
        <w:tc>
          <w:tcPr>
            <w:tcW w:w="2690"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9"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违法事实</w:t>
            </w:r>
          </w:p>
        </w:tc>
        <w:tc>
          <w:tcPr>
            <w:tcW w:w="5209" w:type="dxa"/>
            <w:tcBorders>
              <w:top w:val="single" w:color="auto" w:sz="4" w:space="0"/>
              <w:left w:val="single" w:color="auto" w:sz="4" w:space="0"/>
              <w:bottom w:val="single" w:color="auto" w:sz="4" w:space="0"/>
              <w:right w:val="single" w:color="auto" w:sz="4" w:space="0"/>
            </w:tcBorders>
            <w:vAlign w:val="center"/>
          </w:tcPr>
          <w:p>
            <w:pPr>
              <w:pStyle w:val="11"/>
              <w:snapToGrid w:val="0"/>
              <w:jc w:val="center"/>
              <w:rPr>
                <w:rFonts w:ascii="仿宋_GB2312" w:hAnsi="Times New Roman" w:eastAsia="仿宋_GB2312" w:cs="Times New Roman"/>
                <w:sz w:val="21"/>
                <w:szCs w:val="21"/>
                <w:highlight w:val="none"/>
              </w:rPr>
            </w:pPr>
            <w:r>
              <w:rPr>
                <w:rFonts w:hint="eastAsia" w:ascii="仿宋_GB2312" w:eastAsia="仿宋_GB2312"/>
                <w:sz w:val="21"/>
                <w:szCs w:val="21"/>
                <w:highlight w:val="none"/>
              </w:rPr>
              <w:t>未对环境造成明显影响的</w:t>
            </w:r>
            <w:r>
              <w:rPr>
                <w:rFonts w:ascii="仿宋_GB2312" w:eastAsia="仿宋_GB2312"/>
                <w:sz w:val="21"/>
                <w:szCs w:val="21"/>
                <w:highlight w:val="none"/>
              </w:rPr>
              <w:t>/未造成以下各种污染结果的</w:t>
            </w:r>
          </w:p>
        </w:tc>
        <w:tc>
          <w:tcPr>
            <w:tcW w:w="2690" w:type="dxa"/>
            <w:tcBorders>
              <w:top w:val="single" w:color="auto" w:sz="4" w:space="0"/>
              <w:left w:val="single" w:color="auto" w:sz="4" w:space="0"/>
              <w:bottom w:val="single" w:color="auto" w:sz="4" w:space="0"/>
              <w:right w:val="single" w:color="auto" w:sz="4" w:space="0"/>
            </w:tcBorders>
            <w:vAlign w:val="center"/>
          </w:tcPr>
          <w:p>
            <w:pPr>
              <w:pStyle w:val="11"/>
              <w:snapToGrid w:val="0"/>
              <w:jc w:val="center"/>
              <w:rPr>
                <w:rFonts w:ascii="仿宋_GB2312" w:hAnsi="Times New Roman" w:eastAsia="仿宋_GB2312" w:cs="Times New Roman"/>
                <w:color w:val="000000"/>
                <w:sz w:val="21"/>
                <w:szCs w:val="21"/>
                <w:highlight w:val="none"/>
              </w:rPr>
            </w:pPr>
            <w:r>
              <w:rPr>
                <w:rFonts w:ascii="仿宋_GB2312" w:eastAsia="仿宋_GB2312"/>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9" w:type="dxa"/>
            <w:vMerge w:val="continue"/>
            <w:vAlign w:val="center"/>
          </w:tcPr>
          <w:p>
            <w:pPr>
              <w:snapToGrid w:val="0"/>
              <w:jc w:val="center"/>
              <w:rPr>
                <w:rFonts w:ascii="Times New Roman" w:hAnsi="Times New Roman" w:cs="Times New Roman"/>
                <w:b/>
                <w:bCs/>
                <w:highlight w:val="none"/>
              </w:rPr>
            </w:pPr>
          </w:p>
        </w:tc>
        <w:tc>
          <w:tcPr>
            <w:tcW w:w="5209" w:type="dxa"/>
            <w:tcBorders>
              <w:top w:val="single" w:color="auto" w:sz="4" w:space="0"/>
              <w:left w:val="single" w:color="auto" w:sz="4" w:space="0"/>
              <w:bottom w:val="single" w:color="auto" w:sz="4" w:space="0"/>
              <w:right w:val="single" w:color="auto" w:sz="4" w:space="0"/>
            </w:tcBorders>
            <w:vAlign w:val="center"/>
          </w:tcPr>
          <w:p>
            <w:pPr>
              <w:pStyle w:val="11"/>
              <w:snapToGrid w:val="0"/>
              <w:jc w:val="center"/>
              <w:rPr>
                <w:rFonts w:ascii="仿宋_GB2312" w:hAnsi="Times New Roman" w:eastAsia="仿宋_GB2312" w:cs="仿宋_GB2312"/>
                <w:sz w:val="21"/>
                <w:szCs w:val="21"/>
                <w:highlight w:val="none"/>
              </w:rPr>
            </w:pPr>
            <w:r>
              <w:rPr>
                <w:rFonts w:hint="eastAsia" w:ascii="仿宋_GB2312" w:eastAsia="仿宋_GB2312"/>
                <w:sz w:val="21"/>
                <w:szCs w:val="21"/>
                <w:highlight w:val="none"/>
              </w:rPr>
              <w:t>直接导致</w:t>
            </w:r>
            <w:r>
              <w:rPr>
                <w:rFonts w:ascii="仿宋_GB2312" w:eastAsia="仿宋_GB2312"/>
                <w:sz w:val="21"/>
                <w:szCs w:val="21"/>
                <w:highlight w:val="none"/>
              </w:rPr>
              <w:t>3人以下死亡或者10人以下中毒或者重伤的/疏散、转移人员5000人以下的/造成直接经济损失500万元以下的/造成跨县级行政区域纠纷，引起一般性群体影响的/造成分散式饮用水水源地取水中断的/IV、V类放射源丢失、被盗的/放射性同位素和射线装置失控导致人员受到超过年剂量限制的照射的/放射性物质泄漏，造成厂区内或设施内部辐射污染后果的/铀矿冶、伴生矿超标排放，造成环境辐射污染后果的/对环境造成一定影响的</w:t>
            </w:r>
          </w:p>
        </w:tc>
        <w:tc>
          <w:tcPr>
            <w:tcW w:w="26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Times New Roman" w:eastAsia="仿宋_GB2312" w:cs="Times New Roman"/>
                <w:color w:val="000000"/>
                <w:highlight w:val="none"/>
              </w:rPr>
            </w:pPr>
            <w:r>
              <w:rPr>
                <w:rFonts w:ascii="仿宋_GB2312" w:eastAsia="仿宋_GB2312" w:cs="宋体"/>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9" w:type="dxa"/>
            <w:vMerge w:val="continue"/>
            <w:vAlign w:val="center"/>
          </w:tcPr>
          <w:p>
            <w:pPr>
              <w:snapToGrid w:val="0"/>
              <w:jc w:val="center"/>
              <w:rPr>
                <w:rFonts w:ascii="Times New Roman" w:hAnsi="Times New Roman" w:cs="Times New Roman"/>
                <w:b/>
                <w:bCs/>
                <w:highlight w:val="none"/>
              </w:rPr>
            </w:pPr>
          </w:p>
        </w:tc>
        <w:tc>
          <w:tcPr>
            <w:tcW w:w="5209" w:type="dxa"/>
            <w:tcBorders>
              <w:top w:val="single" w:color="auto" w:sz="4" w:space="0"/>
              <w:left w:val="single" w:color="auto" w:sz="4" w:space="0"/>
              <w:bottom w:val="single" w:color="auto" w:sz="4" w:space="0"/>
              <w:right w:val="single" w:color="auto" w:sz="4" w:space="0"/>
            </w:tcBorders>
            <w:vAlign w:val="center"/>
          </w:tcPr>
          <w:p>
            <w:pPr>
              <w:pStyle w:val="11"/>
              <w:snapToGrid w:val="0"/>
              <w:jc w:val="center"/>
              <w:rPr>
                <w:rFonts w:ascii="仿宋_GB2312" w:hAnsi="Times New Roman" w:eastAsia="仿宋_GB2312" w:cs="仿宋_GB2312"/>
                <w:sz w:val="21"/>
                <w:szCs w:val="21"/>
                <w:highlight w:val="none"/>
              </w:rPr>
            </w:pPr>
            <w:r>
              <w:rPr>
                <w:rFonts w:hint="eastAsia" w:ascii="仿宋_GB2312" w:eastAsia="仿宋_GB2312"/>
                <w:sz w:val="21"/>
                <w:szCs w:val="21"/>
                <w:highlight w:val="none"/>
              </w:rPr>
              <w:t>直接导致</w:t>
            </w:r>
            <w:r>
              <w:rPr>
                <w:rFonts w:ascii="仿宋_GB2312" w:eastAsia="仿宋_GB2312"/>
                <w:sz w:val="21"/>
                <w:szCs w:val="21"/>
                <w:highlight w:val="none"/>
              </w:rPr>
              <w:t>3人以上10人以下死亡或者10人以上50人以下中毒或者重伤的/疏散、转移人员5000人以上1万人以下的/造成直接经济损失500万元以上2000万元以下的/造成国家重点保护的动植物物种受到破坏的/造成乡镇级及以下集中式饮用水水源地(包括农村“千吨万人”)取水中断的/III类放射源丢失、被盗的/放射性同位素和射线装置失控导致10人以下急性重度放射病、局部器官残疾的/放射性物质泄漏，造成小范围辐射污染后果的/造成跨设区的市级行政区域影响的</w:t>
            </w:r>
          </w:p>
        </w:tc>
        <w:tc>
          <w:tcPr>
            <w:tcW w:w="26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Times New Roman" w:eastAsia="仿宋_GB2312" w:cs="Times New Roman"/>
                <w:color w:val="000000"/>
                <w:highlight w:val="none"/>
              </w:rPr>
            </w:pPr>
            <w:r>
              <w:rPr>
                <w:rFonts w:ascii="仿宋_GB2312" w:eastAsia="仿宋_GB2312"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9" w:type="dxa"/>
            <w:vMerge w:val="continue"/>
            <w:vAlign w:val="center"/>
          </w:tcPr>
          <w:p>
            <w:pPr>
              <w:snapToGrid w:val="0"/>
              <w:jc w:val="center"/>
              <w:rPr>
                <w:rFonts w:ascii="Times New Roman" w:hAnsi="Times New Roman" w:cs="Times New Roman"/>
                <w:b/>
                <w:bCs/>
                <w:highlight w:val="none"/>
              </w:rPr>
            </w:pPr>
          </w:p>
        </w:tc>
        <w:tc>
          <w:tcPr>
            <w:tcW w:w="5209" w:type="dxa"/>
            <w:tcBorders>
              <w:top w:val="single" w:color="auto" w:sz="4" w:space="0"/>
              <w:left w:val="single" w:color="auto" w:sz="4" w:space="0"/>
              <w:bottom w:val="single" w:color="auto" w:sz="4" w:space="0"/>
              <w:right w:val="single" w:color="auto" w:sz="4" w:space="0"/>
            </w:tcBorders>
            <w:vAlign w:val="center"/>
          </w:tcPr>
          <w:p>
            <w:pPr>
              <w:pStyle w:val="11"/>
              <w:snapToGrid w:val="0"/>
              <w:jc w:val="center"/>
              <w:rPr>
                <w:rFonts w:ascii="仿宋_GB2312" w:hAnsi="Times New Roman" w:eastAsia="仿宋_GB2312" w:cs="Times New Roman"/>
                <w:sz w:val="21"/>
                <w:szCs w:val="21"/>
                <w:highlight w:val="none"/>
              </w:rPr>
            </w:pPr>
            <w:r>
              <w:rPr>
                <w:rFonts w:hint="eastAsia" w:ascii="仿宋_GB2312" w:eastAsia="仿宋_GB2312"/>
                <w:sz w:val="21"/>
                <w:szCs w:val="21"/>
                <w:highlight w:val="none"/>
              </w:rPr>
              <w:t>直接导致</w:t>
            </w:r>
            <w:r>
              <w:rPr>
                <w:rFonts w:ascii="仿宋_GB2312" w:eastAsia="仿宋_GB2312"/>
                <w:sz w:val="21"/>
                <w:szCs w:val="21"/>
                <w:highlight w:val="none"/>
              </w:rPr>
              <w:t>10人以上30人以下死亡或者50人以上100人以下中毒或者重伤的/疏散、转移人员1万人以上5万人以下的/造成直接经济损失2000万元以上1亿元以下的/造成区域生态功能部分丧失或该区域国家重点保护野生动植物种群大批死亡的/造成县级城市集中式饮用水水源地取水中断的/I、II类放射源丢失、被盗的/放射性同位素和射线装置失控导致3人以下急性死亡或者10人以上急性重度放射病、局部器官残疾的/放射性物质泄漏，造成较大范围辐射污染后果的/造成跨省级行政区域影响的</w:t>
            </w:r>
          </w:p>
        </w:tc>
        <w:tc>
          <w:tcPr>
            <w:tcW w:w="26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Times New Roman" w:eastAsia="仿宋_GB2312" w:cs="Times New Roman"/>
                <w:highlight w:val="none"/>
              </w:rPr>
            </w:pPr>
            <w:r>
              <w:rPr>
                <w:rFonts w:ascii="仿宋_GB2312" w:eastAsia="仿宋_GB2312" w:cs="宋体"/>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9" w:type="dxa"/>
            <w:vMerge w:val="continue"/>
            <w:vAlign w:val="center"/>
          </w:tcPr>
          <w:p>
            <w:pPr>
              <w:snapToGrid w:val="0"/>
              <w:jc w:val="center"/>
              <w:rPr>
                <w:rFonts w:ascii="Times New Roman" w:hAnsi="Times New Roman" w:cs="Times New Roman"/>
                <w:b/>
                <w:bCs/>
                <w:highlight w:val="none"/>
              </w:rPr>
            </w:pPr>
          </w:p>
        </w:tc>
        <w:tc>
          <w:tcPr>
            <w:tcW w:w="5209" w:type="dxa"/>
            <w:tcBorders>
              <w:top w:val="single" w:color="auto" w:sz="4" w:space="0"/>
              <w:left w:val="single" w:color="auto" w:sz="4" w:space="0"/>
              <w:bottom w:val="single" w:color="auto" w:sz="4" w:space="0"/>
              <w:right w:val="single" w:color="auto" w:sz="4" w:space="0"/>
            </w:tcBorders>
            <w:vAlign w:val="center"/>
          </w:tcPr>
          <w:p>
            <w:pPr>
              <w:pStyle w:val="11"/>
              <w:snapToGrid w:val="0"/>
              <w:jc w:val="center"/>
              <w:rPr>
                <w:rFonts w:ascii="仿宋_GB2312" w:hAnsi="Times New Roman" w:eastAsia="仿宋_GB2312" w:cs="Times New Roman"/>
                <w:sz w:val="21"/>
                <w:szCs w:val="21"/>
                <w:highlight w:val="none"/>
              </w:rPr>
            </w:pPr>
            <w:r>
              <w:rPr>
                <w:rFonts w:hint="eastAsia" w:ascii="仿宋_GB2312" w:eastAsia="仿宋_GB2312"/>
                <w:sz w:val="21"/>
                <w:szCs w:val="21"/>
                <w:highlight w:val="none"/>
              </w:rPr>
              <w:t>直接导致</w:t>
            </w:r>
            <w:r>
              <w:rPr>
                <w:rFonts w:ascii="仿宋_GB2312" w:eastAsia="仿宋_GB2312"/>
                <w:sz w:val="21"/>
                <w:szCs w:val="21"/>
                <w:highlight w:val="none"/>
              </w:rPr>
              <w:t>30人以上死亡或者100人以上中毒或者重伤的/疏散、转移人员5万人以上的/造成直接经济损失1亿元以上的/造成区域生态功能丧失或该区域国家重点保护物种灭绝的/造成设区的市级以上城市集中式饮用水水源地取水中断的/I、II类放射源丢失、被盗、失控并造成大范围严重辐射污染后果的/放射性同位素和射线装置失控导致3人以上急性死亡的/放射性物质泄漏，造成大范围辐射污染后果的/造成重大跨国境影响的</w:t>
            </w:r>
          </w:p>
        </w:tc>
        <w:tc>
          <w:tcPr>
            <w:tcW w:w="26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Times New Roman" w:eastAsia="仿宋_GB2312" w:cs="Times New Roman"/>
                <w:highlight w:val="none"/>
              </w:rPr>
            </w:pPr>
            <w:r>
              <w:rPr>
                <w:rFonts w:ascii="仿宋_GB2312" w:eastAsia="仿宋_GB2312" w:cs="宋体"/>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9"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违法次数（两年内</w:t>
            </w:r>
            <w:r>
              <w:rPr>
                <w:rFonts w:ascii="Times New Roman" w:hAnsi="Times New Roman" w:cs="宋体"/>
                <w:b/>
                <w:bCs/>
                <w:highlight w:val="none"/>
              </w:rPr>
              <w:t>，含</w:t>
            </w:r>
            <w:r>
              <w:rPr>
                <w:rFonts w:hint="eastAsia" w:ascii="Times New Roman" w:hAnsi="Times New Roman" w:cs="宋体"/>
                <w:b/>
                <w:bCs/>
                <w:highlight w:val="none"/>
              </w:rPr>
              <w:t>本次）</w:t>
            </w:r>
          </w:p>
        </w:tc>
        <w:tc>
          <w:tcPr>
            <w:tcW w:w="520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1次</w:t>
            </w:r>
          </w:p>
        </w:tc>
        <w:tc>
          <w:tcPr>
            <w:tcW w:w="2690"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9" w:type="dxa"/>
            <w:vMerge w:val="continue"/>
            <w:vAlign w:val="center"/>
          </w:tcPr>
          <w:p>
            <w:pPr>
              <w:snapToGrid w:val="0"/>
              <w:jc w:val="center"/>
              <w:rPr>
                <w:rFonts w:ascii="Times New Roman" w:hAnsi="Times New Roman" w:cs="Times New Roman"/>
                <w:b/>
                <w:bCs/>
                <w:highlight w:val="none"/>
              </w:rPr>
            </w:pPr>
          </w:p>
        </w:tc>
        <w:tc>
          <w:tcPr>
            <w:tcW w:w="5209" w:type="dxa"/>
            <w:vAlign w:val="center"/>
          </w:tcPr>
          <w:p>
            <w:pPr>
              <w:pStyle w:val="12"/>
              <w:snapToGrid w:val="0"/>
              <w:spacing w:before="0" w:beforeAutospacing="0" w:after="0" w:afterAutospacing="0"/>
              <w:jc w:val="center"/>
              <w:rPr>
                <w:rFonts w:ascii="Times New Roman" w:hAnsi="Times New Roman" w:eastAsia="仿宋_GB2312" w:cs="仿宋_GB2312"/>
                <w:sz w:val="21"/>
                <w:szCs w:val="21"/>
                <w:highlight w:val="none"/>
              </w:rPr>
            </w:pPr>
            <w:r>
              <w:rPr>
                <w:rFonts w:hint="eastAsia" w:ascii="Times New Roman" w:hAnsi="Times New Roman" w:eastAsia="仿宋_GB2312" w:cs="仿宋_GB2312"/>
                <w:color w:val="000000"/>
                <w:highlight w:val="none"/>
              </w:rPr>
              <w:t>2次</w:t>
            </w:r>
          </w:p>
        </w:tc>
        <w:tc>
          <w:tcPr>
            <w:tcW w:w="2690"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9" w:type="dxa"/>
            <w:vMerge w:val="continue"/>
            <w:vAlign w:val="center"/>
          </w:tcPr>
          <w:p>
            <w:pPr>
              <w:snapToGrid w:val="0"/>
              <w:jc w:val="center"/>
              <w:rPr>
                <w:rFonts w:ascii="Times New Roman" w:hAnsi="Times New Roman" w:cs="Times New Roman"/>
                <w:b/>
                <w:bCs/>
                <w:highlight w:val="none"/>
              </w:rPr>
            </w:pPr>
          </w:p>
        </w:tc>
        <w:tc>
          <w:tcPr>
            <w:tcW w:w="5209" w:type="dxa"/>
            <w:vAlign w:val="center"/>
          </w:tcPr>
          <w:p>
            <w:pPr>
              <w:pStyle w:val="12"/>
              <w:snapToGrid w:val="0"/>
              <w:spacing w:before="0" w:beforeAutospacing="0" w:after="0" w:afterAutospacing="0"/>
              <w:jc w:val="center"/>
              <w:rPr>
                <w:rFonts w:ascii="Times New Roman" w:hAnsi="Times New Roman" w:eastAsia="仿宋_GB2312" w:cs="仿宋_GB2312"/>
                <w:sz w:val="21"/>
                <w:szCs w:val="21"/>
                <w:highlight w:val="none"/>
              </w:rPr>
            </w:pPr>
            <w:r>
              <w:rPr>
                <w:rFonts w:hint="eastAsia" w:ascii="Times New Roman" w:hAnsi="Times New Roman" w:eastAsia="仿宋_GB2312" w:cs="仿宋_GB2312"/>
                <w:color w:val="000000"/>
                <w:highlight w:val="none"/>
              </w:rPr>
              <w:t>3次</w:t>
            </w:r>
          </w:p>
        </w:tc>
        <w:tc>
          <w:tcPr>
            <w:tcW w:w="2690" w:type="dxa"/>
            <w:vAlign w:val="center"/>
          </w:tcPr>
          <w:p>
            <w:pPr>
              <w:snapToGrid w:val="0"/>
              <w:jc w:val="center"/>
              <w:rPr>
                <w:rFonts w:ascii="Times New Roman" w:hAnsi="Times New Roman" w:cs="Times New Roman"/>
                <w:color w:val="000000"/>
                <w:highlight w:val="none"/>
              </w:rPr>
            </w:pPr>
            <w:r>
              <w:rPr>
                <w:rFonts w:hint="eastAsia"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9" w:type="dxa"/>
            <w:vMerge w:val="continue"/>
            <w:vAlign w:val="center"/>
          </w:tcPr>
          <w:p>
            <w:pPr>
              <w:snapToGrid w:val="0"/>
              <w:jc w:val="center"/>
              <w:rPr>
                <w:rFonts w:ascii="Times New Roman" w:hAnsi="Times New Roman" w:cs="Times New Roman"/>
                <w:b/>
                <w:bCs/>
                <w:highlight w:val="none"/>
              </w:rPr>
            </w:pPr>
          </w:p>
        </w:tc>
        <w:tc>
          <w:tcPr>
            <w:tcW w:w="5209"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color w:val="000000"/>
                <w:highlight w:val="none"/>
              </w:rPr>
              <w:t>4次</w:t>
            </w:r>
          </w:p>
        </w:tc>
        <w:tc>
          <w:tcPr>
            <w:tcW w:w="2690"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9" w:type="dxa"/>
            <w:vMerge w:val="continue"/>
            <w:vAlign w:val="center"/>
          </w:tcPr>
          <w:p>
            <w:pPr>
              <w:snapToGrid w:val="0"/>
              <w:jc w:val="center"/>
              <w:rPr>
                <w:rFonts w:ascii="Times New Roman" w:hAnsi="Times New Roman" w:cs="Times New Roman"/>
                <w:b/>
                <w:bCs/>
                <w:highlight w:val="none"/>
              </w:rPr>
            </w:pPr>
          </w:p>
        </w:tc>
        <w:tc>
          <w:tcPr>
            <w:tcW w:w="5209" w:type="dxa"/>
            <w:vAlign w:val="center"/>
          </w:tcPr>
          <w:p>
            <w:pPr>
              <w:pStyle w:val="12"/>
              <w:snapToGrid w:val="0"/>
              <w:spacing w:before="0" w:beforeAutospacing="0" w:after="0" w:afterAutospacing="0"/>
              <w:jc w:val="center"/>
              <w:rPr>
                <w:rFonts w:ascii="Times New Roman" w:hAnsi="Times New Roman" w:eastAsia="仿宋_GB2312" w:cs="Times New Roman"/>
                <w:sz w:val="21"/>
                <w:szCs w:val="21"/>
                <w:highlight w:val="none"/>
              </w:rPr>
            </w:pPr>
            <w:r>
              <w:rPr>
                <w:rFonts w:hint="eastAsia" w:ascii="Times New Roman" w:hAnsi="Times New Roman" w:eastAsia="仿宋_GB2312" w:cs="仿宋_GB2312"/>
                <w:color w:val="000000"/>
                <w:highlight w:val="none"/>
              </w:rPr>
              <w:t>5次</w:t>
            </w:r>
            <w:r>
              <w:rPr>
                <w:rFonts w:ascii="Times New Roman" w:hAnsi="Times New Roman" w:eastAsia="仿宋_GB2312" w:cs="仿宋_GB2312"/>
                <w:color w:val="000000"/>
                <w:highlight w:val="none"/>
              </w:rPr>
              <w:t>及以上</w:t>
            </w:r>
          </w:p>
        </w:tc>
        <w:tc>
          <w:tcPr>
            <w:tcW w:w="2690"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9" w:type="dxa"/>
            <w:vMerge w:val="restart"/>
            <w:vAlign w:val="center"/>
          </w:tcPr>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违法行为</w:t>
            </w:r>
          </w:p>
          <w:p>
            <w:pPr>
              <w:snapToGrid w:val="0"/>
              <w:jc w:val="center"/>
              <w:rPr>
                <w:rFonts w:ascii="Times New Roman" w:hAnsi="Times New Roman" w:cs="Times New Roman"/>
                <w:b/>
                <w:bCs/>
                <w:color w:val="000000"/>
                <w:highlight w:val="none"/>
              </w:rPr>
            </w:pPr>
            <w:r>
              <w:rPr>
                <w:rFonts w:hint="eastAsia" w:ascii="Times New Roman" w:hAnsi="Times New Roman" w:cs="宋体"/>
                <w:b/>
                <w:bCs/>
                <w:color w:val="000000"/>
                <w:highlight w:val="none"/>
              </w:rPr>
              <w:t>发生地点</w:t>
            </w:r>
          </w:p>
        </w:tc>
        <w:tc>
          <w:tcPr>
            <w:tcW w:w="5209" w:type="dxa"/>
            <w:vAlign w:val="center"/>
          </w:tcPr>
          <w:p>
            <w:pPr>
              <w:snapToGrid w:val="0"/>
              <w:jc w:val="center"/>
              <w:rPr>
                <w:rFonts w:ascii="Times New Roman" w:hAnsi="Times New Roman" w:eastAsia="仿宋_GB2312" w:cs="Times New Roman"/>
                <w:color w:val="000000"/>
                <w:highlight w:val="none"/>
              </w:rPr>
            </w:pPr>
            <w:r>
              <w:rPr>
                <w:rFonts w:hint="eastAsia" w:ascii="Times New Roman" w:hAnsi="Times New Roman" w:eastAsia="仿宋_GB2312" w:cs="仿宋_GB2312"/>
                <w:color w:val="000000"/>
                <w:highlight w:val="none"/>
              </w:rPr>
              <w:t>符合环境功能规划（或无环境功能规划）</w:t>
            </w:r>
          </w:p>
        </w:tc>
        <w:tc>
          <w:tcPr>
            <w:tcW w:w="2690" w:type="dxa"/>
            <w:vAlign w:val="center"/>
          </w:tcPr>
          <w:p>
            <w:pPr>
              <w:snapToGrid w:val="0"/>
              <w:jc w:val="center"/>
              <w:rPr>
                <w:rFonts w:ascii="Times New Roman" w:hAnsi="Times New Roman" w:cs="Times New Roman"/>
                <w:color w:val="000000"/>
                <w:highlight w:val="none"/>
              </w:rPr>
            </w:pPr>
            <w:r>
              <w:rPr>
                <w:rFonts w:ascii="Times New Roman" w:hAnsi="Times New Roman" w:cs="Times New Roman"/>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9" w:type="dxa"/>
            <w:vMerge w:val="continue"/>
            <w:vAlign w:val="center"/>
          </w:tcPr>
          <w:p>
            <w:pPr>
              <w:snapToGrid w:val="0"/>
              <w:jc w:val="center"/>
              <w:rPr>
                <w:rFonts w:ascii="Times New Roman" w:hAnsi="Times New Roman" w:cs="Times New Roman"/>
                <w:b/>
                <w:bCs/>
                <w:highlight w:val="none"/>
              </w:rPr>
            </w:pPr>
          </w:p>
        </w:tc>
        <w:tc>
          <w:tcPr>
            <w:tcW w:w="520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不符合环境功能规划，但不在保护区内</w:t>
            </w:r>
          </w:p>
        </w:tc>
        <w:tc>
          <w:tcPr>
            <w:tcW w:w="2690"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9" w:type="dxa"/>
            <w:vMerge w:val="continue"/>
            <w:vAlign w:val="center"/>
          </w:tcPr>
          <w:p>
            <w:pPr>
              <w:snapToGrid w:val="0"/>
              <w:jc w:val="center"/>
              <w:rPr>
                <w:rFonts w:ascii="Times New Roman" w:hAnsi="Times New Roman" w:cs="Times New Roman"/>
                <w:b/>
                <w:bCs/>
                <w:highlight w:val="none"/>
              </w:rPr>
            </w:pPr>
          </w:p>
        </w:tc>
        <w:tc>
          <w:tcPr>
            <w:tcW w:w="520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位于自然保护区实验区</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饮用水水源准保护区</w:t>
            </w:r>
          </w:p>
        </w:tc>
        <w:tc>
          <w:tcPr>
            <w:tcW w:w="2690"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9" w:type="dxa"/>
            <w:vMerge w:val="continue"/>
            <w:vAlign w:val="center"/>
          </w:tcPr>
          <w:p>
            <w:pPr>
              <w:snapToGrid w:val="0"/>
              <w:jc w:val="center"/>
              <w:rPr>
                <w:rFonts w:ascii="Times New Roman" w:hAnsi="Times New Roman" w:cs="Times New Roman"/>
                <w:b/>
                <w:bCs/>
                <w:highlight w:val="none"/>
              </w:rPr>
            </w:pPr>
          </w:p>
        </w:tc>
        <w:tc>
          <w:tcPr>
            <w:tcW w:w="520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位于自然保护区缓冲区</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饮用水水源二级保护区</w:t>
            </w:r>
          </w:p>
        </w:tc>
        <w:tc>
          <w:tcPr>
            <w:tcW w:w="2690"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9" w:type="dxa"/>
            <w:vMerge w:val="continue"/>
            <w:vAlign w:val="center"/>
          </w:tcPr>
          <w:p>
            <w:pPr>
              <w:snapToGrid w:val="0"/>
              <w:jc w:val="center"/>
              <w:rPr>
                <w:rFonts w:ascii="Times New Roman" w:hAnsi="Times New Roman" w:cs="Times New Roman"/>
                <w:b/>
                <w:bCs/>
                <w:highlight w:val="none"/>
              </w:rPr>
            </w:pPr>
          </w:p>
        </w:tc>
        <w:tc>
          <w:tcPr>
            <w:tcW w:w="520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color w:val="000000"/>
                <w:highlight w:val="none"/>
              </w:rPr>
              <w:t>位于自然保护区核心区</w:t>
            </w:r>
            <w:r>
              <w:rPr>
                <w:rFonts w:ascii="Times New Roman" w:hAnsi="Times New Roman" w:eastAsia="仿宋_GB2312" w:cs="Times New Roman"/>
                <w:color w:val="000000"/>
                <w:highlight w:val="none"/>
              </w:rPr>
              <w:t>/</w:t>
            </w:r>
            <w:r>
              <w:rPr>
                <w:rFonts w:hint="eastAsia" w:ascii="Times New Roman" w:hAnsi="Times New Roman" w:eastAsia="仿宋_GB2312" w:cs="仿宋_GB2312"/>
                <w:color w:val="000000"/>
                <w:highlight w:val="none"/>
              </w:rPr>
              <w:t>饮用水水源一级保护区</w:t>
            </w:r>
          </w:p>
        </w:tc>
        <w:tc>
          <w:tcPr>
            <w:tcW w:w="2690" w:type="dxa"/>
            <w:vAlign w:val="center"/>
          </w:tcPr>
          <w:p>
            <w:pPr>
              <w:snapToGrid w:val="0"/>
              <w:jc w:val="center"/>
              <w:rPr>
                <w:rFonts w:ascii="Times New Roman" w:hAnsi="Times New Roman" w:cs="Times New Roman"/>
                <w:highlight w:val="none"/>
              </w:rPr>
            </w:pPr>
            <w:r>
              <w:rPr>
                <w:rFonts w:ascii="Times New Roman" w:hAnsi="Times New Roman" w:cs="Times New Roman"/>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9" w:type="dxa"/>
            <w:vMerge w:val="restart"/>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违法时间</w:t>
            </w:r>
          </w:p>
        </w:tc>
        <w:tc>
          <w:tcPr>
            <w:tcW w:w="5209" w:type="dxa"/>
            <w:vAlign w:val="center"/>
          </w:tcPr>
          <w:p>
            <w:pPr>
              <w:snapToGrid w:val="0"/>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不满</w:t>
            </w:r>
            <w:r>
              <w:rPr>
                <w:rFonts w:ascii="Times New Roman" w:hAnsi="Times New Roman" w:eastAsia="仿宋_GB2312" w:cs="Times New Roman"/>
                <w:highlight w:val="none"/>
              </w:rPr>
              <w:t>1</w:t>
            </w:r>
            <w:r>
              <w:rPr>
                <w:rFonts w:hint="eastAsia" w:ascii="Times New Roman" w:hAnsi="Times New Roman" w:eastAsia="仿宋_GB2312" w:cs="仿宋_GB2312"/>
                <w:highlight w:val="none"/>
              </w:rPr>
              <w:t>个月</w:t>
            </w:r>
          </w:p>
        </w:tc>
        <w:tc>
          <w:tcPr>
            <w:tcW w:w="2690"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9" w:type="dxa"/>
            <w:vMerge w:val="continue"/>
            <w:vAlign w:val="center"/>
          </w:tcPr>
          <w:p>
            <w:pPr>
              <w:snapToGrid w:val="0"/>
              <w:jc w:val="center"/>
              <w:rPr>
                <w:rFonts w:ascii="Times New Roman" w:hAnsi="Times New Roman" w:cs="Times New Roman"/>
                <w:b/>
                <w:bCs/>
                <w:highlight w:val="none"/>
              </w:rPr>
            </w:pPr>
          </w:p>
        </w:tc>
        <w:tc>
          <w:tcPr>
            <w:tcW w:w="5209"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sz w:val="21"/>
                <w:szCs w:val="21"/>
                <w:highlight w:val="none"/>
              </w:rPr>
              <w:t>1</w:t>
            </w:r>
            <w:r>
              <w:rPr>
                <w:rFonts w:hint="eastAsia" w:ascii="Times New Roman" w:hAnsi="Times New Roman" w:eastAsia="仿宋_GB2312" w:cs="仿宋_GB2312"/>
                <w:sz w:val="21"/>
                <w:szCs w:val="21"/>
                <w:highlight w:val="none"/>
              </w:rPr>
              <w:t>个月以上，不满</w:t>
            </w:r>
            <w:r>
              <w:rPr>
                <w:rFonts w:ascii="Times New Roman" w:hAnsi="Times New Roman" w:eastAsia="仿宋_GB2312" w:cs="Times New Roman"/>
                <w:sz w:val="21"/>
                <w:szCs w:val="21"/>
                <w:highlight w:val="none"/>
              </w:rPr>
              <w:t>3</w:t>
            </w:r>
            <w:r>
              <w:rPr>
                <w:rFonts w:hint="eastAsia" w:ascii="Times New Roman" w:hAnsi="Times New Roman" w:eastAsia="仿宋_GB2312" w:cs="仿宋_GB2312"/>
                <w:sz w:val="21"/>
                <w:szCs w:val="21"/>
                <w:highlight w:val="none"/>
              </w:rPr>
              <w:t>个月</w:t>
            </w:r>
          </w:p>
        </w:tc>
        <w:tc>
          <w:tcPr>
            <w:tcW w:w="2690"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9" w:type="dxa"/>
            <w:vMerge w:val="continue"/>
            <w:vAlign w:val="center"/>
          </w:tcPr>
          <w:p>
            <w:pPr>
              <w:snapToGrid w:val="0"/>
              <w:jc w:val="center"/>
              <w:rPr>
                <w:rFonts w:ascii="Times New Roman" w:hAnsi="Times New Roman" w:cs="Times New Roman"/>
                <w:b/>
                <w:bCs/>
                <w:highlight w:val="none"/>
              </w:rPr>
            </w:pPr>
          </w:p>
        </w:tc>
        <w:tc>
          <w:tcPr>
            <w:tcW w:w="5209"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sz w:val="21"/>
                <w:szCs w:val="21"/>
                <w:highlight w:val="none"/>
              </w:rPr>
              <w:t>3</w:t>
            </w:r>
            <w:r>
              <w:rPr>
                <w:rFonts w:hint="eastAsia" w:ascii="Times New Roman" w:hAnsi="Times New Roman" w:eastAsia="仿宋_GB2312" w:cs="仿宋_GB2312"/>
                <w:sz w:val="21"/>
                <w:szCs w:val="21"/>
                <w:highlight w:val="none"/>
              </w:rPr>
              <w:t>个月以上，不满</w:t>
            </w:r>
            <w:r>
              <w:rPr>
                <w:rFonts w:ascii="Times New Roman" w:hAnsi="Times New Roman" w:eastAsia="仿宋_GB2312" w:cs="Times New Roman"/>
                <w:sz w:val="21"/>
                <w:szCs w:val="21"/>
                <w:highlight w:val="none"/>
              </w:rPr>
              <w:t>6</w:t>
            </w:r>
            <w:r>
              <w:rPr>
                <w:rFonts w:hint="eastAsia" w:ascii="Times New Roman" w:hAnsi="Times New Roman" w:eastAsia="仿宋_GB2312" w:cs="仿宋_GB2312"/>
                <w:sz w:val="21"/>
                <w:szCs w:val="21"/>
                <w:highlight w:val="none"/>
              </w:rPr>
              <w:t>个月</w:t>
            </w:r>
          </w:p>
        </w:tc>
        <w:tc>
          <w:tcPr>
            <w:tcW w:w="2690"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9" w:type="dxa"/>
            <w:vMerge w:val="continue"/>
            <w:vAlign w:val="center"/>
          </w:tcPr>
          <w:p>
            <w:pPr>
              <w:snapToGrid w:val="0"/>
              <w:jc w:val="center"/>
              <w:rPr>
                <w:rFonts w:ascii="Times New Roman" w:hAnsi="Times New Roman" w:cs="Times New Roman"/>
                <w:b/>
                <w:bCs/>
                <w:highlight w:val="none"/>
              </w:rPr>
            </w:pPr>
          </w:p>
        </w:tc>
        <w:tc>
          <w:tcPr>
            <w:tcW w:w="5209"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sz w:val="21"/>
                <w:szCs w:val="21"/>
                <w:highlight w:val="none"/>
              </w:rPr>
              <w:t>6</w:t>
            </w:r>
            <w:r>
              <w:rPr>
                <w:rFonts w:hint="eastAsia" w:ascii="Times New Roman" w:hAnsi="Times New Roman" w:eastAsia="仿宋_GB2312" w:cs="仿宋_GB2312"/>
                <w:sz w:val="21"/>
                <w:szCs w:val="21"/>
                <w:highlight w:val="none"/>
              </w:rPr>
              <w:t>个月以上，不满</w:t>
            </w:r>
            <w:r>
              <w:rPr>
                <w:rFonts w:ascii="Times New Roman" w:hAnsi="Times New Roman" w:eastAsia="仿宋_GB2312" w:cs="Times New Roman"/>
                <w:sz w:val="21"/>
                <w:szCs w:val="21"/>
                <w:highlight w:val="none"/>
              </w:rPr>
              <w:t>12</w:t>
            </w:r>
            <w:r>
              <w:rPr>
                <w:rFonts w:hint="eastAsia" w:ascii="Times New Roman" w:hAnsi="Times New Roman" w:eastAsia="仿宋_GB2312" w:cs="仿宋_GB2312"/>
                <w:sz w:val="21"/>
                <w:szCs w:val="21"/>
                <w:highlight w:val="none"/>
              </w:rPr>
              <w:t>个月</w:t>
            </w:r>
          </w:p>
        </w:tc>
        <w:tc>
          <w:tcPr>
            <w:tcW w:w="2690"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9" w:type="dxa"/>
            <w:vMerge w:val="continue"/>
            <w:vAlign w:val="center"/>
          </w:tcPr>
          <w:p>
            <w:pPr>
              <w:snapToGrid w:val="0"/>
              <w:jc w:val="center"/>
              <w:rPr>
                <w:rFonts w:ascii="Times New Roman" w:hAnsi="Times New Roman" w:cs="Times New Roman"/>
                <w:b/>
                <w:bCs/>
                <w:highlight w:val="none"/>
              </w:rPr>
            </w:pPr>
          </w:p>
        </w:tc>
        <w:tc>
          <w:tcPr>
            <w:tcW w:w="5209" w:type="dxa"/>
            <w:vAlign w:val="center"/>
          </w:tcPr>
          <w:p>
            <w:pPr>
              <w:pStyle w:val="11"/>
              <w:snapToGrid w:val="0"/>
              <w:jc w:val="center"/>
              <w:rPr>
                <w:rFonts w:ascii="Times New Roman" w:hAnsi="Times New Roman" w:eastAsia="仿宋_GB2312" w:cs="Times New Roman"/>
                <w:color w:val="000000"/>
                <w:sz w:val="21"/>
                <w:szCs w:val="21"/>
                <w:highlight w:val="none"/>
              </w:rPr>
            </w:pPr>
            <w:r>
              <w:rPr>
                <w:rFonts w:ascii="Times New Roman" w:hAnsi="Times New Roman" w:eastAsia="仿宋_GB2312" w:cs="Times New Roman"/>
                <w:sz w:val="21"/>
                <w:szCs w:val="21"/>
                <w:highlight w:val="none"/>
              </w:rPr>
              <w:t>12</w:t>
            </w:r>
            <w:r>
              <w:rPr>
                <w:rFonts w:hint="eastAsia" w:ascii="Times New Roman" w:hAnsi="Times New Roman" w:eastAsia="仿宋_GB2312" w:cs="仿宋_GB2312"/>
                <w:sz w:val="21"/>
                <w:szCs w:val="21"/>
                <w:highlight w:val="none"/>
              </w:rPr>
              <w:t>个月以上</w:t>
            </w:r>
          </w:p>
        </w:tc>
        <w:tc>
          <w:tcPr>
            <w:tcW w:w="2690" w:type="dxa"/>
            <w:vAlign w:val="center"/>
          </w:tcPr>
          <w:p>
            <w:pPr>
              <w:snapToGrid w:val="0"/>
              <w:jc w:val="center"/>
              <w:rPr>
                <w:rFonts w:ascii="Times New Roman" w:hAnsi="Times New Roman" w:cs="Times New Roman"/>
                <w:highlight w:val="none"/>
              </w:rPr>
            </w:pPr>
            <w:r>
              <w:rPr>
                <w:rFonts w:ascii="Times New Roman" w:hAnsi="Times New Roman" w:cs="Times New Roman"/>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9" w:type="dxa"/>
            <w:vAlign w:val="center"/>
          </w:tcPr>
          <w:p>
            <w:pPr>
              <w:snapToGrid w:val="0"/>
              <w:jc w:val="center"/>
              <w:rPr>
                <w:rFonts w:ascii="Times New Roman" w:hAnsi="Times New Roman" w:cs="Times New Roman"/>
                <w:b/>
                <w:bCs/>
                <w:highlight w:val="none"/>
              </w:rPr>
            </w:pPr>
            <w:r>
              <w:rPr>
                <w:rFonts w:hint="eastAsia" w:ascii="Times New Roman" w:hAnsi="Times New Roman" w:cs="宋体"/>
                <w:b/>
                <w:bCs/>
                <w:highlight w:val="none"/>
              </w:rPr>
              <w:t>备注</w:t>
            </w:r>
          </w:p>
        </w:tc>
        <w:tc>
          <w:tcPr>
            <w:tcW w:w="7899" w:type="dxa"/>
            <w:gridSpan w:val="2"/>
            <w:vAlign w:val="center"/>
          </w:tcPr>
          <w:p>
            <w:pPr>
              <w:snapToGrid w:val="0"/>
              <w:ind w:firstLine="420"/>
              <w:jc w:val="center"/>
              <w:rPr>
                <w:rFonts w:ascii="Times New Roman" w:hAnsi="Times New Roman" w:cs="Times New Roman"/>
                <w:highlight w:val="none"/>
              </w:rPr>
            </w:pPr>
          </w:p>
        </w:tc>
      </w:tr>
    </w:tbl>
    <w:p>
      <w:pPr>
        <w:rPr>
          <w:rFonts w:ascii="Times New Roman" w:hAnsi="Times New Roman" w:eastAsia="仿宋_GB2312" w:cs="Times New Roman"/>
          <w:sz w:val="32"/>
          <w:szCs w:val="32"/>
          <w:highlight w:val="none"/>
        </w:rPr>
      </w:pPr>
      <w:r>
        <w:rPr>
          <w:rFonts w:hint="eastAsia" w:ascii="Times New Roman" w:hAnsi="Times New Roman" w:eastAsia="仿宋_GB2312" w:cs="仿宋_GB2312"/>
          <w:sz w:val="32"/>
          <w:szCs w:val="32"/>
          <w:highlight w:val="none"/>
        </w:rPr>
        <w:t>注：除专项处罚裁量表所列情形外，其他违法情形均适用此表。</w:t>
      </w:r>
    </w:p>
    <w:p>
      <w:pPr>
        <w:widowControl/>
        <w:snapToGrid w:val="0"/>
        <w:jc w:val="center"/>
        <w:outlineLvl w:val="0"/>
        <w:rPr>
          <w:rFonts w:ascii="Times New Roman" w:hAnsi="Times New Roman" w:eastAsia="方正小标宋简体" w:cs="Times New Roman"/>
          <w:sz w:val="44"/>
          <w:szCs w:val="44"/>
          <w:highlight w:val="none"/>
        </w:rPr>
        <w:sectPr>
          <w:footerReference r:id="rId6" w:type="first"/>
          <w:headerReference r:id="rId3" w:type="default"/>
          <w:footerReference r:id="rId5" w:type="default"/>
          <w:headerReference r:id="rId4" w:type="even"/>
          <w:type w:val="continuous"/>
          <w:pgSz w:w="11906" w:h="16838"/>
          <w:pgMar w:top="1985" w:right="1474" w:bottom="1985" w:left="1588" w:header="851" w:footer="992" w:gutter="0"/>
          <w:pgNumType w:start="0"/>
          <w:cols w:space="425" w:num="1"/>
          <w:titlePg/>
          <w:docGrid w:type="lines" w:linePitch="312" w:charSpace="0"/>
        </w:sectPr>
      </w:pPr>
    </w:p>
    <w:p>
      <w:pPr>
        <w:widowControl/>
        <w:snapToGrid w:val="0"/>
        <w:jc w:val="center"/>
        <w:outlineLvl w:val="0"/>
        <w:rPr>
          <w:rFonts w:ascii="Times New Roman" w:hAnsi="Times New Roman" w:eastAsia="方正小标宋简体" w:cs="Times New Roman"/>
          <w:b/>
          <w:bCs/>
          <w:sz w:val="44"/>
          <w:szCs w:val="44"/>
          <w:highlight w:val="none"/>
        </w:rPr>
      </w:pPr>
      <w:bookmarkStart w:id="64" w:name="_Toc91081276"/>
      <w:r>
        <w:rPr>
          <w:rFonts w:hint="eastAsia" w:ascii="Times New Roman" w:hAnsi="Times New Roman" w:eastAsia="方正小标宋简体" w:cs="方正小标宋简体"/>
          <w:b/>
          <w:bCs/>
          <w:sz w:val="44"/>
          <w:szCs w:val="44"/>
          <w:highlight w:val="none"/>
        </w:rPr>
        <w:t>可启动按日连续处罚的违法行为情形</w:t>
      </w:r>
      <w:bookmarkEnd w:id="64"/>
    </w:p>
    <w:tbl>
      <w:tblPr>
        <w:tblStyle w:val="14"/>
        <w:tblW w:w="13291"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693"/>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Times New Roman" w:hAnsi="Times New Roman" w:cs="Times New Roman"/>
                <w:b/>
                <w:bCs/>
                <w:highlight w:val="none"/>
              </w:rPr>
            </w:pPr>
            <w:r>
              <w:rPr>
                <w:rFonts w:hint="eastAsia" w:ascii="Times New Roman" w:hAnsi="Times New Roman" w:cs="宋体"/>
                <w:b/>
                <w:bCs/>
                <w:highlight w:val="none"/>
              </w:rPr>
              <w:t>序号</w:t>
            </w:r>
          </w:p>
        </w:tc>
        <w:tc>
          <w:tcPr>
            <w:tcW w:w="2693" w:type="dxa"/>
            <w:vAlign w:val="center"/>
          </w:tcPr>
          <w:p>
            <w:pPr>
              <w:jc w:val="center"/>
              <w:rPr>
                <w:rFonts w:ascii="Times New Roman" w:hAnsi="Times New Roman" w:cs="Times New Roman"/>
                <w:b/>
                <w:bCs/>
                <w:highlight w:val="none"/>
              </w:rPr>
            </w:pPr>
            <w:r>
              <w:rPr>
                <w:rFonts w:hint="eastAsia" w:ascii="Times New Roman" w:hAnsi="Times New Roman" w:cs="宋体"/>
                <w:b/>
                <w:bCs/>
                <w:highlight w:val="none"/>
              </w:rPr>
              <w:t>违法行为</w:t>
            </w:r>
          </w:p>
        </w:tc>
        <w:tc>
          <w:tcPr>
            <w:tcW w:w="9639" w:type="dxa"/>
            <w:vAlign w:val="center"/>
          </w:tcPr>
          <w:p>
            <w:pPr>
              <w:jc w:val="center"/>
              <w:rPr>
                <w:rFonts w:ascii="Times New Roman" w:hAnsi="Times New Roman" w:cs="Times New Roman"/>
                <w:b/>
                <w:bCs/>
                <w:highlight w:val="none"/>
              </w:rPr>
            </w:pPr>
            <w:r>
              <w:rPr>
                <w:rFonts w:hint="eastAsia" w:ascii="Times New Roman" w:hAnsi="Times New Roman" w:cs="宋体"/>
                <w:b/>
                <w:bCs/>
                <w:highlight w:val="none"/>
              </w:rPr>
              <w:t>实施依据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c>
          <w:tcPr>
            <w:tcW w:w="2693" w:type="dxa"/>
            <w:vAlign w:val="center"/>
          </w:tcPr>
          <w:p>
            <w:pPr>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违法排放污染物，受到罚款处罚，被责令改正，拒不改正的</w:t>
            </w:r>
          </w:p>
        </w:tc>
        <w:tc>
          <w:tcPr>
            <w:tcW w:w="9639" w:type="dxa"/>
            <w:vAlign w:val="center"/>
          </w:tcPr>
          <w:p>
            <w:pPr>
              <w:snapToGrid w:val="0"/>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《中国人民共和国环境保护法》第五十九条</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企业事业单位和其他生产经营者违法排放污染物，受到罚款处罚，被责令改正，拒不改正的，依法作出处罚决定的行政机关可以自责令改正之日的次日起，按照原处罚数额按日连续处罚。</w:t>
            </w:r>
          </w:p>
          <w:p>
            <w:pPr>
              <w:snapToGrid w:val="0"/>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highlight w:val="none"/>
              </w:rPr>
              <w:t>前款规定的罚款处罚，依照有关法律法规按照防治污染设施的运行成本、违法行为造成的直接损失或者违法所得等因素确定的规定执行。</w:t>
            </w:r>
          </w:p>
          <w:p>
            <w:pPr>
              <w:snapToGrid w:val="0"/>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highlight w:val="none"/>
              </w:rPr>
              <w:t>地方性法规可以根据环境保护的实际需要，增加第一款规定的按日连续处罚的违法行为的种类。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p>
        </w:tc>
        <w:tc>
          <w:tcPr>
            <w:tcW w:w="2693" w:type="dxa"/>
            <w:vAlign w:val="center"/>
          </w:tcPr>
          <w:p>
            <w:pPr>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超过排放标准或者超过重点污染物排放总量控制指标排放污染物，被责令改正</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拒不改正的</w:t>
            </w:r>
          </w:p>
        </w:tc>
        <w:tc>
          <w:tcPr>
            <w:tcW w:w="9639" w:type="dxa"/>
            <w:vAlign w:val="center"/>
          </w:tcPr>
          <w:p>
            <w:pPr>
              <w:snapToGrid w:val="0"/>
              <w:ind w:firstLine="420" w:firstLineChars="200"/>
              <w:rPr>
                <w:rFonts w:ascii="Times New Roman" w:hAnsi="Times New Roman" w:eastAsia="仿宋_GB2312" w:cs="Times New Roman"/>
                <w:highlight w:val="none"/>
              </w:rPr>
            </w:pPr>
            <w:r>
              <w:rPr>
                <w:rFonts w:ascii="Times New Roman" w:hAnsi="Times New Roman" w:eastAsia="仿宋_GB2312" w:cs="Times New Roman"/>
                <w:b/>
                <w:bCs/>
                <w:highlight w:val="none"/>
              </w:rPr>
              <w:t>1.</w:t>
            </w:r>
            <w:r>
              <w:rPr>
                <w:rFonts w:hint="eastAsia" w:ascii="Times New Roman" w:hAnsi="Times New Roman" w:eastAsia="仿宋_GB2312" w:cs="仿宋_GB2312"/>
                <w:b/>
                <w:bCs/>
                <w:highlight w:val="none"/>
              </w:rPr>
              <w:t>《环境保护主管部门实施按日连续处罚办法》第五条</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排污者有下列行为之一，受到罚款处罚，被责令改正</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拒不改正的，依法做出罚款处罚决定的环境保护主管部门可以实施按日连续处罚：</w:t>
            </w:r>
          </w:p>
          <w:p>
            <w:pPr>
              <w:snapToGrid w:val="0"/>
              <w:ind w:firstLine="420" w:firstLineChars="200"/>
              <w:rPr>
                <w:rFonts w:ascii="Times New Roman" w:hAnsi="Times New Roman" w:eastAsia="仿宋_GB2312" w:cs="Times New Roman"/>
                <w:b/>
                <w:bCs/>
                <w:highlight w:val="none"/>
              </w:rPr>
            </w:pPr>
            <w:r>
              <w:rPr>
                <w:rFonts w:hint="eastAsia" w:ascii="Times New Roman" w:hAnsi="Times New Roman" w:eastAsia="仿宋_GB2312" w:cs="仿宋_GB2312"/>
                <w:highlight w:val="none"/>
              </w:rPr>
              <w:t>（二）超过国家或者地方规定的污染物排放标准，或者超过重点污染物排放总量控制指标排放污染物的。</w:t>
            </w:r>
          </w:p>
          <w:p>
            <w:pPr>
              <w:snapToGrid w:val="0"/>
              <w:ind w:firstLine="420" w:firstLineChars="200"/>
              <w:rPr>
                <w:rFonts w:ascii="Times New Roman" w:hAnsi="Times New Roman" w:eastAsia="仿宋_GB2312" w:cs="Times New Roman"/>
                <w:highlight w:val="none"/>
              </w:rPr>
            </w:pPr>
            <w:r>
              <w:rPr>
                <w:rFonts w:ascii="Times New Roman" w:hAnsi="Times New Roman" w:eastAsia="仿宋_GB2312" w:cs="Times New Roman"/>
                <w:b/>
                <w:bCs/>
                <w:highlight w:val="none"/>
              </w:rPr>
              <w:t>2.</w:t>
            </w:r>
            <w:r>
              <w:rPr>
                <w:rFonts w:hint="eastAsia" w:ascii="Times New Roman" w:hAnsi="Times New Roman" w:eastAsia="仿宋_GB2312" w:cs="仿宋_GB2312"/>
                <w:b/>
                <w:bCs/>
                <w:highlight w:val="none"/>
              </w:rPr>
              <w:t>《中华人民共和国大气污染防治法》第一百二十三条</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违反本法规定，企业事业单位和其他生产经营者有下列行为之一，受到罚款处罚，被责令改正，拒不改正的，依法作出处罚决定的行政机关可以自责令改正之日的次日起，按照原处罚数额按日连续处罚。</w:t>
            </w:r>
          </w:p>
          <w:p>
            <w:pPr>
              <w:snapToGrid w:val="0"/>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highlight w:val="none"/>
              </w:rPr>
              <w:t>（二）超过大气污染物排放标准或者超过重点大气污染物排放总量控制指标排放大气污染物的。</w:t>
            </w:r>
          </w:p>
          <w:p>
            <w:pPr>
              <w:snapToGrid w:val="0"/>
              <w:ind w:firstLine="420" w:firstLineChars="200"/>
              <w:rPr>
                <w:rFonts w:ascii="Times New Roman" w:hAnsi="Times New Roman" w:eastAsia="仿宋_GB2312" w:cs="Times New Roman"/>
                <w:highlight w:val="none"/>
              </w:rPr>
            </w:pPr>
            <w:r>
              <w:rPr>
                <w:rFonts w:ascii="Times New Roman" w:hAnsi="Times New Roman" w:eastAsia="仿宋_GB2312" w:cs="Times New Roman"/>
                <w:b/>
                <w:bCs/>
                <w:highlight w:val="none"/>
              </w:rPr>
              <w:t>3.</w:t>
            </w:r>
            <w:r>
              <w:rPr>
                <w:rFonts w:hint="eastAsia" w:ascii="Times New Roman" w:hAnsi="Times New Roman" w:eastAsia="仿宋_GB2312" w:cs="仿宋_GB2312"/>
                <w:b/>
                <w:bCs/>
                <w:highlight w:val="none"/>
              </w:rPr>
              <w:t>《山东省环境保护条例》第六十八条</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企业事业单位和其他生产经营者有下列行为之一，受到罚款处罚，经责令改正拒不改正的，作出处罚决定的行政机关可以自责令改正决定送达之次日起，按照原处罚数额按日连续处罚：</w:t>
            </w:r>
          </w:p>
          <w:p>
            <w:pPr>
              <w:snapToGrid w:val="0"/>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highlight w:val="none"/>
              </w:rPr>
              <w:t>（一）超过排放标准或者超过重点污染物排放总量控制指标排放污染的。</w:t>
            </w:r>
          </w:p>
          <w:p>
            <w:pPr>
              <w:snapToGrid w:val="0"/>
              <w:ind w:firstLine="420" w:firstLineChars="200"/>
              <w:rPr>
                <w:rFonts w:ascii="Times New Roman" w:hAnsi="Times New Roman" w:eastAsia="仿宋_GB2312" w:cs="Times New Roman"/>
                <w:highlight w:val="none"/>
              </w:rPr>
            </w:pPr>
            <w:r>
              <w:rPr>
                <w:rFonts w:ascii="Times New Roman" w:hAnsi="Times New Roman" w:eastAsia="仿宋_GB2312" w:cs="Times New Roman"/>
                <w:b/>
                <w:bCs/>
                <w:highlight w:val="none"/>
              </w:rPr>
              <w:t>4.</w:t>
            </w:r>
            <w:r>
              <w:rPr>
                <w:rFonts w:hint="eastAsia" w:ascii="Times New Roman" w:hAnsi="Times New Roman" w:eastAsia="仿宋_GB2312" w:cs="仿宋_GB2312"/>
                <w:b/>
                <w:bCs/>
                <w:highlight w:val="none"/>
              </w:rPr>
              <w:t>《山东省大气污染防治条例》第六十七条</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违反本条例规定，超过大气污染物排放标准或者超过重点大气污染物排放总量控制指标排放大气污染物的，由县级以上人民政府生态环境主管部门责令改正或者限制生产、停产整治，并处十万元以上一百万元以下的罚款；拒不改正的，依法作出处罚决定的生态环境主管部门可以自责令改正之日的次日起，按照原处罚数额按日连续处罚；情节严重的，报经有批准权的人民政府批准，责令停业、关闭。</w:t>
            </w:r>
          </w:p>
          <w:p>
            <w:pPr>
              <w:snapToGrid w:val="0"/>
              <w:ind w:firstLine="420" w:firstLineChars="200"/>
              <w:rPr>
                <w:rFonts w:ascii="Times New Roman" w:hAnsi="Times New Roman" w:eastAsia="仿宋_GB2312" w:cs="Times New Roman"/>
                <w:highlight w:val="none"/>
              </w:rPr>
            </w:pPr>
            <w:r>
              <w:rPr>
                <w:rFonts w:ascii="Times New Roman" w:hAnsi="Times New Roman" w:eastAsia="仿宋_GB2312" w:cs="Times New Roman"/>
                <w:b/>
                <w:bCs/>
                <w:highlight w:val="none"/>
              </w:rPr>
              <w:t>5.</w:t>
            </w:r>
            <w:r>
              <w:rPr>
                <w:rFonts w:hint="eastAsia" w:ascii="Times New Roman" w:hAnsi="Times New Roman" w:eastAsia="仿宋_GB2312" w:cs="仿宋_GB2312"/>
                <w:b/>
                <w:bCs/>
                <w:highlight w:val="none"/>
              </w:rPr>
              <w:t>《山东省水污染防治条例》第八十八条</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违反本条例规定，排污单位有下列情形之一，受到罚款处罚，被责令改正，拒不改正的，依法作出罚款处罚决定的环境保护主管部门可以实施按日连续处罚：</w:t>
            </w:r>
          </w:p>
          <w:p>
            <w:pPr>
              <w:snapToGrid w:val="0"/>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highlight w:val="none"/>
              </w:rPr>
              <w:t>（一）超过国家或者省规定的污染物排放标准，或者超过重点污染物排放总量控制指标排放水污染物的。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c>
          <w:tcPr>
            <w:tcW w:w="2693" w:type="dxa"/>
            <w:vAlign w:val="center"/>
          </w:tcPr>
          <w:p>
            <w:pPr>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未按照要求取得排污许可证，违法排放污染物，被责令改正</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拒不改正的，</w:t>
            </w:r>
          </w:p>
        </w:tc>
        <w:tc>
          <w:tcPr>
            <w:tcW w:w="9639" w:type="dxa"/>
            <w:vAlign w:val="center"/>
          </w:tcPr>
          <w:p>
            <w:pPr>
              <w:snapToGrid w:val="0"/>
              <w:ind w:firstLine="420" w:firstLineChars="200"/>
              <w:rPr>
                <w:rFonts w:ascii="Times New Roman" w:hAnsi="Times New Roman" w:eastAsia="仿宋_GB2312" w:cs="Times New Roman"/>
                <w:highlight w:val="none"/>
              </w:rPr>
            </w:pPr>
            <w:r>
              <w:rPr>
                <w:rFonts w:ascii="Times New Roman" w:hAnsi="Times New Roman" w:eastAsia="仿宋_GB2312" w:cs="Times New Roman"/>
                <w:b/>
                <w:bCs/>
                <w:color w:val="000000"/>
                <w:highlight w:val="none"/>
              </w:rPr>
              <w:t>1.</w:t>
            </w:r>
            <w:r>
              <w:rPr>
                <w:rFonts w:hint="eastAsia" w:ascii="Times New Roman" w:hAnsi="Times New Roman" w:eastAsia="仿宋_GB2312" w:cs="仿宋_GB2312"/>
                <w:b/>
                <w:bCs/>
                <w:color w:val="000000"/>
                <w:highlight w:val="none"/>
              </w:rPr>
              <w:t>《环境保护主管部门实施按日连续处罚办法》第五条</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排污者有下列行为之一，受到罚款处罚，被责令改正</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拒不改正的，依法做出罚款处罚决定的环境保护主管部门可以实施按日连续处罚：</w:t>
            </w:r>
          </w:p>
          <w:p>
            <w:pPr>
              <w:snapToGrid w:val="0"/>
              <w:ind w:firstLine="420" w:firstLineChars="200"/>
              <w:rPr>
                <w:rFonts w:ascii="Times New Roman" w:hAnsi="Times New Roman" w:eastAsia="仿宋_GB2312" w:cs="Times New Roman"/>
                <w:b/>
                <w:bCs/>
                <w:highlight w:val="none"/>
              </w:rPr>
            </w:pPr>
            <w:r>
              <w:rPr>
                <w:rFonts w:hint="eastAsia" w:ascii="Times New Roman" w:hAnsi="Times New Roman" w:eastAsia="仿宋_GB2312" w:cs="仿宋_GB2312"/>
                <w:highlight w:val="none"/>
              </w:rPr>
              <w:t>（一）未依法取得排污许可证排放污染物的。</w:t>
            </w:r>
          </w:p>
          <w:p>
            <w:pPr>
              <w:snapToGrid w:val="0"/>
              <w:ind w:firstLine="420" w:firstLineChars="200"/>
              <w:rPr>
                <w:rFonts w:ascii="Times New Roman" w:hAnsi="Times New Roman" w:eastAsia="仿宋_GB2312" w:cs="Times New Roman"/>
                <w:highlight w:val="none"/>
              </w:rPr>
            </w:pPr>
            <w:r>
              <w:rPr>
                <w:rFonts w:ascii="Times New Roman" w:hAnsi="Times New Roman" w:eastAsia="仿宋_GB2312" w:cs="Times New Roman"/>
                <w:b/>
                <w:bCs/>
                <w:highlight w:val="none"/>
              </w:rPr>
              <w:t>2.</w:t>
            </w:r>
            <w:r>
              <w:rPr>
                <w:rFonts w:hint="eastAsia" w:ascii="Times New Roman" w:hAnsi="Times New Roman" w:eastAsia="仿宋_GB2312" w:cs="仿宋_GB2312"/>
                <w:b/>
                <w:bCs/>
                <w:highlight w:val="none"/>
              </w:rPr>
              <w:t>《中华人民共和国大气污染防治法》第一百二十三条</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违反本法规定，企业事业单位和其他生产经营者有下列行为之一，受到罚款处罚，被责令改正，拒不改正的，依法作出处罚决定的行政机关可以自责令改正之日的次日起，按照原处罚数额按日连续处罚：</w:t>
            </w:r>
          </w:p>
          <w:p>
            <w:pPr>
              <w:snapToGrid w:val="0"/>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highlight w:val="none"/>
              </w:rPr>
              <w:t>（一）未依法取得排污许可证排放大气污染物的。</w:t>
            </w:r>
          </w:p>
          <w:p>
            <w:pPr>
              <w:snapToGrid w:val="0"/>
              <w:ind w:firstLine="420" w:firstLineChars="200"/>
              <w:rPr>
                <w:rFonts w:ascii="Times New Roman" w:hAnsi="Times New Roman" w:eastAsia="仿宋_GB2312" w:cs="Times New Roman"/>
                <w:highlight w:val="none"/>
              </w:rPr>
            </w:pPr>
            <w:r>
              <w:rPr>
                <w:rFonts w:ascii="Times New Roman" w:hAnsi="Times New Roman" w:eastAsia="仿宋_GB2312" w:cs="Times New Roman"/>
                <w:b/>
                <w:bCs/>
                <w:highlight w:val="none"/>
              </w:rPr>
              <w:t>3.</w:t>
            </w:r>
            <w:r>
              <w:rPr>
                <w:rFonts w:hint="eastAsia" w:ascii="Times New Roman" w:hAnsi="Times New Roman" w:eastAsia="仿宋_GB2312" w:cs="仿宋_GB2312"/>
                <w:b/>
                <w:bCs/>
                <w:highlight w:val="none"/>
              </w:rPr>
              <w:t>《山东省环境保护条例》第六十八条</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企业事业单位和其他生产经营者有下列行为之一，受到罚款处罚，经责令改正拒不改正的，作出处罚决定的行政机关可以自责令改正决定送达之次日起，按照原处罚数额按日连续处罚：</w:t>
            </w:r>
          </w:p>
          <w:p>
            <w:pPr>
              <w:snapToGrid w:val="0"/>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highlight w:val="none"/>
              </w:rPr>
              <w:t>（二）未按照要求取得排污许可证，违法排放污染物的。</w:t>
            </w:r>
          </w:p>
          <w:p>
            <w:pPr>
              <w:snapToGrid w:val="0"/>
              <w:ind w:firstLine="420" w:firstLineChars="200"/>
              <w:rPr>
                <w:rFonts w:ascii="Times New Roman" w:hAnsi="Times New Roman" w:eastAsia="仿宋_GB2312" w:cs="Times New Roman"/>
                <w:highlight w:val="none"/>
              </w:rPr>
            </w:pPr>
            <w:r>
              <w:rPr>
                <w:rFonts w:ascii="Times New Roman" w:hAnsi="Times New Roman" w:eastAsia="仿宋_GB2312" w:cs="Times New Roman"/>
                <w:b/>
                <w:bCs/>
                <w:highlight w:val="none"/>
              </w:rPr>
              <w:t>4.</w:t>
            </w:r>
            <w:r>
              <w:rPr>
                <w:rFonts w:hint="eastAsia" w:ascii="Times New Roman" w:hAnsi="Times New Roman" w:eastAsia="仿宋_GB2312" w:cs="仿宋_GB2312"/>
                <w:b/>
                <w:bCs/>
                <w:highlight w:val="none"/>
              </w:rPr>
              <w:t>《山东省水污染防治条例》第八十八条</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违反本条例规定，排污单位有下列情形之一，受到罚款处罚，被责令改正，拒不改正的，依法作出罚款处罚决定的环境保护主管部门可以实施按日连续处罚：</w:t>
            </w:r>
          </w:p>
          <w:p>
            <w:pPr>
              <w:snapToGrid w:val="0"/>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highlight w:val="none"/>
              </w:rPr>
              <w:t>（二）未取得排污许可证排放水污染物的。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4</w:t>
            </w:r>
          </w:p>
        </w:tc>
        <w:tc>
          <w:tcPr>
            <w:tcW w:w="2693" w:type="dxa"/>
            <w:vAlign w:val="center"/>
          </w:tcPr>
          <w:p>
            <w:pPr>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通过暗管、渗井、渗坑、灌注或者篡改、伪造监测数据，或者不正常运行污染防治设施等逃避监管的方式排放污染物，被责令改正</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拒不改正的，</w:t>
            </w:r>
          </w:p>
        </w:tc>
        <w:tc>
          <w:tcPr>
            <w:tcW w:w="9639" w:type="dxa"/>
            <w:vAlign w:val="center"/>
          </w:tcPr>
          <w:p>
            <w:pPr>
              <w:snapToGrid w:val="0"/>
              <w:ind w:firstLine="420" w:firstLineChars="200"/>
              <w:rPr>
                <w:rFonts w:ascii="Times New Roman" w:hAnsi="Times New Roman" w:eastAsia="仿宋_GB2312" w:cs="Times New Roman"/>
                <w:highlight w:val="none"/>
              </w:rPr>
            </w:pPr>
            <w:r>
              <w:rPr>
                <w:rFonts w:ascii="Times New Roman" w:hAnsi="Times New Roman" w:eastAsia="仿宋_GB2312" w:cs="Times New Roman"/>
                <w:b/>
                <w:bCs/>
                <w:highlight w:val="none"/>
              </w:rPr>
              <w:t>1.</w:t>
            </w:r>
            <w:r>
              <w:rPr>
                <w:rFonts w:hint="eastAsia" w:ascii="Times New Roman" w:hAnsi="Times New Roman" w:eastAsia="仿宋_GB2312" w:cs="仿宋_GB2312"/>
                <w:b/>
                <w:bCs/>
                <w:highlight w:val="none"/>
              </w:rPr>
              <w:t>《环境保护主管部门实施按日连续处罚办法》第五条</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排污者有下列行为之一，受到罚款处罚，被责令改正</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拒不改正的，依法做出罚款处罚决定的环境保护主管部门可以实施按日连续处罚：</w:t>
            </w:r>
          </w:p>
          <w:p>
            <w:pPr>
              <w:snapToGrid w:val="0"/>
              <w:ind w:firstLine="420" w:firstLineChars="200"/>
              <w:rPr>
                <w:rFonts w:ascii="Times New Roman" w:hAnsi="Times New Roman" w:eastAsia="仿宋_GB2312" w:cs="Times New Roman"/>
                <w:b/>
                <w:bCs/>
                <w:highlight w:val="none"/>
              </w:rPr>
            </w:pPr>
            <w:r>
              <w:rPr>
                <w:rFonts w:hint="eastAsia" w:ascii="Times New Roman" w:hAnsi="Times New Roman" w:eastAsia="仿宋_GB2312" w:cs="仿宋_GB2312"/>
                <w:highlight w:val="none"/>
              </w:rPr>
              <w:t>（三）通过暗管、渗井、渗坑、灌注或者篡改、伪造监测数据，或者不正常运行防治污染设施等逃避监管的方式排放污染物的。</w:t>
            </w:r>
          </w:p>
          <w:p>
            <w:pPr>
              <w:snapToGrid w:val="0"/>
              <w:ind w:firstLine="420" w:firstLineChars="200"/>
              <w:rPr>
                <w:rFonts w:ascii="Times New Roman" w:hAnsi="Times New Roman" w:eastAsia="仿宋_GB2312" w:cs="Times New Roman"/>
                <w:highlight w:val="none"/>
              </w:rPr>
            </w:pPr>
            <w:r>
              <w:rPr>
                <w:rFonts w:ascii="Times New Roman" w:hAnsi="Times New Roman" w:eastAsia="仿宋_GB2312" w:cs="Times New Roman"/>
                <w:b/>
                <w:bCs/>
                <w:highlight w:val="none"/>
              </w:rPr>
              <w:t>2.</w:t>
            </w:r>
            <w:r>
              <w:rPr>
                <w:rFonts w:hint="eastAsia" w:ascii="Times New Roman" w:hAnsi="Times New Roman" w:eastAsia="仿宋_GB2312" w:cs="仿宋_GB2312"/>
                <w:b/>
                <w:bCs/>
                <w:highlight w:val="none"/>
              </w:rPr>
              <w:t>《中华人民共和国大气污染防治法》第一百二十三条</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违反本法规定，企业事业单位和其他生产经营者有下列行为之一，受到罚款处罚，被责令改正，拒不改正的，依法作出处罚决定的行政机关可以自责令改正之日的次日起，按照原处罚数额按日连续处罚：</w:t>
            </w:r>
          </w:p>
          <w:p>
            <w:pPr>
              <w:snapToGrid w:val="0"/>
              <w:ind w:firstLine="420" w:firstLineChars="200"/>
              <w:rPr>
                <w:rFonts w:ascii="Times New Roman" w:hAnsi="Times New Roman" w:eastAsia="仿宋_GB2312" w:cs="Times New Roman"/>
                <w:b/>
                <w:bCs/>
                <w:highlight w:val="none"/>
              </w:rPr>
            </w:pPr>
            <w:r>
              <w:rPr>
                <w:rFonts w:hint="eastAsia" w:ascii="Times New Roman" w:hAnsi="Times New Roman" w:eastAsia="仿宋_GB2312" w:cs="仿宋_GB2312"/>
                <w:highlight w:val="none"/>
              </w:rPr>
              <w:t>（三）通过逃避监管的方式排放大气污染物的。</w:t>
            </w:r>
          </w:p>
          <w:p>
            <w:pPr>
              <w:snapToGrid w:val="0"/>
              <w:ind w:firstLine="420" w:firstLineChars="200"/>
              <w:rPr>
                <w:rFonts w:ascii="Times New Roman" w:hAnsi="Times New Roman" w:eastAsia="仿宋_GB2312" w:cs="Times New Roman"/>
                <w:highlight w:val="none"/>
              </w:rPr>
            </w:pPr>
            <w:r>
              <w:rPr>
                <w:rFonts w:ascii="Times New Roman" w:hAnsi="Times New Roman" w:eastAsia="仿宋_GB2312" w:cs="Times New Roman"/>
                <w:b/>
                <w:bCs/>
                <w:highlight w:val="none"/>
              </w:rPr>
              <w:t>3.</w:t>
            </w:r>
            <w:r>
              <w:rPr>
                <w:rFonts w:hint="eastAsia" w:ascii="Times New Roman" w:hAnsi="Times New Roman" w:eastAsia="仿宋_GB2312" w:cs="仿宋_GB2312"/>
                <w:b/>
                <w:bCs/>
                <w:highlight w:val="none"/>
              </w:rPr>
              <w:t>《山东省环境保护条例》第六十八条</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企业事业单位和其他生产经营者有下列行为之一，受到罚款处罚，经责令改正拒不改正的，作出处罚决定的行政机关可以自责令改正决定送达之次日起，按照原处罚数额按日连续处罚：</w:t>
            </w:r>
          </w:p>
          <w:p>
            <w:pPr>
              <w:snapToGrid w:val="0"/>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highlight w:val="none"/>
              </w:rPr>
              <w:t>（三）通过暗管、渗井、渗坑、灌注或者篡改、伪造监测数据，或者不正常运行污染防治设施等逃避监管的方式排放污染物的。</w:t>
            </w:r>
          </w:p>
          <w:p>
            <w:pPr>
              <w:snapToGrid w:val="0"/>
              <w:ind w:firstLine="420" w:firstLineChars="200"/>
              <w:rPr>
                <w:rFonts w:ascii="Times New Roman" w:hAnsi="Times New Roman" w:eastAsia="仿宋_GB2312" w:cs="Times New Roman"/>
                <w:highlight w:val="none"/>
              </w:rPr>
            </w:pPr>
            <w:r>
              <w:rPr>
                <w:rFonts w:ascii="Times New Roman" w:hAnsi="Times New Roman" w:eastAsia="仿宋_GB2312" w:cs="Times New Roman"/>
                <w:b/>
                <w:bCs/>
                <w:highlight w:val="none"/>
              </w:rPr>
              <w:t>4.</w:t>
            </w:r>
            <w:r>
              <w:rPr>
                <w:rFonts w:hint="eastAsia" w:ascii="Times New Roman" w:hAnsi="Times New Roman" w:eastAsia="仿宋_GB2312" w:cs="仿宋_GB2312"/>
                <w:b/>
                <w:bCs/>
                <w:highlight w:val="none"/>
              </w:rPr>
              <w:t>《山东省水污染防治条例》第八十八条</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违反本条例规定，排污单位有下列情形之一，受到罚款处罚，被责令改正，拒不改正的，依法作出罚款处罚决定的环境保护主管部门可以实施按日连续处罚：</w:t>
            </w:r>
          </w:p>
          <w:p>
            <w:pPr>
              <w:snapToGrid w:val="0"/>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highlight w:val="none"/>
              </w:rPr>
              <w:t>（四）利用渗井、渗坑、裂隙、溶洞、灌注或者私设暗管等方式排放水污染物，篡改、伪造监测数据或者不正常运行防治污染设施等逃避监管的方式违法排放水污染物的。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c>
          <w:tcPr>
            <w:tcW w:w="2693" w:type="dxa"/>
            <w:vAlign w:val="center"/>
          </w:tcPr>
          <w:p>
            <w:pPr>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依法应当进行环境影响评价审批的建设项目，未经审批即开工建设，经责令改正拒不改正的</w:t>
            </w:r>
          </w:p>
        </w:tc>
        <w:tc>
          <w:tcPr>
            <w:tcW w:w="9639" w:type="dxa"/>
            <w:vAlign w:val="center"/>
          </w:tcPr>
          <w:p>
            <w:pPr>
              <w:snapToGrid w:val="0"/>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《山东省环境保护条例》第六十八条</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企业事业单位和其他生产经营者有下列行为之一，受到罚款处罚，经责令改正拒不改正的，作出处罚决定的行政机关可以自责令改正决定送达之次日起，按照原处罚数额按日连续处罚：</w:t>
            </w:r>
          </w:p>
          <w:p>
            <w:pPr>
              <w:snapToGrid w:val="0"/>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highlight w:val="none"/>
              </w:rPr>
              <w:t>（四）依法应当进行环境影响评价审批的建设项目，未经审批即开工建设的。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6</w:t>
            </w:r>
          </w:p>
        </w:tc>
        <w:tc>
          <w:tcPr>
            <w:tcW w:w="2693" w:type="dxa"/>
            <w:vAlign w:val="center"/>
          </w:tcPr>
          <w:p>
            <w:pPr>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对危险废物未采取相应防范措施，造成危险废物渗漏或者造成其他环境污染，经责令改正拒不改正的</w:t>
            </w:r>
          </w:p>
        </w:tc>
        <w:tc>
          <w:tcPr>
            <w:tcW w:w="9639" w:type="dxa"/>
            <w:vAlign w:val="center"/>
          </w:tcPr>
          <w:p>
            <w:pPr>
              <w:snapToGrid w:val="0"/>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《山东省环境保护条例》第六十八条</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企业事业单位和其他生产经营者有下列行为之一，受到罚款处罚，经责令改正拒不改正的，作出处罚决定的行政机关可以自责令改正决定送达之次日起，按照原处罚数额按日连续处罚：</w:t>
            </w:r>
          </w:p>
          <w:p>
            <w:pPr>
              <w:snapToGrid w:val="0"/>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highlight w:val="none"/>
              </w:rPr>
              <w:t>（五）对危险废物未采取相应防范措施，造成危险废物渗漏或者造成其他环境污染的。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7</w:t>
            </w:r>
          </w:p>
        </w:tc>
        <w:tc>
          <w:tcPr>
            <w:tcW w:w="2693" w:type="dxa"/>
            <w:vAlign w:val="center"/>
          </w:tcPr>
          <w:p>
            <w:pPr>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违反放射性污染防治规定，生产、销售、使用、转让、进口、贮存放射性同位素或者射线装置，经责令改正拒不改正的</w:t>
            </w:r>
          </w:p>
        </w:tc>
        <w:tc>
          <w:tcPr>
            <w:tcW w:w="9639" w:type="dxa"/>
            <w:vAlign w:val="center"/>
          </w:tcPr>
          <w:p>
            <w:pPr>
              <w:snapToGrid w:val="0"/>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《山东省环境保护条例》第六十八条</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企业事业单位和其他生产经营者有下列行为之一，受到罚款处罚，经责令改正拒不改正的，作出处罚决定的行政机关可以自责令改正决定送达之次日起，按照原处罚数额按日连续处罚：</w:t>
            </w:r>
          </w:p>
          <w:p>
            <w:pPr>
              <w:snapToGrid w:val="0"/>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highlight w:val="none"/>
              </w:rPr>
              <w:t>（六）违反放射性污染防治规定，生产、销售、使用、转让、进口、贮存放射性同位素或者射线装置的。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8</w:t>
            </w:r>
          </w:p>
        </w:tc>
        <w:tc>
          <w:tcPr>
            <w:tcW w:w="2693" w:type="dxa"/>
            <w:vAlign w:val="center"/>
          </w:tcPr>
          <w:p>
            <w:pPr>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建筑施工或者贮存易产生扬尘的物料未采取有效措施防治扬尘污染，被责令改正，拒不改正的</w:t>
            </w:r>
          </w:p>
        </w:tc>
        <w:tc>
          <w:tcPr>
            <w:tcW w:w="9639" w:type="dxa"/>
            <w:vAlign w:val="center"/>
          </w:tcPr>
          <w:p>
            <w:pPr>
              <w:snapToGrid w:val="0"/>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《中华人民共和国大气污染防治法》第一百二十三条</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违反本法规定，企业事业单位和其他生产经营者有下列行为之一，受到罚款处罚，被责令改正，拒不改正的，依法作出处罚决定的行政机关可以自责令改正之日的次日起，按照原处罚数额按日连续处罚：</w:t>
            </w:r>
          </w:p>
          <w:p>
            <w:pPr>
              <w:snapToGrid w:val="0"/>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highlight w:val="none"/>
              </w:rPr>
              <w:t>（四）建筑施工或者贮存易产生扬尘的物料未采取有效措施防治扬尘污染的。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9</w:t>
            </w:r>
          </w:p>
        </w:tc>
        <w:tc>
          <w:tcPr>
            <w:tcW w:w="2693" w:type="dxa"/>
            <w:vAlign w:val="center"/>
          </w:tcPr>
          <w:p>
            <w:pPr>
              <w:rPr>
                <w:rFonts w:ascii="Times New Roman" w:hAnsi="Times New Roman" w:eastAsia="仿宋_GB2312" w:cs="Times New Roman"/>
                <w:highlight w:val="none"/>
              </w:rPr>
            </w:pPr>
            <w:r>
              <w:rPr>
                <w:rFonts w:hint="eastAsia" w:ascii="Times New Roman" w:hAnsi="Times New Roman" w:eastAsia="仿宋_GB2312" w:cs="仿宋_GB2312"/>
                <w:highlight w:val="none"/>
              </w:rPr>
              <w:t>建设单位未依法报批建设项目环境影响报告书、报告表或者建设项目环境影响报告书、报告表未经批准，擅自开工建设，被责令改正</w:t>
            </w:r>
          </w:p>
          <w:p>
            <w:pPr>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拒不改正的</w:t>
            </w:r>
          </w:p>
        </w:tc>
        <w:tc>
          <w:tcPr>
            <w:tcW w:w="9639" w:type="dxa"/>
            <w:vAlign w:val="center"/>
          </w:tcPr>
          <w:p>
            <w:pPr>
              <w:snapToGrid w:val="0"/>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《山东省大气污染防治条例》第六十八条</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违反本条例规定，建设单位未依法报批建设项目环境影响报告书、报告表或者建设项目环境影响报告书、报告表未经批准，擅自开工建设的，由县级以上人民政府生态环境主管部门责令停止建设，根据违法情节和危害后果，处建设项目总投资额百分之一以上百分之五以下的罚款，并可以责令恢复原状；拒不停止建设的，依法作出处罚决定的生态环境主管部门可以自责令停止建设之日的次日起，按照原处罚数额按日连续处罚；对建设单位直接负责的主管人员和其他直接责任人员，依法给予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10</w:t>
            </w:r>
          </w:p>
        </w:tc>
        <w:tc>
          <w:tcPr>
            <w:tcW w:w="2693" w:type="dxa"/>
            <w:vAlign w:val="center"/>
          </w:tcPr>
          <w:p>
            <w:pPr>
              <w:rPr>
                <w:rFonts w:ascii="Times New Roman" w:hAnsi="Times New Roman" w:eastAsia="仿宋_GB2312" w:cs="Times New Roman"/>
                <w:highlight w:val="none"/>
              </w:rPr>
            </w:pPr>
            <w:r>
              <w:rPr>
                <w:rFonts w:hint="eastAsia" w:ascii="Times New Roman" w:hAnsi="Times New Roman" w:eastAsia="仿宋_GB2312" w:cs="仿宋_GB2312"/>
                <w:highlight w:val="none"/>
              </w:rPr>
              <w:t>排污单位未按照规定对不经过排气筒集中排放的大气污染物采取必要的污染防治措施，被责令改正拒不</w:t>
            </w:r>
          </w:p>
          <w:p>
            <w:pPr>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改正的</w:t>
            </w:r>
          </w:p>
        </w:tc>
        <w:tc>
          <w:tcPr>
            <w:tcW w:w="9639" w:type="dxa"/>
            <w:vAlign w:val="center"/>
          </w:tcPr>
          <w:p>
            <w:pPr>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《山东省大气污染防治条例》第七十二条</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违反本条例规定，有下列行为之一的，由县级以上人民政府生态环境主管部门责令改正，处二万元以上二十万元以下的罚款；拒不改正的，责令停产整治：</w:t>
            </w:r>
          </w:p>
          <w:p>
            <w:pPr>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highlight w:val="none"/>
              </w:rPr>
              <w:t>（一）排污单位未按照规定对不经过排气筒集中排放的大气污染物采取必要的污染防治措施的。</w:t>
            </w:r>
          </w:p>
          <w:p>
            <w:pPr>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highlight w:val="none"/>
              </w:rPr>
              <w:t>排污单位有前款第一项、第三项规定行为，受到罚款处罚，经责令改正拒不改正的，作出处罚决定的行政机关可以自责令改正之日的次日起，按照原处罚数额按日连续处罚。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11</w:t>
            </w:r>
          </w:p>
        </w:tc>
        <w:tc>
          <w:tcPr>
            <w:tcW w:w="2693" w:type="dxa"/>
            <w:vAlign w:val="center"/>
          </w:tcPr>
          <w:p>
            <w:pPr>
              <w:rPr>
                <w:rFonts w:ascii="Times New Roman" w:hAnsi="Times New Roman" w:eastAsia="仿宋_GB2312" w:cs="Times New Roman"/>
                <w:highlight w:val="none"/>
              </w:rPr>
            </w:pPr>
            <w:r>
              <w:rPr>
                <w:rFonts w:hint="eastAsia" w:ascii="Times New Roman" w:hAnsi="Times New Roman" w:eastAsia="仿宋_GB2312" w:cs="仿宋_GB2312"/>
                <w:highlight w:val="none"/>
              </w:rPr>
              <w:t>从事产生含挥发性有机物废气的活动，未按照规定采取必要的污染防治措施，经</w:t>
            </w:r>
          </w:p>
          <w:p>
            <w:pPr>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责令改正拒不改正的</w:t>
            </w:r>
          </w:p>
        </w:tc>
        <w:tc>
          <w:tcPr>
            <w:tcW w:w="9639" w:type="dxa"/>
            <w:vAlign w:val="center"/>
          </w:tcPr>
          <w:p>
            <w:pPr>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《山东省大气污染防治条例》第七十二条</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违反本条例规定，有下列行为之一的，由县级以上人民政府生态环境主管部门责令改正，处二万元以上二十万元以下的罚款；拒不改正的，责令停产整治：</w:t>
            </w:r>
          </w:p>
          <w:p>
            <w:pPr>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highlight w:val="none"/>
              </w:rPr>
              <w:t>（三）从事产生含挥发性有机物废气的活动，未按照规定采取必要的污染防治措施的。</w:t>
            </w:r>
          </w:p>
          <w:p>
            <w:pPr>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highlight w:val="none"/>
              </w:rPr>
              <w:t>排污单位有前款第一项、第三项规定行为，受到罚款处罚，经责令改正拒不改正的，作出处罚决定的行政机关可以自责令改正之日的次日起，按照原处罚数额按日连续处罚。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12</w:t>
            </w:r>
          </w:p>
        </w:tc>
        <w:tc>
          <w:tcPr>
            <w:tcW w:w="2693" w:type="dxa"/>
            <w:vAlign w:val="center"/>
          </w:tcPr>
          <w:p>
            <w:pPr>
              <w:rPr>
                <w:rFonts w:ascii="Times New Roman" w:hAnsi="Times New Roman" w:eastAsia="仿宋_GB2312" w:cs="Times New Roman"/>
                <w:highlight w:val="none"/>
              </w:rPr>
            </w:pPr>
            <w:r>
              <w:rPr>
                <w:rFonts w:hint="eastAsia" w:ascii="Times New Roman" w:hAnsi="Times New Roman" w:eastAsia="仿宋_GB2312" w:cs="仿宋_GB2312"/>
                <w:highlight w:val="none"/>
              </w:rPr>
              <w:t>钢铁、火电、建材、焦化等企业和港口、码头、车站的物料堆放场所，未按照规定采取措施防治扬尘污染，经</w:t>
            </w:r>
          </w:p>
          <w:p>
            <w:pPr>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责令改正拒不改正的</w:t>
            </w:r>
          </w:p>
        </w:tc>
        <w:tc>
          <w:tcPr>
            <w:tcW w:w="9639" w:type="dxa"/>
            <w:vAlign w:val="center"/>
          </w:tcPr>
          <w:p>
            <w:pPr>
              <w:snapToGrid w:val="0"/>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《山东省大气污染防治条例》第七十七条</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违反本条例规定，有下列行为之一的，由县级以上人民政府生态环境主管部门或者其他负有监督管理职责的部门责令改正，处一万元以上十万元以下的罚款；拒不改正的，责令停工整治、停产整治或者停业整治，依法作出处罚决定的部门可以自责令改正之日的次日起，按照原处罚数额按日连续处罚：</w:t>
            </w:r>
          </w:p>
          <w:p>
            <w:pPr>
              <w:snapToGrid w:val="0"/>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highlight w:val="none"/>
              </w:rPr>
              <w:t>（一）钢铁、火电、建材、焦化等企业和港口、码头、车站的物料堆放场所，未按照规定采取措施防治扬尘污染的。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13</w:t>
            </w:r>
          </w:p>
        </w:tc>
        <w:tc>
          <w:tcPr>
            <w:tcW w:w="2693" w:type="dxa"/>
            <w:vAlign w:val="center"/>
          </w:tcPr>
          <w:p>
            <w:pPr>
              <w:rPr>
                <w:rFonts w:ascii="Times New Roman" w:hAnsi="Times New Roman" w:eastAsia="仿宋_GB2312" w:cs="Times New Roman"/>
                <w:highlight w:val="none"/>
              </w:rPr>
            </w:pPr>
            <w:r>
              <w:rPr>
                <w:rFonts w:hint="eastAsia" w:ascii="Times New Roman" w:hAnsi="Times New Roman" w:eastAsia="仿宋_GB2312" w:cs="仿宋_GB2312"/>
                <w:highlight w:val="none"/>
              </w:rPr>
              <w:t>垃圾填埋场和建筑垃圾消纳场未按照规定采取措施防治扬尘污染，经责令改正</w:t>
            </w:r>
          </w:p>
          <w:p>
            <w:pPr>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拒不改正的</w:t>
            </w:r>
          </w:p>
        </w:tc>
        <w:tc>
          <w:tcPr>
            <w:tcW w:w="9639" w:type="dxa"/>
            <w:vAlign w:val="center"/>
          </w:tcPr>
          <w:p>
            <w:pPr>
              <w:snapToGrid w:val="0"/>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《山东省大气污染防治条例》第七十七条</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违反本条例规定，有下列行为之一的，由县级以上人民政府生态环境主管部门或者其他负有监督管理职责的部门责令改正，处一万元以上十万元以下的罚款；拒不改正的，责令停工整治、停产整治或者停业整治，依法作出处罚决定的部门可以自责令改正之日的次日起，按照原处罚数额按日连续处罚：</w:t>
            </w:r>
          </w:p>
          <w:p>
            <w:pPr>
              <w:snapToGrid w:val="0"/>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highlight w:val="none"/>
              </w:rPr>
              <w:t>（二）垃圾填埋场和建筑垃圾消纳场未按照规定采取措施防治扬尘污染的。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14</w:t>
            </w:r>
          </w:p>
        </w:tc>
        <w:tc>
          <w:tcPr>
            <w:tcW w:w="2693" w:type="dxa"/>
            <w:vAlign w:val="center"/>
          </w:tcPr>
          <w:p>
            <w:pPr>
              <w:rPr>
                <w:rFonts w:ascii="Times New Roman" w:hAnsi="Times New Roman" w:eastAsia="仿宋_GB2312" w:cs="Times New Roman"/>
                <w:highlight w:val="none"/>
              </w:rPr>
            </w:pPr>
            <w:r>
              <w:rPr>
                <w:rFonts w:hint="eastAsia" w:ascii="Times New Roman" w:hAnsi="Times New Roman" w:eastAsia="仿宋_GB2312" w:cs="仿宋_GB2312"/>
                <w:highlight w:val="none"/>
              </w:rPr>
              <w:t>在禁止区域内从事砂、石、粘土开采和加工等易产生扬尘污染活动，经责令改正</w:t>
            </w:r>
          </w:p>
          <w:p>
            <w:pPr>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拒不改正的</w:t>
            </w:r>
          </w:p>
        </w:tc>
        <w:tc>
          <w:tcPr>
            <w:tcW w:w="9639" w:type="dxa"/>
            <w:vAlign w:val="center"/>
          </w:tcPr>
          <w:p>
            <w:pPr>
              <w:snapToGrid w:val="0"/>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《山东省大气污染防治条例》第七十七条</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违反本条例规定，有下列行为之一的，由县级以上人民政府生态环境主管部门或者其他负有监督管理职责的部门责令改正，处一万元以上十万元以下的罚款；拒不改正的，责令停工整治、停产整治或者停业整治，依法作出处罚决定的部门可以自责令改正之日的次日起，按照原处罚数额按日连续处罚：</w:t>
            </w:r>
          </w:p>
          <w:p>
            <w:pPr>
              <w:snapToGrid w:val="0"/>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highlight w:val="none"/>
              </w:rPr>
              <w:t>（三）在禁止区域内从事砂、石、粘土开采和加工等易产生扬尘污染活动的。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15</w:t>
            </w:r>
          </w:p>
        </w:tc>
        <w:tc>
          <w:tcPr>
            <w:tcW w:w="2693" w:type="dxa"/>
            <w:vAlign w:val="center"/>
          </w:tcPr>
          <w:p>
            <w:pPr>
              <w:rPr>
                <w:rFonts w:ascii="Times New Roman" w:hAnsi="Times New Roman" w:eastAsia="仿宋_GB2312" w:cs="Times New Roman"/>
                <w:highlight w:val="none"/>
              </w:rPr>
            </w:pPr>
            <w:r>
              <w:rPr>
                <w:rFonts w:hint="eastAsia" w:ascii="Times New Roman" w:hAnsi="Times New Roman" w:eastAsia="仿宋_GB2312" w:cs="仿宋_GB2312"/>
                <w:highlight w:val="none"/>
              </w:rPr>
              <w:t>违法排放水污染物，受到罚款处罚，被责令改正的，复查发现其继续违法排放水污染物或者拒绝、阻挠复查</w:t>
            </w:r>
          </w:p>
          <w:p>
            <w:pPr>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的</w:t>
            </w:r>
          </w:p>
        </w:tc>
        <w:tc>
          <w:tcPr>
            <w:tcW w:w="9639" w:type="dxa"/>
            <w:vAlign w:val="center"/>
          </w:tcPr>
          <w:p>
            <w:pPr>
              <w:ind w:firstLine="420" w:firstLineChars="200"/>
              <w:rPr>
                <w:rFonts w:ascii="Times New Roman" w:hAnsi="Times New Roman" w:eastAsia="仿宋_GB2312" w:cs="Times New Roman"/>
                <w:b/>
                <w:bCs/>
                <w:highlight w:val="none"/>
              </w:rPr>
            </w:pPr>
            <w:r>
              <w:rPr>
                <w:rFonts w:hint="eastAsia" w:ascii="Times New Roman" w:hAnsi="Times New Roman" w:eastAsia="仿宋_GB2312" w:cs="仿宋_GB2312"/>
                <w:b/>
                <w:bCs/>
                <w:highlight w:val="none"/>
              </w:rPr>
              <w:t>《中华人民共和国水污染防治法》第九十五条</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企业事业单位和其他生产经营者违法排放水污染物，受到罚款处罚，被责令改正的，依法作出处罚决定的行政机关应当组织复查，发现其继续违法排放水污染物或者拒绝、阻挠复查的，依照《中华人民共和国环境保护法》的规定按日连续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16</w:t>
            </w:r>
          </w:p>
        </w:tc>
        <w:tc>
          <w:tcPr>
            <w:tcW w:w="2693" w:type="dxa"/>
            <w:vAlign w:val="center"/>
          </w:tcPr>
          <w:p>
            <w:pPr>
              <w:rPr>
                <w:rFonts w:ascii="Times New Roman" w:hAnsi="Times New Roman" w:eastAsia="仿宋_GB2312" w:cs="Times New Roman"/>
                <w:highlight w:val="none"/>
              </w:rPr>
            </w:pPr>
            <w:r>
              <w:rPr>
                <w:rFonts w:hint="eastAsia" w:ascii="Times New Roman" w:hAnsi="Times New Roman" w:eastAsia="仿宋_GB2312" w:cs="仿宋_GB2312"/>
                <w:highlight w:val="none"/>
              </w:rPr>
              <w:t>新建、改建、扩建直接或者间接向水体排放污染物的建设项目和其他水上设施，未依法进行环境影响评价，被责令改正，拒不改正的</w:t>
            </w:r>
          </w:p>
        </w:tc>
        <w:tc>
          <w:tcPr>
            <w:tcW w:w="9639" w:type="dxa"/>
            <w:vAlign w:val="center"/>
          </w:tcPr>
          <w:p>
            <w:pPr>
              <w:snapToGrid w:val="0"/>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《山东省水污染防治条例》第八十八条</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违反本条例规定，排污单位有下列情形之一，受到罚款处罚，被责令改正，拒不改正的，依法作出罚款处罚决定的环境保护主管部门可以实施按日连续处罚：</w:t>
            </w:r>
          </w:p>
          <w:p>
            <w:pPr>
              <w:snapToGrid w:val="0"/>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highlight w:val="none"/>
              </w:rPr>
              <w:t>（三）新建、改建、扩建直接或者间接向水体排放污染物的建设项目和其他水上设施，未依法进行环境影响评价的。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17</w:t>
            </w:r>
          </w:p>
        </w:tc>
        <w:tc>
          <w:tcPr>
            <w:tcW w:w="2693" w:type="dxa"/>
            <w:vAlign w:val="center"/>
          </w:tcPr>
          <w:p>
            <w:pPr>
              <w:rPr>
                <w:rFonts w:ascii="Times New Roman" w:hAnsi="Times New Roman" w:eastAsia="仿宋_GB2312" w:cs="Times New Roman"/>
                <w:highlight w:val="none"/>
              </w:rPr>
            </w:pPr>
            <w:r>
              <w:rPr>
                <w:rFonts w:hint="eastAsia" w:ascii="Times New Roman" w:hAnsi="Times New Roman" w:eastAsia="仿宋_GB2312" w:cs="仿宋_GB2312"/>
                <w:highlight w:val="none"/>
              </w:rPr>
              <w:t>未按照规定进行预处理，向污水集中处理设施排放不符合要求的工业废水，被责</w:t>
            </w:r>
          </w:p>
          <w:p>
            <w:pPr>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令改正，拒不改正的</w:t>
            </w:r>
          </w:p>
        </w:tc>
        <w:tc>
          <w:tcPr>
            <w:tcW w:w="9639" w:type="dxa"/>
            <w:vAlign w:val="center"/>
          </w:tcPr>
          <w:p>
            <w:pPr>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《山东省水污染防治条例》第八十八条</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违反本条例规定，排污单位有下列情形之一，受到罚款处罚，被责令改正，拒不改正的，依法作出罚款处罚决定的环境保护主管部门可以实施按日连续处罚：</w:t>
            </w:r>
          </w:p>
          <w:p>
            <w:pPr>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highlight w:val="none"/>
              </w:rPr>
              <w:t>（五）未按照规定进行预处理，向污水集中处理设施排放不符合要求的工业废水的。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18</w:t>
            </w:r>
          </w:p>
        </w:tc>
        <w:tc>
          <w:tcPr>
            <w:tcW w:w="2693" w:type="dxa"/>
            <w:vAlign w:val="center"/>
          </w:tcPr>
          <w:p>
            <w:pPr>
              <w:rPr>
                <w:rFonts w:ascii="Times New Roman" w:hAnsi="Times New Roman" w:eastAsia="仿宋_GB2312" w:cs="Times New Roman"/>
                <w:highlight w:val="none"/>
              </w:rPr>
            </w:pPr>
            <w:r>
              <w:rPr>
                <w:rFonts w:hint="eastAsia" w:ascii="Times New Roman" w:hAnsi="Times New Roman" w:eastAsia="仿宋_GB2312" w:cs="仿宋_GB2312"/>
                <w:highlight w:val="none"/>
              </w:rPr>
              <w:t>违反规定排放固体废物，受到罚款处罚，被责令改正的，复查发现其继续实施该违法行为或者拒绝、阻挠复</w:t>
            </w:r>
          </w:p>
          <w:p>
            <w:pPr>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查的</w:t>
            </w:r>
          </w:p>
        </w:tc>
        <w:tc>
          <w:tcPr>
            <w:tcW w:w="9639" w:type="dxa"/>
            <w:vAlign w:val="center"/>
          </w:tcPr>
          <w:p>
            <w:pPr>
              <w:ind w:firstLine="420" w:firstLineChars="200"/>
              <w:rPr>
                <w:rFonts w:ascii="Times New Roman" w:hAnsi="Times New Roman" w:eastAsia="仿宋_GB2312" w:cs="Times New Roman"/>
                <w:b/>
                <w:bCs/>
                <w:highlight w:val="none"/>
              </w:rPr>
            </w:pPr>
            <w:r>
              <w:rPr>
                <w:rFonts w:hint="eastAsia" w:ascii="Times New Roman" w:hAnsi="Times New Roman" w:eastAsia="仿宋_GB2312" w:cs="仿宋_GB2312"/>
                <w:b/>
                <w:bCs/>
                <w:highlight w:val="none"/>
              </w:rPr>
              <w:t>《中华人民共和国固体废物污染环境防治法》第九十七条</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企业事业单位和其他生产经营者违反本法规定排放固体废物，受到罚款处罚，被责令改正的，依法作出处罚决定的行政机关应当组织复查，发现其继续实施该违法行为或者拒绝、阻挠复查的，依照《中华人民共和国环境保护法》的规定按日连续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19</w:t>
            </w:r>
          </w:p>
        </w:tc>
        <w:tc>
          <w:tcPr>
            <w:tcW w:w="2693" w:type="dxa"/>
            <w:vAlign w:val="center"/>
          </w:tcPr>
          <w:p>
            <w:pPr>
              <w:rPr>
                <w:rFonts w:ascii="Times New Roman" w:hAnsi="Times New Roman" w:eastAsia="仿宋_GB2312" w:cs="Times New Roman"/>
                <w:highlight w:val="none"/>
              </w:rPr>
            </w:pPr>
            <w:r>
              <w:rPr>
                <w:rFonts w:hint="eastAsia" w:ascii="Times New Roman" w:hAnsi="Times New Roman" w:eastAsia="仿宋_GB2312" w:cs="仿宋_GB2312"/>
                <w:highlight w:val="none"/>
              </w:rPr>
              <w:t>违反规定，向海域排放本法禁止排放的污染物或者其他物质，被责令改正，拒不</w:t>
            </w:r>
          </w:p>
          <w:p>
            <w:pPr>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改正的</w:t>
            </w:r>
          </w:p>
        </w:tc>
        <w:tc>
          <w:tcPr>
            <w:tcW w:w="9639" w:type="dxa"/>
            <w:vAlign w:val="center"/>
          </w:tcPr>
          <w:p>
            <w:pPr>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《中华人民共和国海洋环境保护法》第七十三条</w:t>
            </w:r>
            <w:r>
              <w:rPr>
                <w:rFonts w:ascii="Times New Roman" w:hAnsi="Times New Roman" w:eastAsia="仿宋_GB2312" w:cs="Times New Roman"/>
                <w:b/>
                <w:bCs/>
                <w:highlight w:val="none"/>
              </w:rPr>
              <w:t xml:space="preserve"> </w:t>
            </w:r>
            <w:r>
              <w:rPr>
                <w:rFonts w:hint="eastAsia" w:ascii="Times New Roman" w:hAnsi="Times New Roman" w:eastAsia="仿宋_GB2312" w:cs="仿宋_GB2312"/>
                <w:highlight w:val="none"/>
              </w:rPr>
              <w:t>违反本法有关规定，有下列行为之一的，由依照本法规定行使海洋环境监督管理权的部门责令停止违法行为、限期改正或者责令采取限制生产、停产整治等措施，并处以罚款；拒不改正的，依法作出处罚决定的部门可以自责令改正之日的次日起，按照原罚款数额按日连续处罚；情节严重的，报经有批准权的人民政府批准，责令停业、关闭：</w:t>
            </w:r>
          </w:p>
          <w:p>
            <w:pPr>
              <w:ind w:firstLine="420" w:firstLineChars="200"/>
              <w:rPr>
                <w:rFonts w:ascii="Times New Roman" w:hAnsi="Times New Roman" w:eastAsia="仿宋_GB2312" w:cs="Times New Roman"/>
                <w:b/>
                <w:bCs/>
                <w:highlight w:val="none"/>
              </w:rPr>
            </w:pPr>
            <w:r>
              <w:rPr>
                <w:rFonts w:hint="eastAsia" w:ascii="Times New Roman" w:hAnsi="Times New Roman" w:eastAsia="仿宋_GB2312" w:cs="仿宋_GB2312"/>
                <w:highlight w:val="none"/>
              </w:rPr>
              <w:t>（一）向海域排放本法禁止排放的污染物或者其他物质的。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20</w:t>
            </w:r>
          </w:p>
        </w:tc>
        <w:tc>
          <w:tcPr>
            <w:tcW w:w="2693" w:type="dxa"/>
            <w:vAlign w:val="center"/>
          </w:tcPr>
          <w:p>
            <w:pPr>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违反规定，不按照本法规定向海洋排放污染物，或者超过标准、总量控制指标排放污染物，被责令改正，拒不改正的</w:t>
            </w:r>
          </w:p>
        </w:tc>
        <w:tc>
          <w:tcPr>
            <w:tcW w:w="9639" w:type="dxa"/>
            <w:vAlign w:val="center"/>
          </w:tcPr>
          <w:p>
            <w:pPr>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b/>
                <w:bCs/>
                <w:color w:val="000000"/>
                <w:highlight w:val="none"/>
              </w:rPr>
              <w:t>《中华人民共和国海洋环境保护法》第七十三条</w:t>
            </w:r>
            <w:r>
              <w:rPr>
                <w:rFonts w:ascii="Times New Roman" w:hAnsi="Times New Roman" w:eastAsia="仿宋_GB2312" w:cs="Times New Roman"/>
                <w:b/>
                <w:bCs/>
                <w:color w:val="000000"/>
                <w:highlight w:val="none"/>
              </w:rPr>
              <w:t xml:space="preserve"> </w:t>
            </w:r>
            <w:r>
              <w:rPr>
                <w:rFonts w:hint="eastAsia" w:ascii="Times New Roman" w:hAnsi="Times New Roman" w:eastAsia="仿宋_GB2312" w:cs="仿宋_GB2312"/>
                <w:highlight w:val="none"/>
              </w:rPr>
              <w:t>违反本法有关规定，有下列行为之一的，由依照本法规定行使海洋环境监督管理权的部门责令停止违法行为、限期改正或者责令采取限制生产、停产整治等措施，并处以罚款；拒不改正的，依法作出处罚决定的部门可以自责令改正之日的次日起，按照原罚款数额按日连续处罚；情节严重的，报经有批准权的人民政府批准，责令停业、关闭：</w:t>
            </w:r>
          </w:p>
          <w:p>
            <w:pPr>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highlight w:val="none"/>
              </w:rPr>
              <w:t>（二）不按照本法规定向海洋排放污染物，或者超过标准、总量控制指标排放污染物的。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widowControl/>
              <w:jc w:val="center"/>
              <w:rPr>
                <w:rFonts w:ascii="Times New Roman" w:hAnsi="Times New Roman" w:eastAsia="等线" w:cs="Times New Roman"/>
                <w:color w:val="000000"/>
                <w:kern w:val="0"/>
                <w:sz w:val="22"/>
                <w:highlight w:val="none"/>
              </w:rPr>
            </w:pPr>
            <w:r>
              <w:rPr>
                <w:rFonts w:ascii="Times New Roman" w:hAnsi="Times New Roman" w:eastAsia="等线" w:cs="Times New Roman"/>
                <w:color w:val="000000"/>
                <w:sz w:val="22"/>
                <w:szCs w:val="22"/>
                <w:highlight w:val="none"/>
              </w:rPr>
              <w:t>21</w:t>
            </w:r>
          </w:p>
        </w:tc>
        <w:tc>
          <w:tcPr>
            <w:tcW w:w="2693" w:type="dxa"/>
            <w:tcBorders>
              <w:left w:val="nil"/>
            </w:tcBorders>
            <w:vAlign w:val="center"/>
          </w:tcPr>
          <w:p>
            <w:pPr>
              <w:rPr>
                <w:rFonts w:ascii="Times New Roman" w:hAnsi="Times New Roman" w:eastAsia="仿宋_GB2312" w:cs="Times New Roman"/>
                <w:highlight w:val="none"/>
              </w:rPr>
            </w:pPr>
            <w:r>
              <w:rPr>
                <w:rFonts w:hint="eastAsia" w:ascii="Times New Roman" w:hAnsi="Times New Roman" w:eastAsia="仿宋_GB2312" w:cs="仿宋_GB2312"/>
                <w:highlight w:val="none"/>
              </w:rPr>
              <w:t>违反规定，未取得海洋倾倒许可证，向海洋倾倒废弃物，被责令改正，拒不改正</w:t>
            </w:r>
          </w:p>
          <w:p>
            <w:pPr>
              <w:jc w:val="center"/>
              <w:rPr>
                <w:rFonts w:ascii="Times New Roman" w:hAnsi="Times New Roman" w:eastAsia="等线" w:cs="Times New Roman"/>
                <w:color w:val="000000"/>
                <w:sz w:val="22"/>
                <w:highlight w:val="none"/>
              </w:rPr>
            </w:pPr>
            <w:r>
              <w:rPr>
                <w:rFonts w:hint="eastAsia" w:ascii="Times New Roman" w:hAnsi="Times New Roman" w:eastAsia="仿宋_GB2312" w:cs="仿宋_GB2312"/>
                <w:highlight w:val="none"/>
              </w:rPr>
              <w:t>的</w:t>
            </w:r>
          </w:p>
        </w:tc>
        <w:tc>
          <w:tcPr>
            <w:tcW w:w="9639" w:type="dxa"/>
            <w:tcBorders>
              <w:left w:val="nil"/>
            </w:tcBorders>
          </w:tcPr>
          <w:p>
            <w:pPr>
              <w:ind w:firstLine="420" w:firstLineChars="200"/>
              <w:rPr>
                <w:rFonts w:ascii="Times New Roman" w:hAnsi="Times New Roman" w:eastAsia="等线" w:cs="Times New Roman"/>
                <w:color w:val="000000"/>
                <w:sz w:val="22"/>
                <w:highlight w:val="none"/>
              </w:rPr>
            </w:pPr>
            <w:r>
              <w:rPr>
                <w:rFonts w:hint="eastAsia" w:ascii="Times New Roman" w:hAnsi="Times New Roman" w:eastAsia="仿宋_GB2312" w:cs="仿宋_GB2312"/>
                <w:b/>
                <w:bCs/>
                <w:color w:val="000000"/>
                <w:highlight w:val="none"/>
              </w:rPr>
              <w:t>《中华人民共和国海洋环境保护法》第七十三条</w:t>
            </w:r>
            <w:r>
              <w:rPr>
                <w:rFonts w:ascii="Times New Roman" w:hAnsi="Times New Roman" w:eastAsia="等线" w:cs="Times New Roman"/>
                <w:color w:val="000000"/>
                <w:sz w:val="22"/>
                <w:szCs w:val="22"/>
                <w:highlight w:val="none"/>
              </w:rPr>
              <w:t xml:space="preserve"> </w:t>
            </w:r>
            <w:r>
              <w:rPr>
                <w:rFonts w:hint="eastAsia" w:ascii="Times New Roman" w:hAnsi="Times New Roman" w:eastAsia="仿宋_GB2312" w:cs="仿宋_GB2312"/>
                <w:highlight w:val="none"/>
              </w:rPr>
              <w:t>违反本法有关规定，有下列行为之一的，由依照本法规定行使海洋环境监督管理权的部门责令停止违法行为、限期改正或者责令采取限制生产、停产整治等措施，并处以罚款；拒不改正的，依法作出处罚决定的部门可以自责令改正之日的次日起，按照原罚款数额按日连续处罚；情节严重的，报经有批准权的人民政府批准，责令停业、关闭：</w:t>
            </w:r>
          </w:p>
          <w:p>
            <w:pPr>
              <w:ind w:firstLine="440" w:firstLineChars="200"/>
              <w:rPr>
                <w:rFonts w:ascii="Times New Roman" w:hAnsi="Times New Roman" w:eastAsia="等线" w:cs="Times New Roman"/>
                <w:color w:val="000000"/>
                <w:sz w:val="22"/>
                <w:highlight w:val="none"/>
              </w:rPr>
            </w:pPr>
            <w:r>
              <w:rPr>
                <w:rFonts w:hint="eastAsia" w:ascii="Times New Roman" w:hAnsi="Times New Roman" w:eastAsia="等线" w:cs="等线"/>
                <w:color w:val="000000"/>
                <w:sz w:val="22"/>
                <w:szCs w:val="22"/>
                <w:highlight w:val="none"/>
              </w:rPr>
              <w:t>（</w:t>
            </w:r>
            <w:r>
              <w:rPr>
                <w:rFonts w:hint="eastAsia" w:ascii="Times New Roman" w:hAnsi="Times New Roman" w:eastAsia="仿宋_GB2312" w:cs="仿宋_GB2312"/>
                <w:highlight w:val="none"/>
              </w:rPr>
              <w:t>三）未取得海洋倾倒许可证，向海洋倾倒废弃物的。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widowControl/>
              <w:jc w:val="center"/>
              <w:rPr>
                <w:rFonts w:ascii="Times New Roman" w:hAnsi="Times New Roman" w:eastAsia="等线" w:cs="Times New Roman"/>
                <w:color w:val="000000"/>
                <w:kern w:val="0"/>
                <w:sz w:val="22"/>
                <w:highlight w:val="none"/>
              </w:rPr>
            </w:pPr>
            <w:r>
              <w:rPr>
                <w:rFonts w:ascii="Times New Roman" w:hAnsi="Times New Roman" w:eastAsia="等线" w:cs="Times New Roman"/>
                <w:color w:val="000000"/>
                <w:sz w:val="22"/>
                <w:szCs w:val="22"/>
                <w:highlight w:val="none"/>
              </w:rPr>
              <w:t>22</w:t>
            </w:r>
          </w:p>
        </w:tc>
        <w:tc>
          <w:tcPr>
            <w:tcW w:w="2693" w:type="dxa"/>
            <w:tcBorders>
              <w:left w:val="nil"/>
            </w:tcBorders>
            <w:vAlign w:val="center"/>
          </w:tcPr>
          <w:p>
            <w:pPr>
              <w:rPr>
                <w:rFonts w:ascii="Times New Roman" w:hAnsi="Times New Roman" w:eastAsia="仿宋_GB2312" w:cs="Times New Roman"/>
                <w:highlight w:val="none"/>
              </w:rPr>
            </w:pPr>
            <w:r>
              <w:rPr>
                <w:rFonts w:hint="eastAsia" w:ascii="Times New Roman" w:hAnsi="Times New Roman" w:eastAsia="仿宋_GB2312" w:cs="仿宋_GB2312"/>
                <w:highlight w:val="none"/>
              </w:rPr>
              <w:t>违反规定，因发生事故或者其他突发性事件，造成海洋环境污染事故，不立即采取处理措施，被责令改正，</w:t>
            </w:r>
          </w:p>
          <w:p>
            <w:pPr>
              <w:jc w:val="center"/>
              <w:rPr>
                <w:rFonts w:ascii="Times New Roman" w:hAnsi="Times New Roman" w:eastAsia="等线" w:cs="Times New Roman"/>
                <w:color w:val="000000"/>
                <w:sz w:val="22"/>
                <w:highlight w:val="none"/>
              </w:rPr>
            </w:pPr>
            <w:r>
              <w:rPr>
                <w:rFonts w:hint="eastAsia" w:ascii="Times New Roman" w:hAnsi="Times New Roman" w:eastAsia="仿宋_GB2312" w:cs="仿宋_GB2312"/>
                <w:highlight w:val="none"/>
              </w:rPr>
              <w:t>拒不改正的</w:t>
            </w:r>
          </w:p>
        </w:tc>
        <w:tc>
          <w:tcPr>
            <w:tcW w:w="9639" w:type="dxa"/>
            <w:tcBorders>
              <w:left w:val="nil"/>
            </w:tcBorders>
          </w:tcPr>
          <w:p>
            <w:pPr>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b/>
                <w:bCs/>
                <w:color w:val="000000"/>
                <w:highlight w:val="none"/>
              </w:rPr>
              <w:t>《中华人民共和国海洋环境保护法》第七十三条</w:t>
            </w:r>
            <w:r>
              <w:rPr>
                <w:rFonts w:ascii="Times New Roman" w:hAnsi="Times New Roman" w:eastAsia="仿宋_GB2312" w:cs="Times New Roman"/>
                <w:b/>
                <w:bCs/>
                <w:color w:val="000000"/>
                <w:highlight w:val="none"/>
              </w:rPr>
              <w:t xml:space="preserve"> </w:t>
            </w:r>
            <w:r>
              <w:rPr>
                <w:rFonts w:hint="eastAsia" w:ascii="Times New Roman" w:hAnsi="Times New Roman" w:eastAsia="仿宋_GB2312" w:cs="仿宋_GB2312"/>
                <w:highlight w:val="none"/>
              </w:rPr>
              <w:t>违反本法有关规定，有下列行为之一的，由依照本法规定行使海洋环境监督管理权的部门责令停止违法行为、限期改正或者责令采取限制生产、停产整治等措施，并处以罚款；拒不改正的，依法作出处罚决定的部门可以自责令改正之日的次日起，按照原罚款数额按日连续处罚；情节严重的，报经有批准权的人民政府批准，责令停业、关闭：</w:t>
            </w:r>
          </w:p>
          <w:p>
            <w:pPr>
              <w:ind w:firstLine="420" w:firstLineChars="200"/>
              <w:rPr>
                <w:rFonts w:ascii="Times New Roman" w:hAnsi="Times New Roman" w:eastAsia="等线" w:cs="Times New Roman"/>
                <w:color w:val="000000"/>
                <w:sz w:val="22"/>
                <w:highlight w:val="none"/>
              </w:rPr>
            </w:pPr>
            <w:r>
              <w:rPr>
                <w:rFonts w:hint="eastAsia" w:ascii="Times New Roman" w:hAnsi="Times New Roman" w:eastAsia="仿宋_GB2312" w:cs="仿宋_GB2312"/>
                <w:highlight w:val="none"/>
              </w:rPr>
              <w:t>（四）因发生事故或者其他突发性事件，造成海洋环境污染事故，不立即采取处理措施的。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59" w:type="dxa"/>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23</w:t>
            </w:r>
          </w:p>
        </w:tc>
        <w:tc>
          <w:tcPr>
            <w:tcW w:w="2693" w:type="dxa"/>
            <w:vAlign w:val="center"/>
          </w:tcPr>
          <w:p>
            <w:pPr>
              <w:jc w:val="left"/>
              <w:rPr>
                <w:rFonts w:ascii="Times New Roman" w:hAnsi="Times New Roman" w:eastAsia="仿宋_GB2312" w:cs="Times New Roman"/>
                <w:highlight w:val="none"/>
              </w:rPr>
            </w:pPr>
            <w:r>
              <w:rPr>
                <w:rFonts w:hint="eastAsia" w:ascii="Times New Roman" w:hAnsi="Times New Roman" w:eastAsia="仿宋_GB2312" w:cs="仿宋_GB2312"/>
                <w:highlight w:val="none"/>
              </w:rPr>
              <w:t>排放法律、法规规定禁止排放的污染物，被责令改正</w:t>
            </w:r>
            <w:r>
              <w:rPr>
                <w:rFonts w:ascii="Times New Roman" w:hAnsi="Times New Roman" w:eastAsia="仿宋_GB2312" w:cs="Times New Roman"/>
                <w:highlight w:val="none"/>
              </w:rPr>
              <w:t>,</w:t>
            </w:r>
          </w:p>
          <w:p>
            <w:pPr>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拒不改正的</w:t>
            </w:r>
          </w:p>
        </w:tc>
        <w:tc>
          <w:tcPr>
            <w:tcW w:w="9639" w:type="dxa"/>
            <w:vAlign w:val="center"/>
          </w:tcPr>
          <w:p>
            <w:pPr>
              <w:snapToGrid w:val="0"/>
              <w:ind w:firstLine="420" w:firstLineChars="200"/>
              <w:rPr>
                <w:rFonts w:ascii="Times New Roman" w:hAnsi="Times New Roman" w:eastAsia="仿宋_GB2312" w:cs="Times New Roman"/>
                <w:highlight w:val="none"/>
              </w:rPr>
            </w:pPr>
            <w:r>
              <w:rPr>
                <w:rFonts w:ascii="Times New Roman" w:hAnsi="Times New Roman" w:eastAsia="仿宋_GB2312" w:cs="Times New Roman"/>
                <w:b/>
                <w:bCs/>
                <w:highlight w:val="none"/>
              </w:rPr>
              <w:t>1.</w:t>
            </w:r>
            <w:r>
              <w:rPr>
                <w:rFonts w:hint="eastAsia" w:ascii="Times New Roman" w:hAnsi="Times New Roman" w:eastAsia="仿宋_GB2312" w:cs="仿宋_GB2312"/>
                <w:b/>
                <w:bCs/>
                <w:highlight w:val="none"/>
              </w:rPr>
              <w:t>《环境保护主管部门实施按日连续处罚办法》第五条</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排污者有下列行为之一，受到罚款处罚，被责令改正</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拒不改正的，依法做出罚款处罚决定的环境保护主管部门可以实施按日连续处罚：</w:t>
            </w:r>
          </w:p>
          <w:p>
            <w:pPr>
              <w:snapToGrid w:val="0"/>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highlight w:val="none"/>
              </w:rPr>
              <w:t>（四）排放法律、法规规定禁止排放的污染物的。</w:t>
            </w:r>
          </w:p>
          <w:p>
            <w:pPr>
              <w:snapToGrid w:val="0"/>
              <w:ind w:firstLine="420" w:firstLineChars="200"/>
              <w:rPr>
                <w:rFonts w:ascii="Times New Roman" w:hAnsi="Times New Roman" w:eastAsia="仿宋_GB2312" w:cs="Times New Roman"/>
                <w:highlight w:val="none"/>
              </w:rPr>
            </w:pPr>
            <w:r>
              <w:rPr>
                <w:rFonts w:ascii="Times New Roman" w:hAnsi="Times New Roman" w:eastAsia="仿宋_GB2312" w:cs="Times New Roman"/>
                <w:b/>
                <w:bCs/>
                <w:highlight w:val="none"/>
              </w:rPr>
              <w:t>2.</w:t>
            </w:r>
            <w:r>
              <w:rPr>
                <w:rFonts w:hint="eastAsia" w:ascii="Times New Roman" w:hAnsi="Times New Roman" w:eastAsia="仿宋_GB2312" w:cs="仿宋_GB2312"/>
                <w:b/>
                <w:bCs/>
                <w:highlight w:val="none"/>
              </w:rPr>
              <w:t>《山东省水污染防治条例》第八十八条</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违反本条例规定，排污单位有下列情形之一，受到罚款处罚，被责令改正，拒不改正的，依法作出罚款处罚决定的环境保护主管部门可以实施按日连续处罚：</w:t>
            </w:r>
          </w:p>
          <w:p>
            <w:pPr>
              <w:snapToGrid w:val="0"/>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highlight w:val="none"/>
              </w:rPr>
              <w:t>（六）排放法律、法规规定禁止排放的水污染物的。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59" w:type="dxa"/>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24</w:t>
            </w:r>
          </w:p>
        </w:tc>
        <w:tc>
          <w:tcPr>
            <w:tcW w:w="2693" w:type="dxa"/>
            <w:vAlign w:val="center"/>
          </w:tcPr>
          <w:p>
            <w:pPr>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非法排放、倾倒、处置危险废物</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被责令改正</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拒不改正的</w:t>
            </w:r>
          </w:p>
        </w:tc>
        <w:tc>
          <w:tcPr>
            <w:tcW w:w="9639" w:type="dxa"/>
            <w:vAlign w:val="center"/>
          </w:tcPr>
          <w:p>
            <w:pPr>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《环境保护主管部门实施按日连续处罚办法》第五条</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排污者有下列行为之一，受到罚款处罚，被责令改正</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拒不改正的，依法做出罚款处罚决定的环境保护主管部门可以实施按日连续处罚：</w:t>
            </w:r>
          </w:p>
          <w:p>
            <w:pPr>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highlight w:val="none"/>
              </w:rPr>
              <w:t>（五）非法排放、倾倒、处置危险废物的。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59" w:type="dxa"/>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25</w:t>
            </w:r>
          </w:p>
        </w:tc>
        <w:tc>
          <w:tcPr>
            <w:tcW w:w="2693" w:type="dxa"/>
            <w:vAlign w:val="center"/>
          </w:tcPr>
          <w:p>
            <w:pPr>
              <w:jc w:val="center"/>
              <w:rPr>
                <w:rFonts w:ascii="Times New Roman" w:hAnsi="Times New Roman" w:eastAsia="仿宋_GB2312" w:cs="Times New Roman"/>
                <w:highlight w:val="none"/>
              </w:rPr>
            </w:pPr>
            <w:r>
              <w:rPr>
                <w:rFonts w:hint="eastAsia" w:ascii="Times New Roman" w:hAnsi="Times New Roman" w:eastAsia="仿宋_GB2312" w:cs="仿宋_GB2312"/>
                <w:highlight w:val="none"/>
              </w:rPr>
              <w:t>其他违法排放污染物行为</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被责令改正</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拒不改正的</w:t>
            </w:r>
          </w:p>
        </w:tc>
        <w:tc>
          <w:tcPr>
            <w:tcW w:w="9639" w:type="dxa"/>
            <w:vAlign w:val="center"/>
          </w:tcPr>
          <w:p>
            <w:pPr>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b/>
                <w:bCs/>
                <w:highlight w:val="none"/>
              </w:rPr>
              <w:t>《环境保护主管部门实施按日连续处罚办法》第五条</w:t>
            </w:r>
            <w:r>
              <w:rPr>
                <w:rFonts w:ascii="Times New Roman" w:hAnsi="Times New Roman" w:eastAsia="仿宋_GB2312" w:cs="Times New Roman"/>
                <w:highlight w:val="none"/>
              </w:rPr>
              <w:t xml:space="preserve"> </w:t>
            </w:r>
            <w:r>
              <w:rPr>
                <w:rFonts w:hint="eastAsia" w:ascii="Times New Roman" w:hAnsi="Times New Roman" w:eastAsia="仿宋_GB2312" w:cs="仿宋_GB2312"/>
                <w:highlight w:val="none"/>
              </w:rPr>
              <w:t>排污者有下列行为之一，受到罚款处罚，被责令改正</w:t>
            </w:r>
            <w:r>
              <w:rPr>
                <w:rFonts w:ascii="Times New Roman" w:hAnsi="Times New Roman" w:eastAsia="仿宋_GB2312" w:cs="Times New Roman"/>
                <w:highlight w:val="none"/>
              </w:rPr>
              <w:t>,</w:t>
            </w:r>
            <w:r>
              <w:rPr>
                <w:rFonts w:hint="eastAsia" w:ascii="Times New Roman" w:hAnsi="Times New Roman" w:eastAsia="仿宋_GB2312" w:cs="仿宋_GB2312"/>
                <w:highlight w:val="none"/>
              </w:rPr>
              <w:t>拒不改正的，依法做出罚款处罚决定的环境保护主管部门可以实施按日连续处罚：</w:t>
            </w:r>
          </w:p>
          <w:p>
            <w:pPr>
              <w:ind w:firstLine="420" w:firstLineChars="200"/>
              <w:rPr>
                <w:rFonts w:ascii="Times New Roman" w:hAnsi="Times New Roman" w:eastAsia="仿宋_GB2312" w:cs="Times New Roman"/>
                <w:highlight w:val="none"/>
              </w:rPr>
            </w:pPr>
            <w:r>
              <w:rPr>
                <w:rFonts w:hint="eastAsia" w:ascii="Times New Roman" w:hAnsi="Times New Roman" w:eastAsia="仿宋_GB2312" w:cs="仿宋_GB2312"/>
                <w:highlight w:val="none"/>
              </w:rPr>
              <w:t>（六）其他违法排放污染物行为。</w:t>
            </w:r>
          </w:p>
        </w:tc>
      </w:tr>
    </w:tbl>
    <w:p>
      <w:pPr>
        <w:rPr>
          <w:rFonts w:ascii="Times New Roman" w:hAnsi="Times New Roman" w:eastAsia="仿宋_GB2312" w:cs="Times New Roman"/>
          <w:sz w:val="32"/>
          <w:szCs w:val="32"/>
          <w:highlight w:val="none"/>
        </w:rPr>
        <w:sectPr>
          <w:pgSz w:w="16838" w:h="11906" w:orient="landscape"/>
          <w:pgMar w:top="1474" w:right="1985" w:bottom="1588" w:left="1701" w:header="851" w:footer="992" w:gutter="0"/>
          <w:cols w:space="425" w:num="1"/>
          <w:docGrid w:type="linesAndChars" w:linePitch="312" w:charSpace="0"/>
        </w:sectPr>
      </w:pPr>
    </w:p>
    <w:p>
      <w:pPr>
        <w:widowControl/>
        <w:snapToGrid w:val="0"/>
        <w:jc w:val="left"/>
        <w:outlineLvl w:val="1"/>
        <w:rPr>
          <w:rFonts w:ascii="Times New Roman" w:hAnsi="Times New Roman" w:eastAsia="仿宋_GB2312" w:cs="Times New Roman"/>
          <w:b/>
          <w:bCs/>
          <w:sz w:val="10"/>
          <w:szCs w:val="10"/>
          <w:highlight w:val="none"/>
        </w:rPr>
      </w:pPr>
    </w:p>
    <w:sectPr>
      <w:type w:val="continuous"/>
      <w:pgSz w:w="11906" w:h="16838"/>
      <w:pgMar w:top="1985"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20</w:t>
    </w:r>
    <w:r>
      <w:rPr>
        <w:rFonts w:ascii="Times New Roman" w:hAnsi="Times New Roman" w:cs="Times New Roman"/>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Times New Roman" w:hAnsi="Times New Roman" w:cs="Times New Roman"/>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4F00CC"/>
    <w:multiLevelType w:val="multilevel"/>
    <w:tmpl w:val="0B4F00CC"/>
    <w:lvl w:ilvl="0" w:tentative="0">
      <w:start w:val="1"/>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2A637EC"/>
    <w:multiLevelType w:val="multilevel"/>
    <w:tmpl w:val="62A637EC"/>
    <w:lvl w:ilvl="0" w:tentative="0">
      <w:start w:val="1"/>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7F663AE2"/>
    <w:multiLevelType w:val="multilevel"/>
    <w:tmpl w:val="7F663AE2"/>
    <w:lvl w:ilvl="0" w:tentative="0">
      <w:start w:val="2"/>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hideSpellingErrors/>
  <w:doNotTrackMoves/>
  <w:documentProtection w:enforcement="0"/>
  <w:defaultTabStop w:val="420"/>
  <w:doNotHyphenateCaps/>
  <w:drawingGridHorizontalSpacing w:val="105"/>
  <w:drawingGridVerticalSpacing w:val="156"/>
  <w:displayHorizontalDrawingGridEvery w:val="2"/>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7990"/>
    <w:rsid w:val="00001F11"/>
    <w:rsid w:val="000056AF"/>
    <w:rsid w:val="000062F2"/>
    <w:rsid w:val="00006577"/>
    <w:rsid w:val="0000685F"/>
    <w:rsid w:val="00010D29"/>
    <w:rsid w:val="00011CF2"/>
    <w:rsid w:val="0001314E"/>
    <w:rsid w:val="00016E50"/>
    <w:rsid w:val="00016F63"/>
    <w:rsid w:val="00017A7C"/>
    <w:rsid w:val="00021568"/>
    <w:rsid w:val="0002321D"/>
    <w:rsid w:val="000240C1"/>
    <w:rsid w:val="00025AF9"/>
    <w:rsid w:val="000261CE"/>
    <w:rsid w:val="000273CE"/>
    <w:rsid w:val="00027825"/>
    <w:rsid w:val="000278B4"/>
    <w:rsid w:val="00030CBD"/>
    <w:rsid w:val="00031AD9"/>
    <w:rsid w:val="00031BA6"/>
    <w:rsid w:val="00033E4F"/>
    <w:rsid w:val="000357AC"/>
    <w:rsid w:val="00035B16"/>
    <w:rsid w:val="00036091"/>
    <w:rsid w:val="00036E12"/>
    <w:rsid w:val="000407AD"/>
    <w:rsid w:val="000410FF"/>
    <w:rsid w:val="00041849"/>
    <w:rsid w:val="00045418"/>
    <w:rsid w:val="0004571B"/>
    <w:rsid w:val="00045C44"/>
    <w:rsid w:val="0005149D"/>
    <w:rsid w:val="000534C9"/>
    <w:rsid w:val="00057184"/>
    <w:rsid w:val="00060102"/>
    <w:rsid w:val="00062657"/>
    <w:rsid w:val="00066682"/>
    <w:rsid w:val="00070CC2"/>
    <w:rsid w:val="00072118"/>
    <w:rsid w:val="00073652"/>
    <w:rsid w:val="000757E8"/>
    <w:rsid w:val="00076CD6"/>
    <w:rsid w:val="000822DC"/>
    <w:rsid w:val="00082DD7"/>
    <w:rsid w:val="00083251"/>
    <w:rsid w:val="00083B05"/>
    <w:rsid w:val="00085E5E"/>
    <w:rsid w:val="000877EF"/>
    <w:rsid w:val="00087ADE"/>
    <w:rsid w:val="00090046"/>
    <w:rsid w:val="000906BF"/>
    <w:rsid w:val="00091DD5"/>
    <w:rsid w:val="00092774"/>
    <w:rsid w:val="00094050"/>
    <w:rsid w:val="0009422C"/>
    <w:rsid w:val="000972A8"/>
    <w:rsid w:val="00097492"/>
    <w:rsid w:val="000A10B1"/>
    <w:rsid w:val="000A323F"/>
    <w:rsid w:val="000A3980"/>
    <w:rsid w:val="000A537E"/>
    <w:rsid w:val="000A7BFA"/>
    <w:rsid w:val="000B18DD"/>
    <w:rsid w:val="000B39EE"/>
    <w:rsid w:val="000B41D8"/>
    <w:rsid w:val="000B668E"/>
    <w:rsid w:val="000B79A8"/>
    <w:rsid w:val="000B7F4F"/>
    <w:rsid w:val="000C0785"/>
    <w:rsid w:val="000C1671"/>
    <w:rsid w:val="000C2C23"/>
    <w:rsid w:val="000C51CE"/>
    <w:rsid w:val="000D0620"/>
    <w:rsid w:val="000D35EB"/>
    <w:rsid w:val="000D592C"/>
    <w:rsid w:val="000E295F"/>
    <w:rsid w:val="000E476B"/>
    <w:rsid w:val="000E4775"/>
    <w:rsid w:val="000E6C7E"/>
    <w:rsid w:val="000E7780"/>
    <w:rsid w:val="000F0813"/>
    <w:rsid w:val="000F0F35"/>
    <w:rsid w:val="000F1561"/>
    <w:rsid w:val="000F174C"/>
    <w:rsid w:val="000F20C9"/>
    <w:rsid w:val="000F3E9D"/>
    <w:rsid w:val="000F4694"/>
    <w:rsid w:val="000F5A09"/>
    <w:rsid w:val="000F6D0C"/>
    <w:rsid w:val="000F7B7B"/>
    <w:rsid w:val="00103808"/>
    <w:rsid w:val="00104944"/>
    <w:rsid w:val="0010495C"/>
    <w:rsid w:val="001049A7"/>
    <w:rsid w:val="00105555"/>
    <w:rsid w:val="00107F62"/>
    <w:rsid w:val="001158F0"/>
    <w:rsid w:val="001212F0"/>
    <w:rsid w:val="00123F28"/>
    <w:rsid w:val="00125CD8"/>
    <w:rsid w:val="001267E3"/>
    <w:rsid w:val="001316BD"/>
    <w:rsid w:val="00131D90"/>
    <w:rsid w:val="0013304B"/>
    <w:rsid w:val="0013407C"/>
    <w:rsid w:val="001343CF"/>
    <w:rsid w:val="00140B25"/>
    <w:rsid w:val="00141FA5"/>
    <w:rsid w:val="001434CA"/>
    <w:rsid w:val="00145136"/>
    <w:rsid w:val="001456AA"/>
    <w:rsid w:val="0014586E"/>
    <w:rsid w:val="00145EAB"/>
    <w:rsid w:val="00146A37"/>
    <w:rsid w:val="00147822"/>
    <w:rsid w:val="001502E8"/>
    <w:rsid w:val="00150E91"/>
    <w:rsid w:val="00150F31"/>
    <w:rsid w:val="0015196C"/>
    <w:rsid w:val="00151D4C"/>
    <w:rsid w:val="001532AD"/>
    <w:rsid w:val="001549D7"/>
    <w:rsid w:val="001565E1"/>
    <w:rsid w:val="00156E36"/>
    <w:rsid w:val="001571BE"/>
    <w:rsid w:val="00157539"/>
    <w:rsid w:val="001621B7"/>
    <w:rsid w:val="00163CBC"/>
    <w:rsid w:val="001659B6"/>
    <w:rsid w:val="00165DF3"/>
    <w:rsid w:val="00166B82"/>
    <w:rsid w:val="001678CC"/>
    <w:rsid w:val="00170E32"/>
    <w:rsid w:val="00171859"/>
    <w:rsid w:val="00174674"/>
    <w:rsid w:val="001750E2"/>
    <w:rsid w:val="001752B2"/>
    <w:rsid w:val="00180F9C"/>
    <w:rsid w:val="00185239"/>
    <w:rsid w:val="0018607A"/>
    <w:rsid w:val="001878B3"/>
    <w:rsid w:val="001909A3"/>
    <w:rsid w:val="00195382"/>
    <w:rsid w:val="0019565E"/>
    <w:rsid w:val="001966BF"/>
    <w:rsid w:val="00196CCB"/>
    <w:rsid w:val="00196E1C"/>
    <w:rsid w:val="001A04CC"/>
    <w:rsid w:val="001A0D3D"/>
    <w:rsid w:val="001A4BE1"/>
    <w:rsid w:val="001A5A9D"/>
    <w:rsid w:val="001A715B"/>
    <w:rsid w:val="001A74CF"/>
    <w:rsid w:val="001B2C79"/>
    <w:rsid w:val="001B37E3"/>
    <w:rsid w:val="001B5737"/>
    <w:rsid w:val="001B6985"/>
    <w:rsid w:val="001C0CBD"/>
    <w:rsid w:val="001C11DF"/>
    <w:rsid w:val="001C288E"/>
    <w:rsid w:val="001C6AE3"/>
    <w:rsid w:val="001D4394"/>
    <w:rsid w:val="001D5008"/>
    <w:rsid w:val="001D66B6"/>
    <w:rsid w:val="001D7D28"/>
    <w:rsid w:val="001E0362"/>
    <w:rsid w:val="001E09AC"/>
    <w:rsid w:val="001E248C"/>
    <w:rsid w:val="001E2D62"/>
    <w:rsid w:val="001E3E6B"/>
    <w:rsid w:val="001E4C13"/>
    <w:rsid w:val="001E5742"/>
    <w:rsid w:val="001F26F3"/>
    <w:rsid w:val="001F2AFB"/>
    <w:rsid w:val="001F441F"/>
    <w:rsid w:val="001F4F49"/>
    <w:rsid w:val="001F72EF"/>
    <w:rsid w:val="00205E3F"/>
    <w:rsid w:val="00206EDA"/>
    <w:rsid w:val="00211340"/>
    <w:rsid w:val="00214247"/>
    <w:rsid w:val="00214D94"/>
    <w:rsid w:val="00215902"/>
    <w:rsid w:val="002178B3"/>
    <w:rsid w:val="00220DCD"/>
    <w:rsid w:val="002223B9"/>
    <w:rsid w:val="00225116"/>
    <w:rsid w:val="0022555F"/>
    <w:rsid w:val="00226927"/>
    <w:rsid w:val="00230E22"/>
    <w:rsid w:val="00232439"/>
    <w:rsid w:val="002325C5"/>
    <w:rsid w:val="0023323B"/>
    <w:rsid w:val="002362B9"/>
    <w:rsid w:val="00236C52"/>
    <w:rsid w:val="00236FE6"/>
    <w:rsid w:val="0024524E"/>
    <w:rsid w:val="0024622C"/>
    <w:rsid w:val="00246C1A"/>
    <w:rsid w:val="00246D84"/>
    <w:rsid w:val="002516AF"/>
    <w:rsid w:val="00252805"/>
    <w:rsid w:val="002532D9"/>
    <w:rsid w:val="00253DBB"/>
    <w:rsid w:val="002550A5"/>
    <w:rsid w:val="002559DC"/>
    <w:rsid w:val="00256026"/>
    <w:rsid w:val="002577F1"/>
    <w:rsid w:val="00260713"/>
    <w:rsid w:val="00260B88"/>
    <w:rsid w:val="002613BB"/>
    <w:rsid w:val="00263C08"/>
    <w:rsid w:val="0027091A"/>
    <w:rsid w:val="00273740"/>
    <w:rsid w:val="00276355"/>
    <w:rsid w:val="00276CCE"/>
    <w:rsid w:val="0027727B"/>
    <w:rsid w:val="002777D0"/>
    <w:rsid w:val="00280BAE"/>
    <w:rsid w:val="00283D54"/>
    <w:rsid w:val="00285296"/>
    <w:rsid w:val="00286B7C"/>
    <w:rsid w:val="00287691"/>
    <w:rsid w:val="00290C9C"/>
    <w:rsid w:val="00290D25"/>
    <w:rsid w:val="00292445"/>
    <w:rsid w:val="002927DA"/>
    <w:rsid w:val="00296F49"/>
    <w:rsid w:val="002A006F"/>
    <w:rsid w:val="002A0675"/>
    <w:rsid w:val="002A25F4"/>
    <w:rsid w:val="002A7430"/>
    <w:rsid w:val="002B0045"/>
    <w:rsid w:val="002B6888"/>
    <w:rsid w:val="002C0412"/>
    <w:rsid w:val="002C11D8"/>
    <w:rsid w:val="002C16B8"/>
    <w:rsid w:val="002C4111"/>
    <w:rsid w:val="002C4170"/>
    <w:rsid w:val="002C4D7D"/>
    <w:rsid w:val="002C54B9"/>
    <w:rsid w:val="002C54D1"/>
    <w:rsid w:val="002C657C"/>
    <w:rsid w:val="002C68D5"/>
    <w:rsid w:val="002D1672"/>
    <w:rsid w:val="002D1CE0"/>
    <w:rsid w:val="002D1DF7"/>
    <w:rsid w:val="002D2324"/>
    <w:rsid w:val="002D5687"/>
    <w:rsid w:val="002D6567"/>
    <w:rsid w:val="002E0995"/>
    <w:rsid w:val="002E0FD5"/>
    <w:rsid w:val="002E13B4"/>
    <w:rsid w:val="002E6BB5"/>
    <w:rsid w:val="002E7F24"/>
    <w:rsid w:val="002F1580"/>
    <w:rsid w:val="00300FB0"/>
    <w:rsid w:val="00301D49"/>
    <w:rsid w:val="00302EB2"/>
    <w:rsid w:val="00303E5A"/>
    <w:rsid w:val="00304627"/>
    <w:rsid w:val="00305504"/>
    <w:rsid w:val="00306D35"/>
    <w:rsid w:val="00306D81"/>
    <w:rsid w:val="00310194"/>
    <w:rsid w:val="00311FB2"/>
    <w:rsid w:val="003129B9"/>
    <w:rsid w:val="003136AA"/>
    <w:rsid w:val="00314178"/>
    <w:rsid w:val="003142A9"/>
    <w:rsid w:val="00314C5D"/>
    <w:rsid w:val="00316CC8"/>
    <w:rsid w:val="00317DEA"/>
    <w:rsid w:val="00323104"/>
    <w:rsid w:val="003231B1"/>
    <w:rsid w:val="00323D59"/>
    <w:rsid w:val="00327375"/>
    <w:rsid w:val="00331831"/>
    <w:rsid w:val="00332C17"/>
    <w:rsid w:val="00335ECA"/>
    <w:rsid w:val="00336A7A"/>
    <w:rsid w:val="00337758"/>
    <w:rsid w:val="0034168C"/>
    <w:rsid w:val="00341D5A"/>
    <w:rsid w:val="00342E58"/>
    <w:rsid w:val="00345470"/>
    <w:rsid w:val="00345783"/>
    <w:rsid w:val="00345ADF"/>
    <w:rsid w:val="00345C27"/>
    <w:rsid w:val="0034613B"/>
    <w:rsid w:val="00347651"/>
    <w:rsid w:val="00347877"/>
    <w:rsid w:val="00355F53"/>
    <w:rsid w:val="00355F7B"/>
    <w:rsid w:val="003575CD"/>
    <w:rsid w:val="003610E7"/>
    <w:rsid w:val="0036347F"/>
    <w:rsid w:val="0036349C"/>
    <w:rsid w:val="00363983"/>
    <w:rsid w:val="0036423B"/>
    <w:rsid w:val="00365913"/>
    <w:rsid w:val="00371855"/>
    <w:rsid w:val="003724EE"/>
    <w:rsid w:val="0037300E"/>
    <w:rsid w:val="00373230"/>
    <w:rsid w:val="00373A44"/>
    <w:rsid w:val="00374011"/>
    <w:rsid w:val="00374CD6"/>
    <w:rsid w:val="00376270"/>
    <w:rsid w:val="0038072A"/>
    <w:rsid w:val="00381313"/>
    <w:rsid w:val="003834B3"/>
    <w:rsid w:val="00384785"/>
    <w:rsid w:val="0039009D"/>
    <w:rsid w:val="00393A63"/>
    <w:rsid w:val="003943D6"/>
    <w:rsid w:val="003959E4"/>
    <w:rsid w:val="00395C2D"/>
    <w:rsid w:val="003961FB"/>
    <w:rsid w:val="00396FF4"/>
    <w:rsid w:val="00397500"/>
    <w:rsid w:val="003979EE"/>
    <w:rsid w:val="003A1698"/>
    <w:rsid w:val="003A3A68"/>
    <w:rsid w:val="003A49AD"/>
    <w:rsid w:val="003A521D"/>
    <w:rsid w:val="003A666F"/>
    <w:rsid w:val="003A771D"/>
    <w:rsid w:val="003B0876"/>
    <w:rsid w:val="003B215D"/>
    <w:rsid w:val="003B2532"/>
    <w:rsid w:val="003B2BB0"/>
    <w:rsid w:val="003B3034"/>
    <w:rsid w:val="003B3047"/>
    <w:rsid w:val="003B3574"/>
    <w:rsid w:val="003B4486"/>
    <w:rsid w:val="003B47C9"/>
    <w:rsid w:val="003B4DDF"/>
    <w:rsid w:val="003B6410"/>
    <w:rsid w:val="003B732A"/>
    <w:rsid w:val="003C32CC"/>
    <w:rsid w:val="003C3C52"/>
    <w:rsid w:val="003C5ABE"/>
    <w:rsid w:val="003C5FC5"/>
    <w:rsid w:val="003D1956"/>
    <w:rsid w:val="003D37D9"/>
    <w:rsid w:val="003D44DE"/>
    <w:rsid w:val="003D535B"/>
    <w:rsid w:val="003D5BE9"/>
    <w:rsid w:val="003D6512"/>
    <w:rsid w:val="003E18A1"/>
    <w:rsid w:val="003E407A"/>
    <w:rsid w:val="003E6E62"/>
    <w:rsid w:val="003E732B"/>
    <w:rsid w:val="003F30D1"/>
    <w:rsid w:val="003F49CB"/>
    <w:rsid w:val="003F5385"/>
    <w:rsid w:val="003F6098"/>
    <w:rsid w:val="003F6EDE"/>
    <w:rsid w:val="0040020B"/>
    <w:rsid w:val="00400DA8"/>
    <w:rsid w:val="00401E1E"/>
    <w:rsid w:val="00401F9A"/>
    <w:rsid w:val="0040368F"/>
    <w:rsid w:val="004038A1"/>
    <w:rsid w:val="004041D1"/>
    <w:rsid w:val="00405585"/>
    <w:rsid w:val="00405FBC"/>
    <w:rsid w:val="00407060"/>
    <w:rsid w:val="004073DD"/>
    <w:rsid w:val="00410101"/>
    <w:rsid w:val="00410E30"/>
    <w:rsid w:val="004110A5"/>
    <w:rsid w:val="00411F96"/>
    <w:rsid w:val="00414783"/>
    <w:rsid w:val="00417BFE"/>
    <w:rsid w:val="00422538"/>
    <w:rsid w:val="00422901"/>
    <w:rsid w:val="0042339F"/>
    <w:rsid w:val="00423E5C"/>
    <w:rsid w:val="00424D3F"/>
    <w:rsid w:val="004254F3"/>
    <w:rsid w:val="0042753C"/>
    <w:rsid w:val="004279E6"/>
    <w:rsid w:val="00431A17"/>
    <w:rsid w:val="00432724"/>
    <w:rsid w:val="0043463B"/>
    <w:rsid w:val="00435953"/>
    <w:rsid w:val="00436327"/>
    <w:rsid w:val="00436C5A"/>
    <w:rsid w:val="00437398"/>
    <w:rsid w:val="00437B00"/>
    <w:rsid w:val="004400B4"/>
    <w:rsid w:val="004418D7"/>
    <w:rsid w:val="00443F41"/>
    <w:rsid w:val="0044448C"/>
    <w:rsid w:val="004448BD"/>
    <w:rsid w:val="0044739F"/>
    <w:rsid w:val="004475D7"/>
    <w:rsid w:val="00447F60"/>
    <w:rsid w:val="00454435"/>
    <w:rsid w:val="0045543B"/>
    <w:rsid w:val="004558A2"/>
    <w:rsid w:val="00461C47"/>
    <w:rsid w:val="00461D49"/>
    <w:rsid w:val="004622F1"/>
    <w:rsid w:val="0046318F"/>
    <w:rsid w:val="00463A79"/>
    <w:rsid w:val="00463F49"/>
    <w:rsid w:val="0046509F"/>
    <w:rsid w:val="00466913"/>
    <w:rsid w:val="0046775C"/>
    <w:rsid w:val="00467AE8"/>
    <w:rsid w:val="00477FD8"/>
    <w:rsid w:val="00482026"/>
    <w:rsid w:val="004824C6"/>
    <w:rsid w:val="0048327F"/>
    <w:rsid w:val="00483C75"/>
    <w:rsid w:val="00484F46"/>
    <w:rsid w:val="004856F4"/>
    <w:rsid w:val="00485E5C"/>
    <w:rsid w:val="004862BE"/>
    <w:rsid w:val="00486DFA"/>
    <w:rsid w:val="00490319"/>
    <w:rsid w:val="0049098C"/>
    <w:rsid w:val="00493095"/>
    <w:rsid w:val="00493C36"/>
    <w:rsid w:val="004A0410"/>
    <w:rsid w:val="004A1C10"/>
    <w:rsid w:val="004A29DA"/>
    <w:rsid w:val="004A2C0C"/>
    <w:rsid w:val="004A2E9D"/>
    <w:rsid w:val="004A3395"/>
    <w:rsid w:val="004A3569"/>
    <w:rsid w:val="004A4BD3"/>
    <w:rsid w:val="004A5B43"/>
    <w:rsid w:val="004A6E7B"/>
    <w:rsid w:val="004A6EB5"/>
    <w:rsid w:val="004A779F"/>
    <w:rsid w:val="004A7F2D"/>
    <w:rsid w:val="004B16CC"/>
    <w:rsid w:val="004B1C2D"/>
    <w:rsid w:val="004B1C8E"/>
    <w:rsid w:val="004B2099"/>
    <w:rsid w:val="004B316E"/>
    <w:rsid w:val="004B3694"/>
    <w:rsid w:val="004B5A35"/>
    <w:rsid w:val="004B5AB3"/>
    <w:rsid w:val="004C091E"/>
    <w:rsid w:val="004C1513"/>
    <w:rsid w:val="004C726E"/>
    <w:rsid w:val="004C754C"/>
    <w:rsid w:val="004D41D3"/>
    <w:rsid w:val="004D5068"/>
    <w:rsid w:val="004E0E78"/>
    <w:rsid w:val="004F03C9"/>
    <w:rsid w:val="004F1CEC"/>
    <w:rsid w:val="004F5249"/>
    <w:rsid w:val="0050115B"/>
    <w:rsid w:val="0050270B"/>
    <w:rsid w:val="0050360B"/>
    <w:rsid w:val="00503643"/>
    <w:rsid w:val="005044A9"/>
    <w:rsid w:val="005052E5"/>
    <w:rsid w:val="005058A8"/>
    <w:rsid w:val="00512028"/>
    <w:rsid w:val="0051248D"/>
    <w:rsid w:val="0051395B"/>
    <w:rsid w:val="005148FF"/>
    <w:rsid w:val="005171EC"/>
    <w:rsid w:val="00520481"/>
    <w:rsid w:val="00520818"/>
    <w:rsid w:val="00521108"/>
    <w:rsid w:val="0052209D"/>
    <w:rsid w:val="0052524E"/>
    <w:rsid w:val="005269CA"/>
    <w:rsid w:val="00526C73"/>
    <w:rsid w:val="00527265"/>
    <w:rsid w:val="005321A4"/>
    <w:rsid w:val="00532DF9"/>
    <w:rsid w:val="00534A20"/>
    <w:rsid w:val="00534F1E"/>
    <w:rsid w:val="00536645"/>
    <w:rsid w:val="005424A5"/>
    <w:rsid w:val="00544DE5"/>
    <w:rsid w:val="00546255"/>
    <w:rsid w:val="005507B2"/>
    <w:rsid w:val="00550BEC"/>
    <w:rsid w:val="00551065"/>
    <w:rsid w:val="00551A5F"/>
    <w:rsid w:val="005523BA"/>
    <w:rsid w:val="00552CA0"/>
    <w:rsid w:val="0055610F"/>
    <w:rsid w:val="00556627"/>
    <w:rsid w:val="00560314"/>
    <w:rsid w:val="005611F6"/>
    <w:rsid w:val="00563233"/>
    <w:rsid w:val="00563F0D"/>
    <w:rsid w:val="005651AE"/>
    <w:rsid w:val="00565CFB"/>
    <w:rsid w:val="0056648B"/>
    <w:rsid w:val="00570070"/>
    <w:rsid w:val="00571AEC"/>
    <w:rsid w:val="00576367"/>
    <w:rsid w:val="00577C1F"/>
    <w:rsid w:val="00582486"/>
    <w:rsid w:val="0058370F"/>
    <w:rsid w:val="00585B2C"/>
    <w:rsid w:val="00591716"/>
    <w:rsid w:val="0059595A"/>
    <w:rsid w:val="00595B7E"/>
    <w:rsid w:val="00597206"/>
    <w:rsid w:val="00597A62"/>
    <w:rsid w:val="00597B2A"/>
    <w:rsid w:val="005A010F"/>
    <w:rsid w:val="005A07BD"/>
    <w:rsid w:val="005A0A27"/>
    <w:rsid w:val="005A40C7"/>
    <w:rsid w:val="005A4692"/>
    <w:rsid w:val="005A605F"/>
    <w:rsid w:val="005A78F3"/>
    <w:rsid w:val="005A7F73"/>
    <w:rsid w:val="005B2521"/>
    <w:rsid w:val="005B5C8C"/>
    <w:rsid w:val="005C0617"/>
    <w:rsid w:val="005C16E7"/>
    <w:rsid w:val="005C29E7"/>
    <w:rsid w:val="005C2BE6"/>
    <w:rsid w:val="005C335C"/>
    <w:rsid w:val="005C3E0B"/>
    <w:rsid w:val="005C45A1"/>
    <w:rsid w:val="005C65EC"/>
    <w:rsid w:val="005C6D2D"/>
    <w:rsid w:val="005D0328"/>
    <w:rsid w:val="005D04B7"/>
    <w:rsid w:val="005D1BBC"/>
    <w:rsid w:val="005D2AA0"/>
    <w:rsid w:val="005D44E1"/>
    <w:rsid w:val="005D45B5"/>
    <w:rsid w:val="005D62BB"/>
    <w:rsid w:val="005D71F6"/>
    <w:rsid w:val="005E0060"/>
    <w:rsid w:val="005E03D2"/>
    <w:rsid w:val="005E0A92"/>
    <w:rsid w:val="005E26EC"/>
    <w:rsid w:val="005E39BA"/>
    <w:rsid w:val="005E4989"/>
    <w:rsid w:val="005E7990"/>
    <w:rsid w:val="005F1AFB"/>
    <w:rsid w:val="005F4179"/>
    <w:rsid w:val="005F525F"/>
    <w:rsid w:val="005F627A"/>
    <w:rsid w:val="005F6E4A"/>
    <w:rsid w:val="005F7BA1"/>
    <w:rsid w:val="006007F1"/>
    <w:rsid w:val="00601751"/>
    <w:rsid w:val="00601943"/>
    <w:rsid w:val="00601C0F"/>
    <w:rsid w:val="0060573A"/>
    <w:rsid w:val="00606EE6"/>
    <w:rsid w:val="006078D9"/>
    <w:rsid w:val="00612717"/>
    <w:rsid w:val="0061289D"/>
    <w:rsid w:val="006132FA"/>
    <w:rsid w:val="0061334A"/>
    <w:rsid w:val="00615709"/>
    <w:rsid w:val="00620862"/>
    <w:rsid w:val="00621AF3"/>
    <w:rsid w:val="00622DBA"/>
    <w:rsid w:val="00622F2D"/>
    <w:rsid w:val="00623E32"/>
    <w:rsid w:val="00624AC9"/>
    <w:rsid w:val="00624ADB"/>
    <w:rsid w:val="006269EB"/>
    <w:rsid w:val="006271E8"/>
    <w:rsid w:val="00627844"/>
    <w:rsid w:val="006307F0"/>
    <w:rsid w:val="00631067"/>
    <w:rsid w:val="00637A8A"/>
    <w:rsid w:val="00637ABF"/>
    <w:rsid w:val="00640089"/>
    <w:rsid w:val="006407DC"/>
    <w:rsid w:val="00640996"/>
    <w:rsid w:val="00640EDA"/>
    <w:rsid w:val="006420C0"/>
    <w:rsid w:val="00643223"/>
    <w:rsid w:val="00643C99"/>
    <w:rsid w:val="00643F6B"/>
    <w:rsid w:val="006500F6"/>
    <w:rsid w:val="00650AE2"/>
    <w:rsid w:val="00651473"/>
    <w:rsid w:val="0065295A"/>
    <w:rsid w:val="006554D2"/>
    <w:rsid w:val="0065577B"/>
    <w:rsid w:val="00655EB3"/>
    <w:rsid w:val="0066090D"/>
    <w:rsid w:val="00664072"/>
    <w:rsid w:val="006648DF"/>
    <w:rsid w:val="00664998"/>
    <w:rsid w:val="00664F06"/>
    <w:rsid w:val="00671302"/>
    <w:rsid w:val="00671323"/>
    <w:rsid w:val="00673228"/>
    <w:rsid w:val="006733DC"/>
    <w:rsid w:val="0067457E"/>
    <w:rsid w:val="006752CA"/>
    <w:rsid w:val="00677728"/>
    <w:rsid w:val="00677C2C"/>
    <w:rsid w:val="0068089E"/>
    <w:rsid w:val="00680B98"/>
    <w:rsid w:val="00680FC3"/>
    <w:rsid w:val="00684863"/>
    <w:rsid w:val="0068551F"/>
    <w:rsid w:val="006916B9"/>
    <w:rsid w:val="00691C14"/>
    <w:rsid w:val="00691FFD"/>
    <w:rsid w:val="0069564A"/>
    <w:rsid w:val="006A05B1"/>
    <w:rsid w:val="006A0CCB"/>
    <w:rsid w:val="006A1330"/>
    <w:rsid w:val="006A1CDB"/>
    <w:rsid w:val="006A1F59"/>
    <w:rsid w:val="006A4DA8"/>
    <w:rsid w:val="006A5645"/>
    <w:rsid w:val="006A7ABA"/>
    <w:rsid w:val="006B0E99"/>
    <w:rsid w:val="006B3584"/>
    <w:rsid w:val="006B3E89"/>
    <w:rsid w:val="006B61B4"/>
    <w:rsid w:val="006B68DC"/>
    <w:rsid w:val="006B7EB8"/>
    <w:rsid w:val="006C1812"/>
    <w:rsid w:val="006C1AF8"/>
    <w:rsid w:val="006C3B54"/>
    <w:rsid w:val="006C446D"/>
    <w:rsid w:val="006C6076"/>
    <w:rsid w:val="006D13C8"/>
    <w:rsid w:val="006D23A2"/>
    <w:rsid w:val="006D2AC8"/>
    <w:rsid w:val="006D6805"/>
    <w:rsid w:val="006D74B0"/>
    <w:rsid w:val="006E0DF6"/>
    <w:rsid w:val="006E3D09"/>
    <w:rsid w:val="006E7912"/>
    <w:rsid w:val="006F0C31"/>
    <w:rsid w:val="006F75A7"/>
    <w:rsid w:val="007009C2"/>
    <w:rsid w:val="0070177A"/>
    <w:rsid w:val="007041DB"/>
    <w:rsid w:val="00705314"/>
    <w:rsid w:val="007057FC"/>
    <w:rsid w:val="00714F4F"/>
    <w:rsid w:val="00717345"/>
    <w:rsid w:val="0071785E"/>
    <w:rsid w:val="0071793A"/>
    <w:rsid w:val="00717C18"/>
    <w:rsid w:val="00720E01"/>
    <w:rsid w:val="00720F9F"/>
    <w:rsid w:val="007227DE"/>
    <w:rsid w:val="00722E01"/>
    <w:rsid w:val="00723205"/>
    <w:rsid w:val="00725892"/>
    <w:rsid w:val="00725A73"/>
    <w:rsid w:val="0073138B"/>
    <w:rsid w:val="00732284"/>
    <w:rsid w:val="0073588D"/>
    <w:rsid w:val="00735D51"/>
    <w:rsid w:val="00737D4E"/>
    <w:rsid w:val="0074287D"/>
    <w:rsid w:val="0074408B"/>
    <w:rsid w:val="007442F6"/>
    <w:rsid w:val="00744737"/>
    <w:rsid w:val="007454BF"/>
    <w:rsid w:val="00747FD5"/>
    <w:rsid w:val="00750217"/>
    <w:rsid w:val="00750238"/>
    <w:rsid w:val="00750B73"/>
    <w:rsid w:val="00750F59"/>
    <w:rsid w:val="0075341C"/>
    <w:rsid w:val="00756A76"/>
    <w:rsid w:val="0076183F"/>
    <w:rsid w:val="007625F9"/>
    <w:rsid w:val="00762D2C"/>
    <w:rsid w:val="0076304E"/>
    <w:rsid w:val="007640C2"/>
    <w:rsid w:val="00764DEF"/>
    <w:rsid w:val="00765507"/>
    <w:rsid w:val="007660B7"/>
    <w:rsid w:val="00766D62"/>
    <w:rsid w:val="00766FE4"/>
    <w:rsid w:val="00767241"/>
    <w:rsid w:val="00770C0F"/>
    <w:rsid w:val="00772C8A"/>
    <w:rsid w:val="007737D6"/>
    <w:rsid w:val="0077694A"/>
    <w:rsid w:val="00780C47"/>
    <w:rsid w:val="00781055"/>
    <w:rsid w:val="00783234"/>
    <w:rsid w:val="007854EA"/>
    <w:rsid w:val="00786544"/>
    <w:rsid w:val="00786F32"/>
    <w:rsid w:val="00787048"/>
    <w:rsid w:val="007928D5"/>
    <w:rsid w:val="00792A1F"/>
    <w:rsid w:val="00796CA1"/>
    <w:rsid w:val="00796EA3"/>
    <w:rsid w:val="007A1485"/>
    <w:rsid w:val="007A31F9"/>
    <w:rsid w:val="007A3D1A"/>
    <w:rsid w:val="007A5AFE"/>
    <w:rsid w:val="007A687D"/>
    <w:rsid w:val="007B07D9"/>
    <w:rsid w:val="007B2B24"/>
    <w:rsid w:val="007B3C2E"/>
    <w:rsid w:val="007B448F"/>
    <w:rsid w:val="007B53F2"/>
    <w:rsid w:val="007B5CC0"/>
    <w:rsid w:val="007B6B9E"/>
    <w:rsid w:val="007B7F34"/>
    <w:rsid w:val="007C32CF"/>
    <w:rsid w:val="007C47AA"/>
    <w:rsid w:val="007C4D79"/>
    <w:rsid w:val="007C5937"/>
    <w:rsid w:val="007C6934"/>
    <w:rsid w:val="007C77F5"/>
    <w:rsid w:val="007C7E78"/>
    <w:rsid w:val="007D2AEA"/>
    <w:rsid w:val="007D6D9F"/>
    <w:rsid w:val="007D7DA6"/>
    <w:rsid w:val="007E044E"/>
    <w:rsid w:val="007E2D2E"/>
    <w:rsid w:val="007E478D"/>
    <w:rsid w:val="007E481F"/>
    <w:rsid w:val="007E696D"/>
    <w:rsid w:val="007E7715"/>
    <w:rsid w:val="007E7A2A"/>
    <w:rsid w:val="007E7E5A"/>
    <w:rsid w:val="007E7F90"/>
    <w:rsid w:val="007F046E"/>
    <w:rsid w:val="007F33B8"/>
    <w:rsid w:val="007F3DB6"/>
    <w:rsid w:val="007F41AC"/>
    <w:rsid w:val="007F54A7"/>
    <w:rsid w:val="007F5864"/>
    <w:rsid w:val="007F655D"/>
    <w:rsid w:val="007F7367"/>
    <w:rsid w:val="00800D7D"/>
    <w:rsid w:val="00801042"/>
    <w:rsid w:val="00802A83"/>
    <w:rsid w:val="00803003"/>
    <w:rsid w:val="00804847"/>
    <w:rsid w:val="00804F40"/>
    <w:rsid w:val="008077D5"/>
    <w:rsid w:val="00810867"/>
    <w:rsid w:val="00811B56"/>
    <w:rsid w:val="00811E4E"/>
    <w:rsid w:val="008122A7"/>
    <w:rsid w:val="00816A30"/>
    <w:rsid w:val="0081754C"/>
    <w:rsid w:val="008200E9"/>
    <w:rsid w:val="00821132"/>
    <w:rsid w:val="00822DC8"/>
    <w:rsid w:val="00823BA9"/>
    <w:rsid w:val="00827B79"/>
    <w:rsid w:val="008301F8"/>
    <w:rsid w:val="00830567"/>
    <w:rsid w:val="00834FCF"/>
    <w:rsid w:val="00836B46"/>
    <w:rsid w:val="00836F01"/>
    <w:rsid w:val="00840C78"/>
    <w:rsid w:val="00844C1B"/>
    <w:rsid w:val="00844E0A"/>
    <w:rsid w:val="008450A5"/>
    <w:rsid w:val="00845CAE"/>
    <w:rsid w:val="00846B7C"/>
    <w:rsid w:val="00846C9D"/>
    <w:rsid w:val="0084730B"/>
    <w:rsid w:val="00852A58"/>
    <w:rsid w:val="00853FEB"/>
    <w:rsid w:val="008576CE"/>
    <w:rsid w:val="00862658"/>
    <w:rsid w:val="008634C1"/>
    <w:rsid w:val="00864AE1"/>
    <w:rsid w:val="00865CDE"/>
    <w:rsid w:val="00866DEA"/>
    <w:rsid w:val="0087161C"/>
    <w:rsid w:val="008725DB"/>
    <w:rsid w:val="00872EDB"/>
    <w:rsid w:val="008733BF"/>
    <w:rsid w:val="0087422E"/>
    <w:rsid w:val="0087547B"/>
    <w:rsid w:val="008765FB"/>
    <w:rsid w:val="00877430"/>
    <w:rsid w:val="00877FBD"/>
    <w:rsid w:val="0088516B"/>
    <w:rsid w:val="008855C3"/>
    <w:rsid w:val="008901B4"/>
    <w:rsid w:val="00890E1E"/>
    <w:rsid w:val="00892C2C"/>
    <w:rsid w:val="00893D0F"/>
    <w:rsid w:val="0089697A"/>
    <w:rsid w:val="008969D6"/>
    <w:rsid w:val="00897A9F"/>
    <w:rsid w:val="008A1D56"/>
    <w:rsid w:val="008A2191"/>
    <w:rsid w:val="008A25B1"/>
    <w:rsid w:val="008A2F02"/>
    <w:rsid w:val="008A403A"/>
    <w:rsid w:val="008A5112"/>
    <w:rsid w:val="008B06E7"/>
    <w:rsid w:val="008B1D8F"/>
    <w:rsid w:val="008B763A"/>
    <w:rsid w:val="008B77F4"/>
    <w:rsid w:val="008B789F"/>
    <w:rsid w:val="008B7F5D"/>
    <w:rsid w:val="008C04D4"/>
    <w:rsid w:val="008C2976"/>
    <w:rsid w:val="008C2FF1"/>
    <w:rsid w:val="008C5AA8"/>
    <w:rsid w:val="008C6EC2"/>
    <w:rsid w:val="008C7020"/>
    <w:rsid w:val="008D1C36"/>
    <w:rsid w:val="008D7B4D"/>
    <w:rsid w:val="008E0982"/>
    <w:rsid w:val="008E0DE5"/>
    <w:rsid w:val="008E2D9D"/>
    <w:rsid w:val="008E35DD"/>
    <w:rsid w:val="008E411D"/>
    <w:rsid w:val="008F0C35"/>
    <w:rsid w:val="008F1FB6"/>
    <w:rsid w:val="008F2835"/>
    <w:rsid w:val="008F2AA4"/>
    <w:rsid w:val="008F4890"/>
    <w:rsid w:val="008F5603"/>
    <w:rsid w:val="00900BB1"/>
    <w:rsid w:val="00900EDC"/>
    <w:rsid w:val="00902369"/>
    <w:rsid w:val="00905E8C"/>
    <w:rsid w:val="009115DD"/>
    <w:rsid w:val="0091392E"/>
    <w:rsid w:val="00922214"/>
    <w:rsid w:val="009222EE"/>
    <w:rsid w:val="0092476C"/>
    <w:rsid w:val="009254AD"/>
    <w:rsid w:val="0092730A"/>
    <w:rsid w:val="00927C91"/>
    <w:rsid w:val="00930A3D"/>
    <w:rsid w:val="009339AD"/>
    <w:rsid w:val="00934736"/>
    <w:rsid w:val="00935521"/>
    <w:rsid w:val="00936658"/>
    <w:rsid w:val="00937049"/>
    <w:rsid w:val="00940587"/>
    <w:rsid w:val="00940719"/>
    <w:rsid w:val="00945003"/>
    <w:rsid w:val="00945956"/>
    <w:rsid w:val="00945B7E"/>
    <w:rsid w:val="00945F5D"/>
    <w:rsid w:val="00946745"/>
    <w:rsid w:val="00947EF1"/>
    <w:rsid w:val="00950EAB"/>
    <w:rsid w:val="00951F7C"/>
    <w:rsid w:val="00954D9D"/>
    <w:rsid w:val="0096022E"/>
    <w:rsid w:val="00961F81"/>
    <w:rsid w:val="0096760F"/>
    <w:rsid w:val="009679A8"/>
    <w:rsid w:val="00971B28"/>
    <w:rsid w:val="00973E2F"/>
    <w:rsid w:val="00973ED6"/>
    <w:rsid w:val="00974290"/>
    <w:rsid w:val="00974786"/>
    <w:rsid w:val="00975330"/>
    <w:rsid w:val="0097705D"/>
    <w:rsid w:val="009813DA"/>
    <w:rsid w:val="00982124"/>
    <w:rsid w:val="00982544"/>
    <w:rsid w:val="00984E48"/>
    <w:rsid w:val="00987435"/>
    <w:rsid w:val="00990DDF"/>
    <w:rsid w:val="009919A0"/>
    <w:rsid w:val="00991BE7"/>
    <w:rsid w:val="00991C72"/>
    <w:rsid w:val="00992C07"/>
    <w:rsid w:val="00994F23"/>
    <w:rsid w:val="00995B74"/>
    <w:rsid w:val="009963A8"/>
    <w:rsid w:val="009A39A8"/>
    <w:rsid w:val="009A48D3"/>
    <w:rsid w:val="009B0323"/>
    <w:rsid w:val="009B0A5A"/>
    <w:rsid w:val="009B0B8D"/>
    <w:rsid w:val="009B4742"/>
    <w:rsid w:val="009B47F0"/>
    <w:rsid w:val="009B4FF7"/>
    <w:rsid w:val="009B62D6"/>
    <w:rsid w:val="009B69ED"/>
    <w:rsid w:val="009B6DE8"/>
    <w:rsid w:val="009C2FFD"/>
    <w:rsid w:val="009C34F7"/>
    <w:rsid w:val="009C3923"/>
    <w:rsid w:val="009C3E41"/>
    <w:rsid w:val="009C635F"/>
    <w:rsid w:val="009C7848"/>
    <w:rsid w:val="009D2BE6"/>
    <w:rsid w:val="009D3F28"/>
    <w:rsid w:val="009D7995"/>
    <w:rsid w:val="009E372B"/>
    <w:rsid w:val="009E4C00"/>
    <w:rsid w:val="009E65C9"/>
    <w:rsid w:val="009E75F0"/>
    <w:rsid w:val="009F018B"/>
    <w:rsid w:val="009F14E3"/>
    <w:rsid w:val="009F36E9"/>
    <w:rsid w:val="009F57C3"/>
    <w:rsid w:val="009F76CF"/>
    <w:rsid w:val="009F7C13"/>
    <w:rsid w:val="00A010DF"/>
    <w:rsid w:val="00A019EB"/>
    <w:rsid w:val="00A033BD"/>
    <w:rsid w:val="00A0417C"/>
    <w:rsid w:val="00A046B9"/>
    <w:rsid w:val="00A04770"/>
    <w:rsid w:val="00A04CFE"/>
    <w:rsid w:val="00A07258"/>
    <w:rsid w:val="00A10E3D"/>
    <w:rsid w:val="00A11F0C"/>
    <w:rsid w:val="00A12DBE"/>
    <w:rsid w:val="00A13153"/>
    <w:rsid w:val="00A145C4"/>
    <w:rsid w:val="00A1521A"/>
    <w:rsid w:val="00A15842"/>
    <w:rsid w:val="00A17D65"/>
    <w:rsid w:val="00A200BD"/>
    <w:rsid w:val="00A20116"/>
    <w:rsid w:val="00A213D0"/>
    <w:rsid w:val="00A22693"/>
    <w:rsid w:val="00A244EE"/>
    <w:rsid w:val="00A245E7"/>
    <w:rsid w:val="00A249E5"/>
    <w:rsid w:val="00A24A20"/>
    <w:rsid w:val="00A25611"/>
    <w:rsid w:val="00A27A7D"/>
    <w:rsid w:val="00A27E15"/>
    <w:rsid w:val="00A310D4"/>
    <w:rsid w:val="00A3665B"/>
    <w:rsid w:val="00A402C2"/>
    <w:rsid w:val="00A4207B"/>
    <w:rsid w:val="00A42947"/>
    <w:rsid w:val="00A42B20"/>
    <w:rsid w:val="00A43E38"/>
    <w:rsid w:val="00A447E8"/>
    <w:rsid w:val="00A509C2"/>
    <w:rsid w:val="00A51B7A"/>
    <w:rsid w:val="00A53331"/>
    <w:rsid w:val="00A53570"/>
    <w:rsid w:val="00A56889"/>
    <w:rsid w:val="00A5711F"/>
    <w:rsid w:val="00A57859"/>
    <w:rsid w:val="00A60AD0"/>
    <w:rsid w:val="00A64ABC"/>
    <w:rsid w:val="00A65961"/>
    <w:rsid w:val="00A667C1"/>
    <w:rsid w:val="00A66BDD"/>
    <w:rsid w:val="00A72514"/>
    <w:rsid w:val="00A750A5"/>
    <w:rsid w:val="00A7540A"/>
    <w:rsid w:val="00A77132"/>
    <w:rsid w:val="00A81179"/>
    <w:rsid w:val="00A82D50"/>
    <w:rsid w:val="00A911FF"/>
    <w:rsid w:val="00A932AB"/>
    <w:rsid w:val="00A933C7"/>
    <w:rsid w:val="00A94241"/>
    <w:rsid w:val="00A960F5"/>
    <w:rsid w:val="00A96B72"/>
    <w:rsid w:val="00A972B0"/>
    <w:rsid w:val="00AA399E"/>
    <w:rsid w:val="00AA6233"/>
    <w:rsid w:val="00AB0BE0"/>
    <w:rsid w:val="00AB16A7"/>
    <w:rsid w:val="00AB24E3"/>
    <w:rsid w:val="00AB5AB7"/>
    <w:rsid w:val="00AB6D73"/>
    <w:rsid w:val="00AC09F2"/>
    <w:rsid w:val="00AC19AB"/>
    <w:rsid w:val="00AC3241"/>
    <w:rsid w:val="00AC35E6"/>
    <w:rsid w:val="00AC4F24"/>
    <w:rsid w:val="00AC6E59"/>
    <w:rsid w:val="00AD10C8"/>
    <w:rsid w:val="00AD2A4D"/>
    <w:rsid w:val="00AD5F25"/>
    <w:rsid w:val="00AE2163"/>
    <w:rsid w:val="00AE2986"/>
    <w:rsid w:val="00AE436F"/>
    <w:rsid w:val="00AE4459"/>
    <w:rsid w:val="00AE492A"/>
    <w:rsid w:val="00AE63E2"/>
    <w:rsid w:val="00AE794C"/>
    <w:rsid w:val="00AE7A6F"/>
    <w:rsid w:val="00AF2E29"/>
    <w:rsid w:val="00AF7480"/>
    <w:rsid w:val="00AF7571"/>
    <w:rsid w:val="00B00550"/>
    <w:rsid w:val="00B008CE"/>
    <w:rsid w:val="00B01AD3"/>
    <w:rsid w:val="00B02264"/>
    <w:rsid w:val="00B0412B"/>
    <w:rsid w:val="00B04B33"/>
    <w:rsid w:val="00B04BAC"/>
    <w:rsid w:val="00B060E8"/>
    <w:rsid w:val="00B06B49"/>
    <w:rsid w:val="00B10863"/>
    <w:rsid w:val="00B12E24"/>
    <w:rsid w:val="00B142E4"/>
    <w:rsid w:val="00B14A92"/>
    <w:rsid w:val="00B16E22"/>
    <w:rsid w:val="00B177E0"/>
    <w:rsid w:val="00B17AB7"/>
    <w:rsid w:val="00B17D5E"/>
    <w:rsid w:val="00B20199"/>
    <w:rsid w:val="00B20FC1"/>
    <w:rsid w:val="00B2138C"/>
    <w:rsid w:val="00B216B2"/>
    <w:rsid w:val="00B22792"/>
    <w:rsid w:val="00B24768"/>
    <w:rsid w:val="00B27E91"/>
    <w:rsid w:val="00B30307"/>
    <w:rsid w:val="00B30A47"/>
    <w:rsid w:val="00B31359"/>
    <w:rsid w:val="00B323F5"/>
    <w:rsid w:val="00B32F07"/>
    <w:rsid w:val="00B32FA9"/>
    <w:rsid w:val="00B33480"/>
    <w:rsid w:val="00B4103A"/>
    <w:rsid w:val="00B42406"/>
    <w:rsid w:val="00B436B1"/>
    <w:rsid w:val="00B468D9"/>
    <w:rsid w:val="00B47B1C"/>
    <w:rsid w:val="00B50196"/>
    <w:rsid w:val="00B50651"/>
    <w:rsid w:val="00B51A10"/>
    <w:rsid w:val="00B55F5B"/>
    <w:rsid w:val="00B57C1F"/>
    <w:rsid w:val="00B61F14"/>
    <w:rsid w:val="00B61FCE"/>
    <w:rsid w:val="00B65B35"/>
    <w:rsid w:val="00B6619A"/>
    <w:rsid w:val="00B668CF"/>
    <w:rsid w:val="00B70086"/>
    <w:rsid w:val="00B70BA9"/>
    <w:rsid w:val="00B72781"/>
    <w:rsid w:val="00B749FD"/>
    <w:rsid w:val="00B75175"/>
    <w:rsid w:val="00B7694B"/>
    <w:rsid w:val="00B801F5"/>
    <w:rsid w:val="00B807DF"/>
    <w:rsid w:val="00B81C93"/>
    <w:rsid w:val="00B84DA8"/>
    <w:rsid w:val="00B857B6"/>
    <w:rsid w:val="00B8794E"/>
    <w:rsid w:val="00B91A97"/>
    <w:rsid w:val="00B92EAC"/>
    <w:rsid w:val="00B95D68"/>
    <w:rsid w:val="00B95F16"/>
    <w:rsid w:val="00B96D6F"/>
    <w:rsid w:val="00B97900"/>
    <w:rsid w:val="00BA0A5B"/>
    <w:rsid w:val="00BA1BCC"/>
    <w:rsid w:val="00BA21F7"/>
    <w:rsid w:val="00BA220B"/>
    <w:rsid w:val="00BA2582"/>
    <w:rsid w:val="00BA3149"/>
    <w:rsid w:val="00BA35EC"/>
    <w:rsid w:val="00BA3643"/>
    <w:rsid w:val="00BA4993"/>
    <w:rsid w:val="00BA4F6E"/>
    <w:rsid w:val="00BA7835"/>
    <w:rsid w:val="00BB0166"/>
    <w:rsid w:val="00BB0586"/>
    <w:rsid w:val="00BB07A3"/>
    <w:rsid w:val="00BB14A6"/>
    <w:rsid w:val="00BB1983"/>
    <w:rsid w:val="00BB22CB"/>
    <w:rsid w:val="00BB399E"/>
    <w:rsid w:val="00BB423E"/>
    <w:rsid w:val="00BB42B3"/>
    <w:rsid w:val="00BB5518"/>
    <w:rsid w:val="00BB626E"/>
    <w:rsid w:val="00BC0798"/>
    <w:rsid w:val="00BC095B"/>
    <w:rsid w:val="00BC1819"/>
    <w:rsid w:val="00BC1B4C"/>
    <w:rsid w:val="00BC3256"/>
    <w:rsid w:val="00BC6105"/>
    <w:rsid w:val="00BC7120"/>
    <w:rsid w:val="00BC7D68"/>
    <w:rsid w:val="00BD0AC2"/>
    <w:rsid w:val="00BD1F31"/>
    <w:rsid w:val="00BD294A"/>
    <w:rsid w:val="00BE01A4"/>
    <w:rsid w:val="00BE12A4"/>
    <w:rsid w:val="00BE38D6"/>
    <w:rsid w:val="00BE3AAE"/>
    <w:rsid w:val="00BE4309"/>
    <w:rsid w:val="00BE5314"/>
    <w:rsid w:val="00BE642F"/>
    <w:rsid w:val="00BE7723"/>
    <w:rsid w:val="00BF1F7F"/>
    <w:rsid w:val="00BF2780"/>
    <w:rsid w:val="00BF306A"/>
    <w:rsid w:val="00BF6A70"/>
    <w:rsid w:val="00BF6B7B"/>
    <w:rsid w:val="00BF6D4C"/>
    <w:rsid w:val="00BF71C8"/>
    <w:rsid w:val="00C055C9"/>
    <w:rsid w:val="00C10312"/>
    <w:rsid w:val="00C1298D"/>
    <w:rsid w:val="00C13A05"/>
    <w:rsid w:val="00C15294"/>
    <w:rsid w:val="00C1533E"/>
    <w:rsid w:val="00C15E81"/>
    <w:rsid w:val="00C16643"/>
    <w:rsid w:val="00C20332"/>
    <w:rsid w:val="00C22866"/>
    <w:rsid w:val="00C25DA1"/>
    <w:rsid w:val="00C30F73"/>
    <w:rsid w:val="00C315E8"/>
    <w:rsid w:val="00C33090"/>
    <w:rsid w:val="00C40635"/>
    <w:rsid w:val="00C44564"/>
    <w:rsid w:val="00C52F2E"/>
    <w:rsid w:val="00C53DF8"/>
    <w:rsid w:val="00C5473A"/>
    <w:rsid w:val="00C54C24"/>
    <w:rsid w:val="00C55406"/>
    <w:rsid w:val="00C600A0"/>
    <w:rsid w:val="00C606BE"/>
    <w:rsid w:val="00C6398B"/>
    <w:rsid w:val="00C648AE"/>
    <w:rsid w:val="00C64DC1"/>
    <w:rsid w:val="00C64E27"/>
    <w:rsid w:val="00C667DD"/>
    <w:rsid w:val="00C66972"/>
    <w:rsid w:val="00C67B13"/>
    <w:rsid w:val="00C704D5"/>
    <w:rsid w:val="00C70A3F"/>
    <w:rsid w:val="00C7245C"/>
    <w:rsid w:val="00C72837"/>
    <w:rsid w:val="00C753EE"/>
    <w:rsid w:val="00C7723B"/>
    <w:rsid w:val="00C80D5E"/>
    <w:rsid w:val="00C80F9B"/>
    <w:rsid w:val="00C82293"/>
    <w:rsid w:val="00C82E4F"/>
    <w:rsid w:val="00C844D7"/>
    <w:rsid w:val="00C93251"/>
    <w:rsid w:val="00C93B14"/>
    <w:rsid w:val="00C952B9"/>
    <w:rsid w:val="00C96FAE"/>
    <w:rsid w:val="00CA04EE"/>
    <w:rsid w:val="00CA0AF4"/>
    <w:rsid w:val="00CA1D9A"/>
    <w:rsid w:val="00CA1E21"/>
    <w:rsid w:val="00CA27AC"/>
    <w:rsid w:val="00CA404F"/>
    <w:rsid w:val="00CA65FA"/>
    <w:rsid w:val="00CA6B26"/>
    <w:rsid w:val="00CB208D"/>
    <w:rsid w:val="00CB473C"/>
    <w:rsid w:val="00CB5BAD"/>
    <w:rsid w:val="00CB5E7E"/>
    <w:rsid w:val="00CB74D9"/>
    <w:rsid w:val="00CB7D80"/>
    <w:rsid w:val="00CC07D7"/>
    <w:rsid w:val="00CC1040"/>
    <w:rsid w:val="00CC306A"/>
    <w:rsid w:val="00CC3973"/>
    <w:rsid w:val="00CC43C9"/>
    <w:rsid w:val="00CC4BEE"/>
    <w:rsid w:val="00CC641F"/>
    <w:rsid w:val="00CC6C3B"/>
    <w:rsid w:val="00CC7862"/>
    <w:rsid w:val="00CD06CA"/>
    <w:rsid w:val="00CD2A1A"/>
    <w:rsid w:val="00CD3F2F"/>
    <w:rsid w:val="00CD444F"/>
    <w:rsid w:val="00CD4572"/>
    <w:rsid w:val="00CD4690"/>
    <w:rsid w:val="00CD6F1B"/>
    <w:rsid w:val="00CD7C94"/>
    <w:rsid w:val="00CE0150"/>
    <w:rsid w:val="00CE1B69"/>
    <w:rsid w:val="00CE1D2B"/>
    <w:rsid w:val="00CE3298"/>
    <w:rsid w:val="00CE350E"/>
    <w:rsid w:val="00CE4682"/>
    <w:rsid w:val="00CE47A3"/>
    <w:rsid w:val="00CE52BC"/>
    <w:rsid w:val="00CF0381"/>
    <w:rsid w:val="00CF4588"/>
    <w:rsid w:val="00CF48C9"/>
    <w:rsid w:val="00CF7A6D"/>
    <w:rsid w:val="00D00E69"/>
    <w:rsid w:val="00D0135A"/>
    <w:rsid w:val="00D01A2B"/>
    <w:rsid w:val="00D036C3"/>
    <w:rsid w:val="00D0396D"/>
    <w:rsid w:val="00D05E68"/>
    <w:rsid w:val="00D068A4"/>
    <w:rsid w:val="00D133B4"/>
    <w:rsid w:val="00D143AF"/>
    <w:rsid w:val="00D158DA"/>
    <w:rsid w:val="00D16364"/>
    <w:rsid w:val="00D16D4A"/>
    <w:rsid w:val="00D17DB8"/>
    <w:rsid w:val="00D20553"/>
    <w:rsid w:val="00D260DC"/>
    <w:rsid w:val="00D26360"/>
    <w:rsid w:val="00D301AD"/>
    <w:rsid w:val="00D30AB3"/>
    <w:rsid w:val="00D3118B"/>
    <w:rsid w:val="00D31443"/>
    <w:rsid w:val="00D3189E"/>
    <w:rsid w:val="00D32027"/>
    <w:rsid w:val="00D3212A"/>
    <w:rsid w:val="00D359F9"/>
    <w:rsid w:val="00D4015F"/>
    <w:rsid w:val="00D404CE"/>
    <w:rsid w:val="00D40ED2"/>
    <w:rsid w:val="00D41885"/>
    <w:rsid w:val="00D424B9"/>
    <w:rsid w:val="00D42E12"/>
    <w:rsid w:val="00D442AE"/>
    <w:rsid w:val="00D45C38"/>
    <w:rsid w:val="00D46BB9"/>
    <w:rsid w:val="00D5137F"/>
    <w:rsid w:val="00D513DB"/>
    <w:rsid w:val="00D51C4D"/>
    <w:rsid w:val="00D53C64"/>
    <w:rsid w:val="00D5791B"/>
    <w:rsid w:val="00D57FE1"/>
    <w:rsid w:val="00D6162B"/>
    <w:rsid w:val="00D667E0"/>
    <w:rsid w:val="00D66D8E"/>
    <w:rsid w:val="00D66E29"/>
    <w:rsid w:val="00D70356"/>
    <w:rsid w:val="00D70505"/>
    <w:rsid w:val="00D71368"/>
    <w:rsid w:val="00D71591"/>
    <w:rsid w:val="00D74226"/>
    <w:rsid w:val="00D75425"/>
    <w:rsid w:val="00D76B7B"/>
    <w:rsid w:val="00D80696"/>
    <w:rsid w:val="00D81015"/>
    <w:rsid w:val="00D81736"/>
    <w:rsid w:val="00D82F69"/>
    <w:rsid w:val="00D83036"/>
    <w:rsid w:val="00D8455E"/>
    <w:rsid w:val="00D8480F"/>
    <w:rsid w:val="00D8569C"/>
    <w:rsid w:val="00D8688F"/>
    <w:rsid w:val="00D86F08"/>
    <w:rsid w:val="00D87331"/>
    <w:rsid w:val="00D92ABF"/>
    <w:rsid w:val="00D95C7C"/>
    <w:rsid w:val="00D96E94"/>
    <w:rsid w:val="00D97AE1"/>
    <w:rsid w:val="00D97FB2"/>
    <w:rsid w:val="00DA081D"/>
    <w:rsid w:val="00DA13AD"/>
    <w:rsid w:val="00DA1F10"/>
    <w:rsid w:val="00DA36D1"/>
    <w:rsid w:val="00DA7642"/>
    <w:rsid w:val="00DA7D90"/>
    <w:rsid w:val="00DB06B3"/>
    <w:rsid w:val="00DB51D7"/>
    <w:rsid w:val="00DB527A"/>
    <w:rsid w:val="00DB6C95"/>
    <w:rsid w:val="00DB7C82"/>
    <w:rsid w:val="00DC0A67"/>
    <w:rsid w:val="00DC16B2"/>
    <w:rsid w:val="00DC196A"/>
    <w:rsid w:val="00DC2582"/>
    <w:rsid w:val="00DC3252"/>
    <w:rsid w:val="00DC449A"/>
    <w:rsid w:val="00DC48F9"/>
    <w:rsid w:val="00DC6E36"/>
    <w:rsid w:val="00DD1528"/>
    <w:rsid w:val="00DD1A85"/>
    <w:rsid w:val="00DD2F34"/>
    <w:rsid w:val="00DD34D9"/>
    <w:rsid w:val="00DD3E29"/>
    <w:rsid w:val="00DD549B"/>
    <w:rsid w:val="00DD5B86"/>
    <w:rsid w:val="00DD64BC"/>
    <w:rsid w:val="00DD69C7"/>
    <w:rsid w:val="00DE3A57"/>
    <w:rsid w:val="00DE4221"/>
    <w:rsid w:val="00DE63AB"/>
    <w:rsid w:val="00DE73EA"/>
    <w:rsid w:val="00DF0B93"/>
    <w:rsid w:val="00DF57AD"/>
    <w:rsid w:val="00DF5FFA"/>
    <w:rsid w:val="00DF671C"/>
    <w:rsid w:val="00DF6FF1"/>
    <w:rsid w:val="00E0364B"/>
    <w:rsid w:val="00E04D4D"/>
    <w:rsid w:val="00E058C7"/>
    <w:rsid w:val="00E05E3C"/>
    <w:rsid w:val="00E07826"/>
    <w:rsid w:val="00E07B6C"/>
    <w:rsid w:val="00E132B4"/>
    <w:rsid w:val="00E13769"/>
    <w:rsid w:val="00E13FA8"/>
    <w:rsid w:val="00E17C9A"/>
    <w:rsid w:val="00E20DF6"/>
    <w:rsid w:val="00E21BA7"/>
    <w:rsid w:val="00E2254C"/>
    <w:rsid w:val="00E23585"/>
    <w:rsid w:val="00E238A3"/>
    <w:rsid w:val="00E24130"/>
    <w:rsid w:val="00E25555"/>
    <w:rsid w:val="00E26E67"/>
    <w:rsid w:val="00E26F47"/>
    <w:rsid w:val="00E304B7"/>
    <w:rsid w:val="00E359AA"/>
    <w:rsid w:val="00E363D1"/>
    <w:rsid w:val="00E36869"/>
    <w:rsid w:val="00E40461"/>
    <w:rsid w:val="00E40890"/>
    <w:rsid w:val="00E41655"/>
    <w:rsid w:val="00E440C2"/>
    <w:rsid w:val="00E441FA"/>
    <w:rsid w:val="00E44277"/>
    <w:rsid w:val="00E45B5C"/>
    <w:rsid w:val="00E46510"/>
    <w:rsid w:val="00E46993"/>
    <w:rsid w:val="00E50A0F"/>
    <w:rsid w:val="00E50BE1"/>
    <w:rsid w:val="00E51E15"/>
    <w:rsid w:val="00E51EB6"/>
    <w:rsid w:val="00E51EBA"/>
    <w:rsid w:val="00E522A6"/>
    <w:rsid w:val="00E5372D"/>
    <w:rsid w:val="00E54688"/>
    <w:rsid w:val="00E5544D"/>
    <w:rsid w:val="00E56358"/>
    <w:rsid w:val="00E576EF"/>
    <w:rsid w:val="00E615EC"/>
    <w:rsid w:val="00E63C92"/>
    <w:rsid w:val="00E716CA"/>
    <w:rsid w:val="00E71D78"/>
    <w:rsid w:val="00E724D8"/>
    <w:rsid w:val="00E73D0F"/>
    <w:rsid w:val="00E80E6F"/>
    <w:rsid w:val="00E82BA1"/>
    <w:rsid w:val="00E82F38"/>
    <w:rsid w:val="00E84A69"/>
    <w:rsid w:val="00E91102"/>
    <w:rsid w:val="00E930B6"/>
    <w:rsid w:val="00E97B4F"/>
    <w:rsid w:val="00EA16BC"/>
    <w:rsid w:val="00EA1FFE"/>
    <w:rsid w:val="00EA3655"/>
    <w:rsid w:val="00EA3DA2"/>
    <w:rsid w:val="00EA4132"/>
    <w:rsid w:val="00EA4FA2"/>
    <w:rsid w:val="00EB1AEB"/>
    <w:rsid w:val="00EB50ED"/>
    <w:rsid w:val="00EC050F"/>
    <w:rsid w:val="00EC094C"/>
    <w:rsid w:val="00EC16AC"/>
    <w:rsid w:val="00ED0418"/>
    <w:rsid w:val="00ED0E8B"/>
    <w:rsid w:val="00ED2FF8"/>
    <w:rsid w:val="00ED46CB"/>
    <w:rsid w:val="00ED6D61"/>
    <w:rsid w:val="00ED7AD7"/>
    <w:rsid w:val="00EE1981"/>
    <w:rsid w:val="00EE1ED2"/>
    <w:rsid w:val="00EE2212"/>
    <w:rsid w:val="00EE2242"/>
    <w:rsid w:val="00EE6E6A"/>
    <w:rsid w:val="00EE739E"/>
    <w:rsid w:val="00EE7ADC"/>
    <w:rsid w:val="00EF15FA"/>
    <w:rsid w:val="00EF1A6C"/>
    <w:rsid w:val="00EF309C"/>
    <w:rsid w:val="00EF4BD5"/>
    <w:rsid w:val="00EF5199"/>
    <w:rsid w:val="00EF5B0E"/>
    <w:rsid w:val="00F00639"/>
    <w:rsid w:val="00F01944"/>
    <w:rsid w:val="00F01E1D"/>
    <w:rsid w:val="00F022E4"/>
    <w:rsid w:val="00F03E44"/>
    <w:rsid w:val="00F04BB9"/>
    <w:rsid w:val="00F058D3"/>
    <w:rsid w:val="00F075D9"/>
    <w:rsid w:val="00F1020F"/>
    <w:rsid w:val="00F16EF0"/>
    <w:rsid w:val="00F21E1C"/>
    <w:rsid w:val="00F26F42"/>
    <w:rsid w:val="00F2764F"/>
    <w:rsid w:val="00F27CA7"/>
    <w:rsid w:val="00F30F44"/>
    <w:rsid w:val="00F3407C"/>
    <w:rsid w:val="00F34943"/>
    <w:rsid w:val="00F35D8A"/>
    <w:rsid w:val="00F40D9B"/>
    <w:rsid w:val="00F40EDB"/>
    <w:rsid w:val="00F42CDD"/>
    <w:rsid w:val="00F42FEA"/>
    <w:rsid w:val="00F43196"/>
    <w:rsid w:val="00F44574"/>
    <w:rsid w:val="00F456BD"/>
    <w:rsid w:val="00F4573B"/>
    <w:rsid w:val="00F4578F"/>
    <w:rsid w:val="00F46A41"/>
    <w:rsid w:val="00F53C20"/>
    <w:rsid w:val="00F54554"/>
    <w:rsid w:val="00F553FA"/>
    <w:rsid w:val="00F55FDC"/>
    <w:rsid w:val="00F577F2"/>
    <w:rsid w:val="00F579F5"/>
    <w:rsid w:val="00F60A4A"/>
    <w:rsid w:val="00F610B7"/>
    <w:rsid w:val="00F645C2"/>
    <w:rsid w:val="00F71211"/>
    <w:rsid w:val="00F72197"/>
    <w:rsid w:val="00F7274C"/>
    <w:rsid w:val="00F7319A"/>
    <w:rsid w:val="00F73FC6"/>
    <w:rsid w:val="00F7606B"/>
    <w:rsid w:val="00F76DAA"/>
    <w:rsid w:val="00F77C42"/>
    <w:rsid w:val="00F77DAC"/>
    <w:rsid w:val="00F8091B"/>
    <w:rsid w:val="00F80FC4"/>
    <w:rsid w:val="00F83973"/>
    <w:rsid w:val="00F855E0"/>
    <w:rsid w:val="00F877E1"/>
    <w:rsid w:val="00F90BC0"/>
    <w:rsid w:val="00F91CDA"/>
    <w:rsid w:val="00F93E63"/>
    <w:rsid w:val="00F95A63"/>
    <w:rsid w:val="00F9739A"/>
    <w:rsid w:val="00FA1017"/>
    <w:rsid w:val="00FA2A8A"/>
    <w:rsid w:val="00FA52EE"/>
    <w:rsid w:val="00FA69EB"/>
    <w:rsid w:val="00FB2E33"/>
    <w:rsid w:val="00FB394C"/>
    <w:rsid w:val="00FB3A3C"/>
    <w:rsid w:val="00FB3D52"/>
    <w:rsid w:val="00FC1796"/>
    <w:rsid w:val="00FC20E3"/>
    <w:rsid w:val="00FC24D3"/>
    <w:rsid w:val="00FC5448"/>
    <w:rsid w:val="00FC6B44"/>
    <w:rsid w:val="00FC6C9C"/>
    <w:rsid w:val="00FD0556"/>
    <w:rsid w:val="00FD28C9"/>
    <w:rsid w:val="00FD40ED"/>
    <w:rsid w:val="00FD4B70"/>
    <w:rsid w:val="00FD6556"/>
    <w:rsid w:val="00FD6814"/>
    <w:rsid w:val="00FD7D70"/>
    <w:rsid w:val="00FE0AA1"/>
    <w:rsid w:val="00FE213E"/>
    <w:rsid w:val="00FE237E"/>
    <w:rsid w:val="00FE2DF9"/>
    <w:rsid w:val="00FE30FB"/>
    <w:rsid w:val="00FE5374"/>
    <w:rsid w:val="00FE5A11"/>
    <w:rsid w:val="00FE6AC3"/>
    <w:rsid w:val="00FE7D23"/>
    <w:rsid w:val="00FF063B"/>
    <w:rsid w:val="00FF28F2"/>
    <w:rsid w:val="00FF2C18"/>
    <w:rsid w:val="00FF311A"/>
    <w:rsid w:val="00FF40D2"/>
    <w:rsid w:val="00FF4683"/>
    <w:rsid w:val="00FF5B6C"/>
    <w:rsid w:val="00FF625F"/>
    <w:rsid w:val="00FF6494"/>
    <w:rsid w:val="00FF665E"/>
    <w:rsid w:val="00FF6FC1"/>
    <w:rsid w:val="029C3A37"/>
    <w:rsid w:val="053311D1"/>
    <w:rsid w:val="063B516F"/>
    <w:rsid w:val="09C0795E"/>
    <w:rsid w:val="0C7C732A"/>
    <w:rsid w:val="0E1B31B1"/>
    <w:rsid w:val="0E4C2224"/>
    <w:rsid w:val="125807E5"/>
    <w:rsid w:val="125C571A"/>
    <w:rsid w:val="1341324B"/>
    <w:rsid w:val="172C3EE7"/>
    <w:rsid w:val="17A358BD"/>
    <w:rsid w:val="19A50A48"/>
    <w:rsid w:val="19B50010"/>
    <w:rsid w:val="2174112A"/>
    <w:rsid w:val="226C19EF"/>
    <w:rsid w:val="227B0BEC"/>
    <w:rsid w:val="2969303F"/>
    <w:rsid w:val="2A195FE7"/>
    <w:rsid w:val="2D395C09"/>
    <w:rsid w:val="2D630614"/>
    <w:rsid w:val="2E1C2536"/>
    <w:rsid w:val="2E993FCB"/>
    <w:rsid w:val="2EA80D74"/>
    <w:rsid w:val="32016D51"/>
    <w:rsid w:val="330E2EBE"/>
    <w:rsid w:val="33CD378F"/>
    <w:rsid w:val="33F72988"/>
    <w:rsid w:val="34DB02DC"/>
    <w:rsid w:val="36A83122"/>
    <w:rsid w:val="376716E1"/>
    <w:rsid w:val="3BEF24D3"/>
    <w:rsid w:val="3DE0688F"/>
    <w:rsid w:val="3FD604F5"/>
    <w:rsid w:val="43A56394"/>
    <w:rsid w:val="46730CBD"/>
    <w:rsid w:val="4A7F69AB"/>
    <w:rsid w:val="4BC313AD"/>
    <w:rsid w:val="4D511DEF"/>
    <w:rsid w:val="4D896E12"/>
    <w:rsid w:val="4E133850"/>
    <w:rsid w:val="4FE9271B"/>
    <w:rsid w:val="4FED4FCD"/>
    <w:rsid w:val="51E60E5E"/>
    <w:rsid w:val="52E535ED"/>
    <w:rsid w:val="554E2E2D"/>
    <w:rsid w:val="5585052F"/>
    <w:rsid w:val="559D5EA6"/>
    <w:rsid w:val="5EC33644"/>
    <w:rsid w:val="64920910"/>
    <w:rsid w:val="650858E6"/>
    <w:rsid w:val="661F3FC6"/>
    <w:rsid w:val="663526A9"/>
    <w:rsid w:val="670747CC"/>
    <w:rsid w:val="672F06EC"/>
    <w:rsid w:val="6BA92337"/>
    <w:rsid w:val="6D636443"/>
    <w:rsid w:val="6E8B400F"/>
    <w:rsid w:val="72B56FFB"/>
    <w:rsid w:val="72CC4E95"/>
    <w:rsid w:val="73100B9D"/>
    <w:rsid w:val="736A6779"/>
    <w:rsid w:val="75E32ADD"/>
    <w:rsid w:val="78DB06ED"/>
    <w:rsid w:val="794B39E4"/>
    <w:rsid w:val="7A1F1A86"/>
    <w:rsid w:val="7AA2433B"/>
    <w:rsid w:val="7AF315C8"/>
    <w:rsid w:val="7B8A5D7E"/>
    <w:rsid w:val="7DE15C13"/>
    <w:rsid w:val="7E66247A"/>
    <w:rsid w:val="7F0363BC"/>
    <w:rsid w:val="7F1C302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0"/>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1"/>
    <w:qFormat/>
    <w:uiPriority w:val="99"/>
    <w:pPr>
      <w:spacing w:beforeLines="50" w:afterLines="50" w:line="360" w:lineRule="auto"/>
      <w:ind w:firstLine="420" w:firstLineChars="200"/>
      <w:jc w:val="left"/>
      <w:outlineLvl w:val="1"/>
    </w:pPr>
    <w:rPr>
      <w:rFonts w:ascii="宋体" w:cs="宋体"/>
      <w:b/>
      <w:bCs/>
      <w:kern w:val="0"/>
      <w:sz w:val="36"/>
      <w:szCs w:val="36"/>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2"/>
    <w:semiHidden/>
    <w:qFormat/>
    <w:uiPriority w:val="99"/>
    <w:pPr>
      <w:spacing w:before="120" w:after="120" w:line="360" w:lineRule="auto"/>
      <w:ind w:firstLine="200" w:firstLineChars="200"/>
      <w:jc w:val="left"/>
    </w:pPr>
    <w:rPr>
      <w:kern w:val="0"/>
      <w:sz w:val="24"/>
      <w:szCs w:val="24"/>
    </w:rPr>
  </w:style>
  <w:style w:type="paragraph" w:styleId="5">
    <w:name w:val="toc 3"/>
    <w:basedOn w:val="1"/>
    <w:next w:val="1"/>
    <w:unhideWhenUsed/>
    <w:locked/>
    <w:uiPriority w:val="39"/>
    <w:pPr>
      <w:widowControl/>
      <w:spacing w:after="100" w:line="259" w:lineRule="auto"/>
      <w:ind w:left="440"/>
      <w:jc w:val="left"/>
    </w:pPr>
    <w:rPr>
      <w:rFonts w:cs="Times New Roman"/>
      <w:kern w:val="0"/>
      <w:sz w:val="22"/>
      <w:szCs w:val="22"/>
    </w:rPr>
  </w:style>
  <w:style w:type="paragraph" w:styleId="6">
    <w:name w:val="Balloon Text"/>
    <w:basedOn w:val="1"/>
    <w:link w:val="23"/>
    <w:semiHidden/>
    <w:qFormat/>
    <w:uiPriority w:val="99"/>
    <w:rPr>
      <w:kern w:val="0"/>
      <w:sz w:val="18"/>
      <w:szCs w:val="18"/>
    </w:rPr>
  </w:style>
  <w:style w:type="paragraph" w:styleId="7">
    <w:name w:val="footer"/>
    <w:basedOn w:val="1"/>
    <w:link w:val="24"/>
    <w:qFormat/>
    <w:uiPriority w:val="99"/>
    <w:pPr>
      <w:tabs>
        <w:tab w:val="center" w:pos="4153"/>
        <w:tab w:val="right" w:pos="8306"/>
      </w:tabs>
      <w:snapToGrid w:val="0"/>
      <w:jc w:val="left"/>
    </w:pPr>
    <w:rPr>
      <w:kern w:val="0"/>
      <w:sz w:val="18"/>
      <w:szCs w:val="18"/>
    </w:rPr>
  </w:style>
  <w:style w:type="paragraph" w:styleId="8">
    <w:name w:val="header"/>
    <w:basedOn w:val="1"/>
    <w:link w:val="25"/>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toc 1"/>
    <w:basedOn w:val="1"/>
    <w:next w:val="1"/>
    <w:qFormat/>
    <w:uiPriority w:val="39"/>
    <w:pPr>
      <w:tabs>
        <w:tab w:val="right" w:leader="dot" w:pos="8834"/>
      </w:tabs>
    </w:pPr>
    <w:rPr>
      <w:rFonts w:ascii="方正小标宋简体" w:eastAsia="方正小标宋简体" w:cs="方正小标宋简体"/>
      <w:b/>
      <w:bCs/>
      <w:sz w:val="32"/>
      <w:szCs w:val="32"/>
    </w:rPr>
  </w:style>
  <w:style w:type="paragraph" w:styleId="10">
    <w:name w:val="toc 2"/>
    <w:basedOn w:val="1"/>
    <w:next w:val="1"/>
    <w:qFormat/>
    <w:uiPriority w:val="39"/>
    <w:pPr>
      <w:ind w:left="420" w:leftChars="200"/>
    </w:pPr>
  </w:style>
  <w:style w:type="paragraph" w:styleId="11">
    <w:name w:val="HTML Preformatted"/>
    <w:basedOn w:val="1"/>
    <w:link w:val="2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3">
    <w:name w:val="annotation subject"/>
    <w:basedOn w:val="4"/>
    <w:next w:val="4"/>
    <w:link w:val="29"/>
    <w:semiHidden/>
    <w:qFormat/>
    <w:uiPriority w:val="99"/>
    <w:rPr>
      <w:b/>
      <w:bCs/>
    </w:rPr>
  </w:style>
  <w:style w:type="table" w:styleId="15">
    <w:name w:val="Table Grid"/>
    <w:basedOn w:val="14"/>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qFormat/>
    <w:uiPriority w:val="99"/>
    <w:rPr>
      <w:rFonts w:eastAsia="黑体"/>
      <w:sz w:val="21"/>
      <w:szCs w:val="21"/>
    </w:rPr>
  </w:style>
  <w:style w:type="character" w:styleId="18">
    <w:name w:val="Hyperlink"/>
    <w:qFormat/>
    <w:uiPriority w:val="99"/>
    <w:rPr>
      <w:color w:val="0000FF"/>
      <w:u w:val="single"/>
    </w:rPr>
  </w:style>
  <w:style w:type="character" w:styleId="19">
    <w:name w:val="annotation reference"/>
    <w:semiHidden/>
    <w:qFormat/>
    <w:uiPriority w:val="99"/>
    <w:rPr>
      <w:sz w:val="21"/>
      <w:szCs w:val="21"/>
    </w:rPr>
  </w:style>
  <w:style w:type="character" w:customStyle="1" w:styleId="20">
    <w:name w:val="标题 1 Char"/>
    <w:link w:val="2"/>
    <w:qFormat/>
    <w:locked/>
    <w:uiPriority w:val="99"/>
    <w:rPr>
      <w:b/>
      <w:bCs/>
      <w:kern w:val="44"/>
      <w:sz w:val="44"/>
      <w:szCs w:val="44"/>
    </w:rPr>
  </w:style>
  <w:style w:type="character" w:customStyle="1" w:styleId="21">
    <w:name w:val="标题 2 Char"/>
    <w:link w:val="3"/>
    <w:qFormat/>
    <w:locked/>
    <w:uiPriority w:val="99"/>
    <w:rPr>
      <w:rFonts w:ascii="宋体" w:eastAsia="宋体" w:cs="宋体"/>
      <w:b/>
      <w:bCs/>
      <w:kern w:val="0"/>
      <w:sz w:val="36"/>
      <w:szCs w:val="36"/>
    </w:rPr>
  </w:style>
  <w:style w:type="character" w:customStyle="1" w:styleId="22">
    <w:name w:val="批注文字 Char"/>
    <w:link w:val="4"/>
    <w:semiHidden/>
    <w:qFormat/>
    <w:locked/>
    <w:uiPriority w:val="99"/>
    <w:rPr>
      <w:rFonts w:ascii="Calibri" w:hAnsi="Calibri" w:eastAsia="宋体" w:cs="Calibri"/>
      <w:sz w:val="24"/>
      <w:szCs w:val="24"/>
    </w:rPr>
  </w:style>
  <w:style w:type="character" w:customStyle="1" w:styleId="23">
    <w:name w:val="批注框文本 Char"/>
    <w:link w:val="6"/>
    <w:semiHidden/>
    <w:qFormat/>
    <w:locked/>
    <w:uiPriority w:val="99"/>
    <w:rPr>
      <w:sz w:val="18"/>
      <w:szCs w:val="18"/>
    </w:rPr>
  </w:style>
  <w:style w:type="character" w:customStyle="1" w:styleId="24">
    <w:name w:val="页脚 Char"/>
    <w:link w:val="7"/>
    <w:qFormat/>
    <w:locked/>
    <w:uiPriority w:val="99"/>
    <w:rPr>
      <w:sz w:val="18"/>
      <w:szCs w:val="18"/>
    </w:rPr>
  </w:style>
  <w:style w:type="character" w:customStyle="1" w:styleId="25">
    <w:name w:val="页眉 Char"/>
    <w:link w:val="8"/>
    <w:qFormat/>
    <w:locked/>
    <w:uiPriority w:val="99"/>
    <w:rPr>
      <w:sz w:val="18"/>
      <w:szCs w:val="18"/>
    </w:rPr>
  </w:style>
  <w:style w:type="character" w:customStyle="1" w:styleId="26">
    <w:name w:val="HTML 预设格式 Char"/>
    <w:link w:val="11"/>
    <w:qFormat/>
    <w:locked/>
    <w:uiPriority w:val="99"/>
    <w:rPr>
      <w:rFonts w:ascii="宋体" w:hAnsi="宋体" w:eastAsia="宋体" w:cs="宋体"/>
      <w:kern w:val="0"/>
      <w:sz w:val="24"/>
      <w:szCs w:val="24"/>
    </w:rPr>
  </w:style>
  <w:style w:type="character" w:customStyle="1" w:styleId="27">
    <w:name w:val="Comment Subject Char"/>
    <w:semiHidden/>
    <w:qFormat/>
    <w:locked/>
    <w:uiPriority w:val="99"/>
    <w:rPr>
      <w:rFonts w:ascii="Calibri" w:hAnsi="Calibri" w:eastAsia="宋体" w:cs="Calibri"/>
      <w:b/>
      <w:bCs/>
      <w:sz w:val="24"/>
      <w:szCs w:val="24"/>
    </w:rPr>
  </w:style>
  <w:style w:type="paragraph" w:styleId="28">
    <w:name w:val="List Paragraph"/>
    <w:basedOn w:val="1"/>
    <w:qFormat/>
    <w:uiPriority w:val="99"/>
    <w:pPr>
      <w:ind w:firstLine="420" w:firstLineChars="200"/>
    </w:pPr>
  </w:style>
  <w:style w:type="character" w:customStyle="1" w:styleId="29">
    <w:name w:val="批注主题 Char"/>
    <w:link w:val="13"/>
    <w:semiHidden/>
    <w:qFormat/>
    <w:locked/>
    <w:uiPriority w:val="99"/>
    <w:rPr>
      <w:rFonts w:ascii="Calibri" w:hAnsi="Calibri" w:eastAsia="宋体" w:cs="Calibri"/>
      <w:b/>
      <w:bCs/>
      <w:sz w:val="24"/>
      <w:szCs w:val="24"/>
    </w:rPr>
  </w:style>
  <w:style w:type="paragraph" w:customStyle="1" w:styleId="30">
    <w:name w:val="p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1">
    <w:name w:val="TOC 标题1"/>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table" w:customStyle="1" w:styleId="32">
    <w:name w:val="网格型1"/>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3">
    <w:name w:val="apple-converted-space"/>
    <w:qFormat/>
    <w:uiPriority w:val="99"/>
  </w:style>
  <w:style w:type="paragraph" w:customStyle="1" w:styleId="34">
    <w:name w:val="修订1"/>
    <w:hidden/>
    <w:semiHidden/>
    <w:qFormat/>
    <w:uiPriority w:val="99"/>
    <w:rPr>
      <w:rFonts w:ascii="Calibri" w:hAnsi="Calibri" w:eastAsia="宋体" w:cs="Calibri"/>
      <w:kern w:val="2"/>
      <w:sz w:val="21"/>
      <w:szCs w:val="21"/>
      <w:lang w:val="en-US" w:eastAsia="zh-CN" w:bidi="ar-SA"/>
    </w:rPr>
  </w:style>
  <w:style w:type="paragraph" w:customStyle="1" w:styleId="35">
    <w:name w:val="Table Paragraph"/>
    <w:basedOn w:val="1"/>
    <w:qFormat/>
    <w:uiPriority w:val="1"/>
    <w:pPr>
      <w:jc w:val="center"/>
    </w:pPr>
    <w:rPr>
      <w:rFonts w:ascii="宋体" w:hAnsi="宋体" w:cs="宋体"/>
      <w:lang w:val="zh-CN" w:bidi="zh-CN"/>
    </w:rPr>
  </w:style>
  <w:style w:type="paragraph" w:customStyle="1" w:styleId="3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7">
    <w:name w:val="TOC 标题2"/>
    <w:basedOn w:val="2"/>
    <w:next w:val="1"/>
    <w:unhideWhenUsed/>
    <w:qFormat/>
    <w:uiPriority w:val="39"/>
    <w:pPr>
      <w:widowControl/>
      <w:spacing w:before="240" w:after="0" w:line="259" w:lineRule="auto"/>
      <w:jc w:val="left"/>
      <w:outlineLvl w:val="9"/>
    </w:pPr>
    <w:rPr>
      <w:rFonts w:ascii="Calibri Light" w:hAnsi="Calibri Light" w:cs="Times New Roman"/>
      <w:b w:val="0"/>
      <w:bCs w:val="0"/>
      <w:color w:val="2E74B5"/>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2C8E24-F846-4C6A-BF0D-FB15B5B7D4DF}">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383</Pages>
  <Words>34545</Words>
  <Characters>196913</Characters>
  <Lines>1640</Lines>
  <Paragraphs>461</Paragraphs>
  <TotalTime>326</TotalTime>
  <ScaleCrop>false</ScaleCrop>
  <LinksUpToDate>false</LinksUpToDate>
  <CharactersWithSpaces>230997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2021-12-03T07:05:00Z</dcterms:created>
  <dc:creator>刘静</dc:creator>
  <cp:lastModifiedBy>王涛</cp:lastModifiedBy>
  <cp:lastPrinted>2021-11-24T02:41:00Z</cp:lastPrinted>
  <dcterms:modified xsi:type="dcterms:W3CDTF">2022-02-28T02:37:13Z</dcterms:modified>
  <dc:title>山东省生态环境行政处罚裁量基准</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847D4AA8BF044A038E46F633D104D79C</vt:lpwstr>
  </property>
</Properties>
</file>