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color w:val="000000"/>
          <w:kern w:val="0"/>
          <w:sz w:val="44"/>
          <w:szCs w:val="44"/>
        </w:rPr>
      </w:pPr>
      <w:r>
        <w:rPr>
          <w:rFonts w:hint="eastAsia" w:eastAsia="方正小标宋简体"/>
          <w:color w:val="000000"/>
          <w:kern w:val="0"/>
          <w:sz w:val="44"/>
          <w:szCs w:val="44"/>
        </w:rPr>
        <w:t>山东省</w:t>
      </w:r>
      <w:r>
        <w:rPr>
          <w:rFonts w:eastAsia="方正小标宋简体"/>
          <w:color w:val="000000"/>
          <w:kern w:val="0"/>
          <w:sz w:val="44"/>
          <w:szCs w:val="44"/>
        </w:rPr>
        <w:t>生态环境厅</w:t>
      </w:r>
    </w:p>
    <w:p>
      <w:pPr>
        <w:spacing w:line="600" w:lineRule="exact"/>
        <w:jc w:val="center"/>
        <w:rPr>
          <w:rFonts w:eastAsia="方正小标宋简体"/>
          <w:color w:val="000000"/>
          <w:kern w:val="0"/>
          <w:sz w:val="44"/>
          <w:szCs w:val="44"/>
        </w:rPr>
      </w:pPr>
      <w:r>
        <w:rPr>
          <w:rFonts w:hint="eastAsia" w:eastAsia="方正小标宋简体"/>
          <w:color w:val="000000"/>
          <w:kern w:val="0"/>
          <w:sz w:val="44"/>
          <w:szCs w:val="44"/>
        </w:rPr>
        <w:t>关于加强产业园区规划环境影响评价工作</w:t>
      </w:r>
    </w:p>
    <w:p>
      <w:pPr>
        <w:spacing w:line="600" w:lineRule="exact"/>
        <w:jc w:val="center"/>
        <w:rPr>
          <w:rFonts w:eastAsia="方正小标宋简体"/>
          <w:color w:val="000000"/>
          <w:kern w:val="0"/>
          <w:sz w:val="44"/>
          <w:szCs w:val="44"/>
        </w:rPr>
      </w:pPr>
      <w:r>
        <w:rPr>
          <w:rFonts w:hint="eastAsia" w:eastAsia="方正小标宋简体"/>
          <w:color w:val="000000"/>
          <w:kern w:val="0"/>
          <w:sz w:val="44"/>
          <w:szCs w:val="44"/>
        </w:rPr>
        <w:t>的实施意见</w:t>
      </w:r>
    </w:p>
    <w:p>
      <w:pPr>
        <w:spacing w:line="600" w:lineRule="exact"/>
        <w:jc w:val="center"/>
        <w:rPr>
          <w:rFonts w:eastAsia="楷体_GB2312"/>
          <w:color w:val="000000"/>
          <w:kern w:val="0"/>
        </w:rPr>
      </w:pPr>
      <w:r>
        <w:rPr>
          <w:rFonts w:hint="eastAsia" w:eastAsia="楷体_GB2312"/>
          <w:color w:val="000000"/>
          <w:kern w:val="0"/>
        </w:rPr>
        <w:t>（征求意见稿）</w:t>
      </w:r>
    </w:p>
    <w:p>
      <w:pPr>
        <w:spacing w:line="600" w:lineRule="exact"/>
        <w:rPr>
          <w:rFonts w:eastAsia="仿宋_GB2312"/>
          <w:color w:val="000000"/>
          <w:kern w:val="0"/>
          <w:sz w:val="36"/>
          <w:szCs w:val="36"/>
        </w:rPr>
      </w:pPr>
    </w:p>
    <w:p>
      <w:pPr>
        <w:rPr>
          <w:rFonts w:eastAsia="仿宋_GB2312"/>
        </w:rPr>
      </w:pPr>
      <w:r>
        <w:rPr>
          <w:rFonts w:hint="eastAsia" w:eastAsia="仿宋_GB2312"/>
        </w:rPr>
        <w:t>各市生态环境局、有关市行政审批服务局，各产业园区管理机构：</w:t>
      </w:r>
    </w:p>
    <w:p>
      <w:pPr>
        <w:ind w:firstLine="632" w:firstLineChars="200"/>
      </w:pPr>
      <w:r>
        <w:rPr>
          <w:rFonts w:hint="eastAsia" w:eastAsia="仿宋_GB2312"/>
        </w:rPr>
        <w:t>为贯彻落实《规划环境影响评价条例》《山东省规划环境影响评价条例》《生态环境部关于进一步加强产业园区规划环境影响评价工作的意见》（环环评〔</w:t>
      </w:r>
      <w:r>
        <w:rPr>
          <w:rFonts w:eastAsia="仿宋_GB2312"/>
        </w:rPr>
        <w:t>2020</w:t>
      </w:r>
      <w:r>
        <w:rPr>
          <w:rFonts w:hint="eastAsia" w:eastAsia="仿宋_GB2312"/>
        </w:rPr>
        <w:t>〕</w:t>
      </w:r>
      <w:r>
        <w:rPr>
          <w:rFonts w:eastAsia="仿宋_GB2312"/>
        </w:rPr>
        <w:t>65</w:t>
      </w:r>
      <w:r>
        <w:rPr>
          <w:rFonts w:hint="eastAsia" w:eastAsia="仿宋_GB2312"/>
        </w:rPr>
        <w:t>号）有关要求，充分发挥规划环境影响评价（以下简称规划环评）在优化空间开发布局、推动环境质量改善、促进产业转型升级等方面的指导作用，助推产业园区绿色高质量发展，现就进一步做好我省产业园区规划环评工作提出意见如下。</w:t>
      </w:r>
    </w:p>
    <w:p>
      <w:pPr>
        <w:ind w:firstLine="632" w:firstLineChars="200"/>
        <w:textAlignment w:val="baseline"/>
        <w:rPr>
          <w:rFonts w:eastAsia="黑体"/>
          <w:color w:val="000000"/>
        </w:rPr>
      </w:pPr>
      <w:r>
        <w:rPr>
          <w:rFonts w:hint="eastAsia" w:eastAsia="黑体"/>
          <w:color w:val="000000"/>
        </w:rPr>
        <w:t>一、落实主体责任，依法依规开展规划环评</w:t>
      </w:r>
    </w:p>
    <w:p>
      <w:pPr>
        <w:ind w:firstLine="632" w:firstLineChars="200"/>
        <w:textAlignment w:val="baseline"/>
        <w:rPr>
          <w:rFonts w:eastAsia="仿宋_GB2312"/>
          <w:color w:val="000000"/>
        </w:rPr>
      </w:pPr>
      <w:r>
        <w:rPr>
          <w:rFonts w:hint="eastAsia" w:eastAsia="楷体_GB2312"/>
          <w:color w:val="000000"/>
        </w:rPr>
        <w:t>（一）明确产业园区规划环评编制范围</w:t>
      </w:r>
      <w:r>
        <w:rPr>
          <w:rFonts w:hint="eastAsia" w:eastAsia="仿宋_GB2312"/>
          <w:color w:val="000000"/>
        </w:rPr>
        <w:t>。经批准设立的新区、农业高新技术产业示范区、高新技术开发区、经济技术开发区、旅游度假区、工业集聚区、工业园区等各类产业园区，在编制（修编）总体规划或区域开发建设有关规划时，应依法开展规划环评工作，编写规划环境影响报告书。在规划审批前，报送相应生态环境主管部门组织审查。规划审批机关在审批规划时，应将规划环评结论及审查意见作为决策的重要依据，审批中未采纳环境影响报告书结论及审查意见的，应当作出说明并存档备查。规划在实施范围、适用期限、规模、结构和布局等方面需要进行重大调整或修订的，应当依法重新或补充开展规划环评工作。</w:t>
      </w:r>
    </w:p>
    <w:p>
      <w:pPr>
        <w:ind w:firstLine="632" w:firstLineChars="200"/>
        <w:rPr>
          <w:rFonts w:eastAsia="仿宋_GB2312"/>
          <w:color w:val="0000FF"/>
        </w:rPr>
      </w:pPr>
      <w:r>
        <w:rPr>
          <w:rFonts w:hint="eastAsia" w:eastAsia="楷体_GB2312"/>
          <w:color w:val="000000"/>
        </w:rPr>
        <w:t>（二）落实产业园区管理机构主体责任</w:t>
      </w:r>
      <w:r>
        <w:rPr>
          <w:rFonts w:hint="eastAsia" w:eastAsia="仿宋_GB2312"/>
          <w:color w:val="000000"/>
        </w:rPr>
        <w:t>。产业园区管理机构是开展产业园区规划环评工作的责任主体，对规划环评的质量和结论负责，在规划实施过程中要认真落实规划环评要求，并接受所属人民政府的监督。规划环评工作开展过程中，应依法征求相关部门、专家和公众的意见。涉及重点区域、重点行业且跨区域环境影响的规划，还应依照相关规定组织开展环评会商。对实施五年</w:t>
      </w:r>
      <w:r>
        <w:rPr>
          <w:rFonts w:eastAsia="仿宋_GB2312"/>
          <w:color w:val="000000"/>
        </w:rPr>
        <w:t>以上</w:t>
      </w:r>
      <w:r>
        <w:rPr>
          <w:rFonts w:hint="eastAsia" w:eastAsia="仿宋_GB2312"/>
          <w:color w:val="000000"/>
        </w:rPr>
        <w:t>且未发生重大调整的规划，产业园区管理机构应及时开展环境影响跟踪评价工作，编写规划环境影响跟踪评价报告，</w:t>
      </w:r>
      <w:r>
        <w:rPr>
          <w:rFonts w:hint="eastAsia" w:eastAsia="仿宋_GB2312"/>
        </w:rPr>
        <w:t>及时报送规划审批机关和相关生态环境主管部门。</w:t>
      </w:r>
    </w:p>
    <w:p>
      <w:pPr>
        <w:ind w:firstLine="632" w:firstLineChars="200"/>
        <w:rPr>
          <w:rFonts w:eastAsia="仿宋_GB2312"/>
        </w:rPr>
      </w:pPr>
      <w:r>
        <w:rPr>
          <w:rFonts w:hint="eastAsia" w:eastAsia="楷体_GB2312"/>
          <w:color w:val="000000"/>
        </w:rPr>
        <w:t>（三）规范产业园区规划环评编制要求</w:t>
      </w:r>
      <w:r>
        <w:rPr>
          <w:rFonts w:hint="eastAsia" w:eastAsia="仿宋_GB2312"/>
          <w:color w:val="000000"/>
        </w:rPr>
        <w:t>。产业园区管理机构可以自行或委托规划环评技术机构编写规划环境影响报告书和环境影响跟踪评价报告（以下简称规划环评文件），委托编写时应选用信用良好、技术能力强的技术机构，并在合同中明确规划环评质量要求。规划环评文件编写应严格落实相关技术导则、技术规范要求，结合园区实际，充分衔接</w:t>
      </w:r>
      <w:r>
        <w:rPr>
          <w:rFonts w:eastAsia="仿宋_GB2312"/>
          <w:color w:val="000000"/>
        </w:rPr>
        <w:t>“</w:t>
      </w:r>
      <w:r>
        <w:rPr>
          <w:rFonts w:hint="eastAsia" w:eastAsia="仿宋_GB2312"/>
          <w:color w:val="000000"/>
        </w:rPr>
        <w:t>三线一单</w:t>
      </w:r>
      <w:r>
        <w:rPr>
          <w:rFonts w:eastAsia="仿宋_GB2312"/>
          <w:color w:val="000000"/>
        </w:rPr>
        <w:t>”</w:t>
      </w:r>
      <w:r>
        <w:rPr>
          <w:rFonts w:hint="eastAsia" w:eastAsia="仿宋_GB2312"/>
          <w:color w:val="000000"/>
        </w:rPr>
        <w:t>生态环境分区管控成果、碳排放</w:t>
      </w:r>
      <w:r>
        <w:rPr>
          <w:rFonts w:eastAsia="仿宋_GB2312"/>
          <w:color w:val="000000"/>
        </w:rPr>
        <w:t>管理</w:t>
      </w:r>
      <w:r>
        <w:rPr>
          <w:rFonts w:hint="eastAsia" w:eastAsia="仿宋_GB2312"/>
          <w:color w:val="000000"/>
        </w:rPr>
        <w:t>要求</w:t>
      </w:r>
      <w:r>
        <w:rPr>
          <w:rFonts w:eastAsia="仿宋_GB2312"/>
          <w:color w:val="000000"/>
        </w:rPr>
        <w:t>、</w:t>
      </w:r>
      <w:r>
        <w:rPr>
          <w:rFonts w:hint="eastAsia" w:eastAsia="仿宋_GB2312"/>
          <w:color w:val="000000"/>
        </w:rPr>
        <w:t>生态工业园区创建标准，重点围绕生态环境质量改善、基础设施建设和环境风险防控等内容，从生态环境保护角度对规划的产业定位、布局、结构、发展规模、建设时序、运输方式及产业园区循环化和生态化建设等方面提出优化调整建议，从产业园区基础设施选址、规模、工艺、建设时序或区域基础设施共建共享等方面提出优化调整建议，从产业园区风险防控体系建设、突发环境事件响应与管理等方面提出对策建议。</w:t>
      </w:r>
    </w:p>
    <w:p>
      <w:pPr>
        <w:ind w:firstLine="632" w:firstLineChars="200"/>
        <w:rPr>
          <w:rFonts w:eastAsia="黑体"/>
        </w:rPr>
      </w:pPr>
      <w:r>
        <w:rPr>
          <w:rFonts w:hint="eastAsia" w:eastAsia="黑体"/>
          <w:color w:val="000000"/>
        </w:rPr>
        <w:t>二、严格审查把关，强化规划环评源头预防</w:t>
      </w:r>
    </w:p>
    <w:p>
      <w:pPr>
        <w:ind w:firstLine="632" w:firstLineChars="200"/>
        <w:textAlignment w:val="baseline"/>
        <w:rPr>
          <w:rFonts w:eastAsia="仿宋_GB2312"/>
          <w:color w:val="000000"/>
        </w:rPr>
      </w:pPr>
      <w:r>
        <w:rPr>
          <w:rFonts w:hint="eastAsia" w:eastAsia="楷体_GB2312"/>
          <w:color w:val="000000"/>
        </w:rPr>
        <w:t>（四）明确规划环评审查层级</w:t>
      </w:r>
      <w:r>
        <w:rPr>
          <w:rFonts w:hint="eastAsia" w:eastAsia="仿宋_GB2312"/>
          <w:color w:val="000000"/>
        </w:rPr>
        <w:t>。根据有关法规要求，国务院批准设立的产业园区规划环评文件由生态环境部负责组织审查；省政府批准设立的产业园区规划环评文件由省生态环境厅负责组织审查，其他产业园区规划环评文件由各市生态环境局负责组织审查。</w:t>
      </w:r>
    </w:p>
    <w:p>
      <w:pPr>
        <w:ind w:firstLine="632" w:firstLineChars="200"/>
        <w:textAlignment w:val="baseline"/>
        <w:rPr>
          <w:rFonts w:eastAsia="仿宋_GB2312"/>
          <w:color w:val="000000"/>
        </w:rPr>
      </w:pPr>
      <w:r>
        <w:rPr>
          <w:rFonts w:hint="eastAsia" w:eastAsia="楷体_GB2312"/>
          <w:color w:val="000000"/>
        </w:rPr>
        <w:t>（五）严格规划环评审查程序</w:t>
      </w:r>
      <w:r>
        <w:rPr>
          <w:rFonts w:hint="eastAsia" w:eastAsia="仿宋_GB2312"/>
          <w:color w:val="000000"/>
        </w:rPr>
        <w:t>。全省生态环境部门应采取技术评估等有效</w:t>
      </w:r>
      <w:r>
        <w:rPr>
          <w:rFonts w:eastAsia="仿宋_GB2312"/>
          <w:color w:val="000000"/>
        </w:rPr>
        <w:t>措施</w:t>
      </w:r>
      <w:r>
        <w:rPr>
          <w:rFonts w:hint="eastAsia" w:eastAsia="仿宋_GB2312"/>
          <w:color w:val="000000"/>
        </w:rPr>
        <w:t>，确保规划环评文件符合相关技术导则、技术规范要求，不符合技术要求的，应退回产业园区管理机构补充完善。对符合技术要求的，生态环境主管部门应依法召集有关部门代表和专家组成审查小组，对规划环评文件进行审查，并组织现场勘察</w:t>
      </w:r>
      <w:r>
        <w:rPr>
          <w:rFonts w:hint="eastAsia" w:eastAsia="仿宋_GB2312"/>
          <w:color w:val="000000"/>
          <w:lang w:eastAsia="zh-CN"/>
        </w:rPr>
        <w:t>。</w:t>
      </w:r>
      <w:r>
        <w:rPr>
          <w:rFonts w:hint="eastAsia" w:eastAsia="仿宋_GB2312"/>
          <w:color w:val="000000"/>
        </w:rPr>
        <w:t>审查小组专家应从环境影响评价专家库</w:t>
      </w:r>
      <w:r>
        <w:rPr>
          <w:rFonts w:hint="eastAsia" w:eastAsia="仿宋_GB2312"/>
          <w:color w:val="000000"/>
          <w:lang w:eastAsia="zh-CN"/>
        </w:rPr>
        <w:t>中抽取，选取</w:t>
      </w:r>
      <w:r>
        <w:rPr>
          <w:rFonts w:hint="eastAsia" w:eastAsia="仿宋_GB2312"/>
          <w:color w:val="000000"/>
        </w:rPr>
        <w:t>城市规划、环境监测、大气、水、海洋、土壤、生态等</w:t>
      </w:r>
      <w:r>
        <w:rPr>
          <w:rFonts w:hint="eastAsia" w:eastAsia="仿宋_GB2312"/>
          <w:color w:val="000000"/>
          <w:lang w:eastAsia="zh-CN"/>
        </w:rPr>
        <w:t>类别</w:t>
      </w:r>
      <w:r>
        <w:rPr>
          <w:rFonts w:hint="eastAsia" w:eastAsia="仿宋_GB2312"/>
          <w:color w:val="000000"/>
        </w:rPr>
        <w:t>专业的专家</w:t>
      </w:r>
      <w:r>
        <w:rPr>
          <w:rFonts w:hint="eastAsia" w:eastAsia="仿宋_GB2312"/>
          <w:color w:val="000000"/>
          <w:lang w:eastAsia="zh-CN"/>
        </w:rPr>
        <w:t>参加</w:t>
      </w:r>
      <w:r>
        <w:rPr>
          <w:rFonts w:hint="eastAsia" w:eastAsia="仿宋_GB2312"/>
        </w:rPr>
        <w:t>，</w:t>
      </w:r>
      <w:r>
        <w:rPr>
          <w:rFonts w:hint="eastAsia" w:eastAsia="仿宋_GB2312"/>
          <w:color w:val="000000"/>
        </w:rPr>
        <w:t>参与规划环评文件编写的专家不得作为审查小组成员。审查小组专家人数应不少于五名，且不得少于审查小组总人数的二分之一。审查小组审查通过后，生态环境主管部门应将审查意见印送产业园区管理机构。各市生态环境局可结合实际细化制订规划环评文件评估审查程序，明确报审材料、审查时限等要求。</w:t>
      </w:r>
    </w:p>
    <w:p>
      <w:pPr>
        <w:ind w:firstLine="632" w:firstLineChars="200"/>
        <w:rPr>
          <w:rFonts w:eastAsia="仿宋_GB2312"/>
          <w:highlight w:val="yellow"/>
        </w:rPr>
      </w:pPr>
      <w:r>
        <w:rPr>
          <w:rFonts w:hint="eastAsia" w:eastAsia="楷体_GB2312"/>
          <w:color w:val="000000"/>
        </w:rPr>
        <w:t>（六）突出规划环评审查重点</w:t>
      </w:r>
      <w:r>
        <w:rPr>
          <w:rFonts w:hint="eastAsia" w:eastAsia="仿宋_GB2312"/>
          <w:color w:val="000000"/>
        </w:rPr>
        <w:t>。审查规划环评文件时，应重点对基础资料和数据的真实性，评价方法的适当性，环境影响分析、预测和评估的可靠性，以及衔接落实“三线一单”生态环境分区管控要求的情况，规划方案及优化调整建议的可行性，预防或者减轻不良环境影响的对策和措施的合理性和有效性，公众意见采纳与不采纳情况及其理由说明的合理性，环境影响评价结论的科学性等进行审查。</w:t>
      </w:r>
    </w:p>
    <w:p>
      <w:pPr>
        <w:ind w:firstLine="632" w:firstLineChars="200"/>
        <w:rPr>
          <w:rFonts w:eastAsia="黑体"/>
        </w:rPr>
      </w:pPr>
      <w:r>
        <w:rPr>
          <w:rFonts w:hint="eastAsia" w:eastAsia="黑体"/>
          <w:color w:val="000000"/>
        </w:rPr>
        <w:t>三、加强监督管理，切实发挥规划环评效力</w:t>
      </w:r>
    </w:p>
    <w:p>
      <w:pPr>
        <w:ind w:firstLine="632" w:firstLineChars="200"/>
        <w:textAlignment w:val="baseline"/>
        <w:rPr>
          <w:rFonts w:eastAsia="仿宋_GB2312"/>
          <w:color w:val="000000"/>
        </w:rPr>
      </w:pPr>
      <w:r>
        <w:rPr>
          <w:rFonts w:hint="eastAsia" w:eastAsia="楷体_GB2312"/>
          <w:color w:val="000000"/>
        </w:rPr>
        <w:t>（七）加强规划环评质量监管</w:t>
      </w:r>
      <w:r>
        <w:rPr>
          <w:rFonts w:hint="eastAsia" w:eastAsia="仿宋_GB2312"/>
          <w:color w:val="000000"/>
        </w:rPr>
        <w:t>。全省各级生态环境部门要建立健全规划环评质量监管机制，在审查和抽查复核中发现规划环评文件质量存在基础资料严重失实、不符合法律法规要求、不能为规划优化调整提供技术支撑，甚至出现弄虚作假等情形的，应依法依规对产业园区管理机构及其委托的规划环评技术机构进行处理。推动专家、部门代表等的责任落实，对发现审查小组专家存在弄虚作假或失职行为的，由设立专家库的生态环境主管部门取消其入选专家库的资格并予以公告；审查小组的部门代表有上述行为的，通报其所在部门依法予以处分。</w:t>
      </w:r>
    </w:p>
    <w:p>
      <w:pPr>
        <w:ind w:firstLine="632" w:firstLineChars="200"/>
        <w:rPr>
          <w:rFonts w:eastAsia="仿宋_GB2312"/>
          <w:color w:val="000000"/>
        </w:rPr>
      </w:pPr>
      <w:r>
        <w:rPr>
          <w:rFonts w:hint="eastAsia" w:eastAsia="楷体_GB2312"/>
          <w:color w:val="000000"/>
        </w:rPr>
        <w:t>（八）严格落实规划环评要求</w:t>
      </w:r>
      <w:r>
        <w:rPr>
          <w:rFonts w:hint="eastAsia" w:eastAsia="仿宋_GB2312"/>
          <w:color w:val="000000"/>
        </w:rPr>
        <w:t>。各市生态环境局要将辖区内产业园区规划环评结论及审查意见提出的准入要求、避让敏感区等优化调整建议及环保对策措施等落实情况，纳入日常监管范围，制定并落实全覆盖核查工作方案；对核查发现的规划环评落实方面的问题，应当提出具体处理措施，督促整改落实。要加强产业园区规划实施跟踪监管，发现规划实施过程中产生重大不良环境影响的，应当及时向规划审批机关和产业园区管理机构提出修订规划或者采取改进措施的建议。要加强对产业园区环境质量变化情况及污染物排放情况的监管，督促产业园区管理机构落实规划环评文件提出的跟踪监测计划等相关要求，编制年度监测报告并向社会公开。</w:t>
      </w:r>
    </w:p>
    <w:p>
      <w:pPr>
        <w:ind w:firstLine="632" w:firstLineChars="200"/>
        <w:rPr>
          <w:rFonts w:eastAsia="黑体"/>
          <w:color w:val="000000"/>
        </w:rPr>
      </w:pPr>
      <w:r>
        <w:rPr>
          <w:rFonts w:hint="eastAsia" w:eastAsia="黑体"/>
          <w:color w:val="000000"/>
        </w:rPr>
        <w:t>四、强化指导约束，做好规划环评与项目环评联动</w:t>
      </w:r>
    </w:p>
    <w:p>
      <w:pPr>
        <w:ind w:firstLine="632" w:firstLineChars="200"/>
        <w:rPr>
          <w:rFonts w:eastAsia="仿宋_GB2312"/>
          <w:color w:val="000000"/>
          <w:lang w:val="en"/>
        </w:rPr>
      </w:pPr>
      <w:r>
        <w:rPr>
          <w:rFonts w:hint="eastAsia" w:eastAsia="楷体_GB2312"/>
          <w:color w:val="000000"/>
        </w:rPr>
        <w:t>（九）强化入园建设项目环评指导</w:t>
      </w:r>
      <w:r>
        <w:rPr>
          <w:rFonts w:hint="eastAsia" w:eastAsia="仿宋_GB2312"/>
          <w:color w:val="000000"/>
        </w:rPr>
        <w:t>。</w:t>
      </w:r>
      <w:r>
        <w:rPr>
          <w:rFonts w:hint="eastAsia" w:eastAsia="仿宋_GB2312"/>
          <w:color w:val="000000"/>
          <w:lang w:val="en"/>
        </w:rPr>
        <w:t>符合产业园区规划环评要求的具体建设项目，开展环评工作时，可以通过直接引用、减少章节等方式对以下内容进行简化：区域环境质量现状、气象资料、水文地质资料和环保基础设施评价内容；主要资源环境制约因素、现有环境问题以及解决方案；政策和规划符合性分析、选址环境合理性和可行性论证、资源承载力分析和跨区域环境影响。</w:t>
      </w:r>
      <w:r>
        <w:rPr>
          <w:rFonts w:hint="eastAsia" w:eastAsia="仿宋_GB2312"/>
          <w:color w:val="000000"/>
        </w:rPr>
        <w:t>省生态环境厅将按照生态环境部的统一部署，对符合环环评〔</w:t>
      </w:r>
      <w:r>
        <w:rPr>
          <w:rFonts w:eastAsia="仿宋_GB2312"/>
          <w:color w:val="000000"/>
        </w:rPr>
        <w:t>2020</w:t>
      </w:r>
      <w:r>
        <w:rPr>
          <w:rFonts w:hint="eastAsia" w:eastAsia="仿宋_GB2312"/>
          <w:color w:val="000000"/>
        </w:rPr>
        <w:t>〕</w:t>
      </w:r>
      <w:r>
        <w:rPr>
          <w:rFonts w:eastAsia="仿宋_GB2312"/>
          <w:color w:val="000000"/>
        </w:rPr>
        <w:t>65</w:t>
      </w:r>
      <w:r>
        <w:rPr>
          <w:rFonts w:hint="eastAsia" w:eastAsia="仿宋_GB2312"/>
          <w:color w:val="000000"/>
        </w:rPr>
        <w:t>号文件要求的产业园区，探索开展入园建设项目环评改革试点。</w:t>
      </w:r>
    </w:p>
    <w:p>
      <w:pPr>
        <w:ind w:firstLine="632" w:firstLineChars="200"/>
        <w:rPr>
          <w:rFonts w:eastAsia="仿宋_GB2312"/>
          <w:color w:val="000000"/>
        </w:rPr>
      </w:pPr>
      <w:r>
        <w:rPr>
          <w:rFonts w:hint="eastAsia" w:eastAsia="楷体_GB2312"/>
          <w:color w:val="000000"/>
        </w:rPr>
        <w:t>（十）严格落实规划环评约束要求</w:t>
      </w:r>
      <w:r>
        <w:rPr>
          <w:rFonts w:hint="eastAsia" w:eastAsia="仿宋_GB2312"/>
          <w:color w:val="000000"/>
        </w:rPr>
        <w:t>。全省各级环评审批部门要把规划环评结论及审查意见的符合性作为入园建设项目环评审批的重要依据，特别是规划环评提出需要深入论证的，在项目环评审批阶段要重点把关。按照《环境保护部关于积极发挥环境保护作用促进供给侧结构性改革的指导意见》（环大气〔</w:t>
      </w:r>
      <w:r>
        <w:rPr>
          <w:rFonts w:eastAsia="仿宋_GB2312"/>
          <w:color w:val="000000"/>
        </w:rPr>
        <w:t>2016</w:t>
      </w:r>
      <w:r>
        <w:rPr>
          <w:rFonts w:hint="eastAsia" w:eastAsia="仿宋_GB2312"/>
          <w:color w:val="000000"/>
        </w:rPr>
        <w:t>〕</w:t>
      </w:r>
      <w:r>
        <w:rPr>
          <w:rFonts w:eastAsia="仿宋_GB2312"/>
          <w:color w:val="000000"/>
        </w:rPr>
        <w:t>45</w:t>
      </w:r>
      <w:r>
        <w:rPr>
          <w:rFonts w:hint="eastAsia" w:eastAsia="仿宋_GB2312"/>
          <w:color w:val="000000"/>
        </w:rPr>
        <w:t>号）相关要求，对于产业园区相关规划未依法开展环评的，不予受理其建设项目环评文件。</w:t>
      </w:r>
    </w:p>
    <w:p>
      <w:pPr>
        <w:ind w:firstLine="632" w:firstLineChars="200"/>
        <w:rPr>
          <w:rFonts w:eastAsia="黑体"/>
          <w:color w:val="000000"/>
        </w:rPr>
      </w:pPr>
      <w:r>
        <w:rPr>
          <w:rFonts w:hint="eastAsia" w:eastAsia="黑体"/>
          <w:color w:val="000000"/>
        </w:rPr>
        <w:t>五、强化保障措施，确保政策落地生效</w:t>
      </w:r>
    </w:p>
    <w:p>
      <w:pPr>
        <w:ind w:firstLine="632" w:firstLineChars="200"/>
        <w:textAlignment w:val="baseline"/>
        <w:rPr>
          <w:rFonts w:eastAsia="仿宋_GB2312"/>
          <w:color w:val="000000"/>
        </w:rPr>
      </w:pPr>
      <w:r>
        <w:rPr>
          <w:rFonts w:hint="eastAsia" w:eastAsia="楷体_GB2312"/>
          <w:color w:val="000000"/>
        </w:rPr>
        <w:t>（十一）加强组织协调</w:t>
      </w:r>
      <w:r>
        <w:rPr>
          <w:rFonts w:hint="eastAsia" w:eastAsia="仿宋_GB2312"/>
          <w:color w:val="000000"/>
        </w:rPr>
        <w:t>。全省各级生态环境部门要依法履职，切实做好产业园区规划环评综合指导协调和监督管理工作，定期梳理辖区内产业园区规划环评制度执行情况，对未依法开展规划环评或跟踪评价的，未依法落实规划环评文件提出的跟踪监测计划等相关要求并编制年度监测报告向社会公开的，以及未按规定在产业园区上下风向和中心区域开展空气质量监测的，应及时将相关情况报告同级人民政府。对多次督促仍难以推动落实的，按程序纳入省级生态环境保护督察。</w:t>
      </w:r>
    </w:p>
    <w:p>
      <w:pPr>
        <w:ind w:firstLine="632" w:firstLineChars="200"/>
        <w:textAlignment w:val="baseline"/>
        <w:rPr>
          <w:rFonts w:eastAsia="仿宋_GB2312"/>
          <w:color w:val="000000"/>
        </w:rPr>
      </w:pPr>
      <w:r>
        <w:rPr>
          <w:rFonts w:hint="eastAsia" w:eastAsia="楷体_GB2312"/>
          <w:color w:val="000000"/>
        </w:rPr>
        <w:t>（十二）建立管理台账</w:t>
      </w:r>
      <w:r>
        <w:rPr>
          <w:rFonts w:hint="eastAsia" w:eastAsia="仿宋_GB2312"/>
          <w:color w:val="000000"/>
        </w:rPr>
        <w:t>。各市生态环境局要建立辖区内产业园区规划环评管理台账，认真填写山东省产业园区规划环评基本情况汇总表（附件</w:t>
      </w:r>
      <w:r>
        <w:rPr>
          <w:rFonts w:eastAsia="仿宋_GB2312"/>
          <w:color w:val="000000"/>
        </w:rPr>
        <w:t>1</w:t>
      </w:r>
      <w:r>
        <w:rPr>
          <w:rFonts w:hint="eastAsia" w:eastAsia="仿宋_GB2312"/>
          <w:color w:val="000000"/>
        </w:rPr>
        <w:t>）、山东省产业园区规划环评质量和落实情况表（附件</w:t>
      </w:r>
      <w:r>
        <w:rPr>
          <w:rFonts w:eastAsia="仿宋_GB2312"/>
          <w:color w:val="000000"/>
        </w:rPr>
        <w:t>2</w:t>
      </w:r>
      <w:r>
        <w:rPr>
          <w:rFonts w:hint="eastAsia" w:eastAsia="仿宋_GB2312"/>
          <w:color w:val="000000"/>
        </w:rPr>
        <w:t>）并于</w:t>
      </w:r>
      <w:r>
        <w:rPr>
          <w:rFonts w:eastAsia="仿宋_GB2312"/>
          <w:color w:val="000000"/>
        </w:rPr>
        <w:t>2022</w:t>
      </w:r>
      <w:r>
        <w:rPr>
          <w:rFonts w:hint="eastAsia" w:eastAsia="仿宋_GB2312"/>
          <w:color w:val="000000"/>
        </w:rPr>
        <w:t>年</w:t>
      </w:r>
      <w:r>
        <w:rPr>
          <w:rFonts w:eastAsia="仿宋_GB2312"/>
          <w:color w:val="000000"/>
        </w:rPr>
        <w:t xml:space="preserve"> </w:t>
      </w:r>
      <w:r>
        <w:rPr>
          <w:rFonts w:hint="eastAsia" w:eastAsia="仿宋_GB2312"/>
          <w:color w:val="000000"/>
        </w:rPr>
        <w:t>月</w:t>
      </w:r>
      <w:r>
        <w:rPr>
          <w:rFonts w:eastAsia="仿宋_GB2312"/>
          <w:color w:val="000000"/>
        </w:rPr>
        <w:t xml:space="preserve"> </w:t>
      </w:r>
      <w:r>
        <w:rPr>
          <w:rFonts w:hint="eastAsia" w:eastAsia="仿宋_GB2312"/>
          <w:color w:val="000000"/>
        </w:rPr>
        <w:t>日前报送省生态环境厅，后续每年</w:t>
      </w:r>
      <w:r>
        <w:rPr>
          <w:rFonts w:eastAsia="仿宋_GB2312"/>
          <w:color w:val="000000"/>
        </w:rPr>
        <w:t>6</w:t>
      </w:r>
      <w:r>
        <w:rPr>
          <w:rFonts w:hint="eastAsia" w:eastAsia="仿宋_GB2312"/>
          <w:color w:val="000000"/>
        </w:rPr>
        <w:t>月</w:t>
      </w:r>
      <w:r>
        <w:rPr>
          <w:rFonts w:eastAsia="仿宋_GB2312"/>
          <w:color w:val="000000"/>
        </w:rPr>
        <w:t>15</w:t>
      </w:r>
      <w:r>
        <w:rPr>
          <w:rFonts w:hint="eastAsia" w:eastAsia="仿宋_GB2312"/>
          <w:color w:val="000000"/>
        </w:rPr>
        <w:t>日和</w:t>
      </w:r>
      <w:r>
        <w:rPr>
          <w:rFonts w:eastAsia="仿宋_GB2312"/>
          <w:color w:val="000000"/>
        </w:rPr>
        <w:t>12</w:t>
      </w:r>
      <w:r>
        <w:rPr>
          <w:rFonts w:hint="eastAsia" w:eastAsia="仿宋_GB2312"/>
          <w:color w:val="000000"/>
        </w:rPr>
        <w:t>月</w:t>
      </w:r>
      <w:r>
        <w:rPr>
          <w:rFonts w:eastAsia="仿宋_GB2312"/>
          <w:color w:val="000000"/>
        </w:rPr>
        <w:t>15</w:t>
      </w:r>
      <w:r>
        <w:rPr>
          <w:rFonts w:hint="eastAsia" w:eastAsia="仿宋_GB2312"/>
          <w:color w:val="000000"/>
        </w:rPr>
        <w:t>日上报。</w:t>
      </w:r>
    </w:p>
    <w:p>
      <w:pPr>
        <w:ind w:firstLine="632" w:firstLineChars="200"/>
        <w:rPr>
          <w:rFonts w:eastAsia="仿宋_GB2312"/>
          <w:color w:val="000000"/>
        </w:rPr>
      </w:pPr>
      <w:r>
        <w:rPr>
          <w:rFonts w:hint="eastAsia" w:eastAsia="楷体_GB2312"/>
          <w:color w:val="000000"/>
        </w:rPr>
        <w:t>（十三）严格信息报送</w:t>
      </w:r>
      <w:r>
        <w:rPr>
          <w:rFonts w:hint="eastAsia" w:eastAsia="仿宋_GB2312"/>
          <w:color w:val="000000"/>
        </w:rPr>
        <w:t>。根据生态环境部办公厅《关于规划环评管理信息共享系统上线运行的通知》（环办便函〔</w:t>
      </w:r>
      <w:r>
        <w:rPr>
          <w:rFonts w:eastAsia="仿宋_GB2312"/>
          <w:color w:val="000000"/>
        </w:rPr>
        <w:t>2021</w:t>
      </w:r>
      <w:r>
        <w:rPr>
          <w:rFonts w:hint="eastAsia" w:eastAsia="仿宋_GB2312"/>
          <w:color w:val="000000"/>
        </w:rPr>
        <w:t>〕</w:t>
      </w:r>
      <w:r>
        <w:rPr>
          <w:rFonts w:eastAsia="仿宋_GB2312"/>
          <w:color w:val="000000"/>
        </w:rPr>
        <w:t>454</w:t>
      </w:r>
      <w:r>
        <w:rPr>
          <w:rFonts w:hint="eastAsia" w:eastAsia="仿宋_GB2312"/>
          <w:color w:val="000000"/>
        </w:rPr>
        <w:t>号））要求，自</w:t>
      </w:r>
      <w:r>
        <w:rPr>
          <w:rFonts w:eastAsia="仿宋_GB2312"/>
          <w:color w:val="000000"/>
        </w:rPr>
        <w:t>2022</w:t>
      </w:r>
      <w:r>
        <w:rPr>
          <w:rFonts w:hint="eastAsia" w:eastAsia="仿宋_GB2312"/>
          <w:color w:val="000000"/>
        </w:rPr>
        <w:t>年</w:t>
      </w:r>
      <w:r>
        <w:rPr>
          <w:rFonts w:eastAsia="仿宋_GB2312"/>
          <w:color w:val="000000"/>
        </w:rPr>
        <w:t>1</w:t>
      </w:r>
      <w:r>
        <w:rPr>
          <w:rFonts w:hint="eastAsia" w:eastAsia="仿宋_GB2312"/>
          <w:color w:val="000000"/>
        </w:rPr>
        <w:t>月</w:t>
      </w:r>
      <w:r>
        <w:rPr>
          <w:rFonts w:eastAsia="仿宋_GB2312"/>
          <w:color w:val="000000"/>
        </w:rPr>
        <w:t>20</w:t>
      </w:r>
      <w:r>
        <w:rPr>
          <w:rFonts w:hint="eastAsia" w:eastAsia="仿宋_GB2312"/>
          <w:color w:val="000000"/>
        </w:rPr>
        <w:t>日起，产业园区管理机构应于规划环评审查意见印发</w:t>
      </w:r>
      <w:r>
        <w:rPr>
          <w:rFonts w:eastAsia="仿宋_GB2312"/>
          <w:color w:val="000000"/>
        </w:rPr>
        <w:t>20</w:t>
      </w:r>
      <w:r>
        <w:rPr>
          <w:rFonts w:hint="eastAsia" w:eastAsia="仿宋_GB2312"/>
          <w:color w:val="000000"/>
        </w:rPr>
        <w:t>个工作日内通过互联网登陆生态环境部规划环评管理信息系统（网址为</w:t>
      </w:r>
      <w:r>
        <w:rPr>
          <w:rFonts w:eastAsia="仿宋_GB2312"/>
          <w:color w:val="000000"/>
        </w:rPr>
        <w:t>http</w:t>
      </w:r>
      <w:r>
        <w:rPr>
          <w:rFonts w:hint="eastAsia" w:eastAsia="仿宋_GB2312"/>
          <w:color w:val="000000"/>
        </w:rPr>
        <w:t>：</w:t>
      </w:r>
      <w:r>
        <w:rPr>
          <w:rFonts w:eastAsia="仿宋_GB2312"/>
          <w:color w:val="000000"/>
        </w:rPr>
        <w:t>//114.251.10.205/#/eia</w:t>
      </w:r>
      <w:r>
        <w:rPr>
          <w:rFonts w:hint="eastAsia" w:eastAsia="仿宋_GB2312"/>
          <w:color w:val="000000"/>
        </w:rPr>
        <w:t>）在线填报规划环评审查信息，并及时做好相关信息的补充和更新。各市生态环境局应督促辖区内产业园区管理机构做好信息报送工作，并通过环保专网登陆规划环评共享系统信息管理端（网址为：</w:t>
      </w:r>
      <w:r>
        <w:rPr>
          <w:rFonts w:eastAsia="仿宋_GB2312"/>
          <w:color w:val="000000"/>
        </w:rPr>
        <w:t>http://10.100.248.163/login.do</w:t>
      </w:r>
      <w:r>
        <w:rPr>
          <w:rFonts w:hint="eastAsia" w:eastAsia="仿宋_GB2312"/>
          <w:color w:val="000000"/>
        </w:rPr>
        <w:t>）做好规划环评信息的查询和监管。</w:t>
      </w:r>
    </w:p>
    <w:p>
      <w:pPr>
        <w:ind w:firstLine="632" w:firstLineChars="200"/>
        <w:rPr>
          <w:rFonts w:eastAsia="仿宋_GB2312"/>
        </w:rPr>
      </w:pPr>
      <w:r>
        <w:rPr>
          <w:rFonts w:hint="eastAsia" w:eastAsia="仿宋_GB2312"/>
        </w:rPr>
        <w:t>本通知自印发之日起施行，《山东省环境保护厅关于建立全省县级以上各类园区规划环评复核备案制度的通知》</w:t>
      </w:r>
      <w:r>
        <w:rPr>
          <w:rFonts w:hint="eastAsia" w:eastAsia="仿宋_GB2312"/>
          <w:color w:val="000000"/>
        </w:rPr>
        <w:t>（鲁环评函〔</w:t>
      </w:r>
      <w:r>
        <w:rPr>
          <w:rFonts w:eastAsia="仿宋_GB2312"/>
          <w:color w:val="000000"/>
        </w:rPr>
        <w:t>2014</w:t>
      </w:r>
      <w:r>
        <w:rPr>
          <w:rFonts w:hint="eastAsia" w:eastAsia="仿宋_GB2312"/>
          <w:color w:val="000000"/>
        </w:rPr>
        <w:t>〕</w:t>
      </w:r>
      <w:r>
        <w:rPr>
          <w:rFonts w:eastAsia="仿宋_GB2312"/>
          <w:color w:val="000000"/>
        </w:rPr>
        <w:t>191</w:t>
      </w:r>
      <w:r>
        <w:rPr>
          <w:rFonts w:hint="eastAsia" w:eastAsia="仿宋_GB2312"/>
          <w:color w:val="000000"/>
        </w:rPr>
        <w:t>号）和</w:t>
      </w:r>
      <w:r>
        <w:rPr>
          <w:rFonts w:hint="eastAsia" w:eastAsia="仿宋_GB2312"/>
        </w:rPr>
        <w:t>《山东省环境保护厅办公室关于进一步加强产业园区规划环境影响评价管理工作的通知》</w:t>
      </w:r>
      <w:r>
        <w:rPr>
          <w:rFonts w:hint="eastAsia" w:eastAsia="仿宋_GB2312"/>
          <w:color w:val="000000"/>
        </w:rPr>
        <w:t>（鲁环办函〔</w:t>
      </w:r>
      <w:r>
        <w:rPr>
          <w:rFonts w:eastAsia="仿宋_GB2312"/>
          <w:color w:val="000000"/>
        </w:rPr>
        <w:t>2016</w:t>
      </w:r>
      <w:r>
        <w:rPr>
          <w:rFonts w:hint="eastAsia" w:eastAsia="仿宋_GB2312"/>
          <w:color w:val="000000"/>
        </w:rPr>
        <w:t>〕</w:t>
      </w:r>
      <w:r>
        <w:rPr>
          <w:rFonts w:eastAsia="仿宋_GB2312"/>
          <w:color w:val="000000"/>
        </w:rPr>
        <w:t>147</w:t>
      </w:r>
      <w:r>
        <w:rPr>
          <w:rFonts w:hint="eastAsia" w:eastAsia="仿宋_GB2312"/>
          <w:color w:val="000000"/>
        </w:rPr>
        <w:t>号）</w:t>
      </w:r>
      <w:r>
        <w:rPr>
          <w:rFonts w:hint="eastAsia" w:eastAsia="仿宋_GB2312"/>
        </w:rPr>
        <w:t>同时废止。</w:t>
      </w:r>
    </w:p>
    <w:p>
      <w:pPr>
        <w:ind w:firstLine="632" w:firstLineChars="200"/>
        <w:rPr>
          <w:rFonts w:eastAsia="仿宋_GB2312"/>
        </w:rPr>
      </w:pPr>
      <w:r>
        <w:rPr>
          <w:rFonts w:hint="eastAsia" w:eastAsia="仿宋_GB2312"/>
        </w:rPr>
        <w:t>联系人：李卫兵、李佐琛，（</w:t>
      </w:r>
      <w:r>
        <w:rPr>
          <w:rFonts w:eastAsia="仿宋_GB2312"/>
        </w:rPr>
        <w:t>0531</w:t>
      </w:r>
      <w:r>
        <w:rPr>
          <w:rFonts w:hint="eastAsia" w:eastAsia="仿宋_GB2312"/>
        </w:rPr>
        <w:t>）</w:t>
      </w:r>
      <w:r>
        <w:rPr>
          <w:rFonts w:eastAsia="仿宋_GB2312"/>
        </w:rPr>
        <w:t>51798302</w:t>
      </w:r>
      <w:r>
        <w:rPr>
          <w:rFonts w:hint="eastAsia" w:eastAsia="仿宋_GB2312"/>
        </w:rPr>
        <w:t>、</w:t>
      </w:r>
      <w:r>
        <w:rPr>
          <w:rFonts w:eastAsia="仿宋_GB2312"/>
        </w:rPr>
        <w:t>51798306</w:t>
      </w:r>
    </w:p>
    <w:p/>
    <w:p>
      <w:pPr>
        <w:ind w:firstLine="632" w:firstLineChars="200"/>
        <w:rPr>
          <w:rFonts w:eastAsia="仿宋_GB2312"/>
        </w:rPr>
      </w:pPr>
      <w:r>
        <w:rPr>
          <w:rFonts w:hint="eastAsia" w:eastAsia="仿宋_GB2312"/>
        </w:rPr>
        <w:t>附件：</w:t>
      </w:r>
      <w:r>
        <w:rPr>
          <w:rFonts w:eastAsia="仿宋_GB2312"/>
        </w:rPr>
        <w:t>1.</w:t>
      </w:r>
      <w:r>
        <w:rPr>
          <w:rFonts w:hint="eastAsia" w:eastAsia="仿宋_GB2312"/>
        </w:rPr>
        <w:t>山东省产业园区规划环评基本情况汇总表</w:t>
      </w:r>
    </w:p>
    <w:p>
      <w:pPr>
        <w:ind w:firstLine="1580" w:firstLineChars="500"/>
        <w:rPr>
          <w:rFonts w:eastAsia="仿宋_GB2312"/>
        </w:rPr>
      </w:pPr>
      <w:r>
        <w:rPr>
          <w:rFonts w:eastAsia="仿宋_GB2312"/>
        </w:rPr>
        <w:t>2.</w:t>
      </w:r>
      <w:r>
        <w:rPr>
          <w:rFonts w:hint="eastAsia" w:eastAsia="仿宋_GB2312"/>
          <w:color w:val="000000"/>
        </w:rPr>
        <w:t>山东省产业园区规划环评质量和落实情况表</w:t>
      </w:r>
    </w:p>
    <w:p>
      <w:pPr>
        <w:ind w:firstLine="1580" w:firstLineChars="500"/>
        <w:rPr>
          <w:rFonts w:eastAsia="仿宋_GB2312"/>
        </w:rPr>
      </w:pPr>
    </w:p>
    <w:p>
      <w:pPr>
        <w:ind w:firstLine="1580" w:firstLineChars="500"/>
        <w:rPr>
          <w:rFonts w:eastAsia="仿宋_GB2312"/>
        </w:rPr>
      </w:pPr>
    </w:p>
    <w:p>
      <w:pPr>
        <w:rPr>
          <w:rFonts w:eastAsia="仿宋_GB2312"/>
        </w:rPr>
      </w:pPr>
    </w:p>
    <w:p>
      <w:pPr>
        <w:ind w:firstLine="4740" w:firstLineChars="1500"/>
        <w:rPr>
          <w:rFonts w:eastAsia="仿宋_GB2312"/>
        </w:rPr>
      </w:pPr>
      <w:r>
        <w:rPr>
          <w:rFonts w:hint="eastAsia" w:eastAsia="仿宋_GB2312"/>
        </w:rPr>
        <w:t>山东省生态环境厅</w:t>
      </w:r>
    </w:p>
    <w:p>
      <w:pPr>
        <w:ind w:firstLine="4740" w:firstLineChars="1500"/>
        <w:rPr>
          <w:rFonts w:eastAsia="仿宋_GB2312"/>
        </w:rPr>
      </w:pPr>
      <w:r>
        <w:rPr>
          <w:rFonts w:eastAsia="仿宋_GB2312"/>
        </w:rPr>
        <w:t>2022</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rPr>
          <w:rFonts w:eastAsia="仿宋_GB2312"/>
        </w:rPr>
      </w:pPr>
    </w:p>
    <w:p>
      <w:pPr>
        <w:ind w:left="948" w:hanging="948" w:hangingChars="300"/>
        <w:rPr>
          <w:rFonts w:eastAsia="仿宋_GB2312"/>
        </w:rPr>
      </w:pPr>
      <w:bookmarkStart w:id="0" w:name="_GoBack"/>
      <w:bookmarkEnd w:id="0"/>
    </w:p>
    <w:p>
      <w:pPr>
        <w:ind w:left="948" w:hanging="948" w:hangingChars="300"/>
        <w:rPr>
          <w:rFonts w:eastAsia="仿宋_GB2312"/>
        </w:rPr>
      </w:pPr>
    </w:p>
    <w:p>
      <w:pPr>
        <w:ind w:left="948" w:hanging="948" w:hangingChars="300"/>
        <w:rPr>
          <w:rFonts w:eastAsia="仿宋_GB2312"/>
        </w:rPr>
      </w:pPr>
      <w:r>
        <w:rPr>
          <w:rFonts w:hint="eastAsia" w:eastAsia="仿宋_GB2312"/>
        </w:rPr>
        <w:t>抄送：各市人民政府，省发展改革委、省科技厅、省工业和信息化厅、省自然资源厅、省商务厅、省文化和旅游厅。</w:t>
      </w:r>
    </w:p>
    <w:p>
      <w:pPr>
        <w:widowControl/>
        <w:jc w:val="left"/>
        <w:rPr>
          <w:rFonts w:eastAsia="仿宋_GB2312"/>
        </w:rPr>
        <w:sectPr>
          <w:footerReference r:id="rId3" w:type="default"/>
          <w:pgSz w:w="11906" w:h="16838"/>
          <w:pgMar w:top="1701" w:right="1474" w:bottom="1701" w:left="1587" w:header="851" w:footer="1304" w:gutter="0"/>
          <w:cols w:space="720" w:num="1"/>
          <w:docGrid w:type="linesAndChars" w:linePitch="610" w:charSpace="-842"/>
        </w:sectPr>
      </w:pPr>
    </w:p>
    <w:p>
      <w:pPr>
        <w:rPr>
          <w:rFonts w:eastAsia="黑体"/>
        </w:rPr>
      </w:pPr>
      <w:r>
        <w:rPr>
          <w:rFonts w:hint="eastAsia" w:eastAsia="黑体"/>
        </w:rPr>
        <w:t>附件</w:t>
      </w:r>
      <w:r>
        <w:rPr>
          <w:rFonts w:eastAsia="黑体"/>
        </w:rPr>
        <w:t>1</w:t>
      </w:r>
    </w:p>
    <w:p>
      <w:pPr>
        <w:spacing w:before="249" w:beforeLines="80" w:after="249" w:afterLines="80" w:line="600" w:lineRule="exact"/>
        <w:jc w:val="center"/>
        <w:rPr>
          <w:rFonts w:eastAsia="方正小标宋简体"/>
          <w:color w:val="000000"/>
          <w:kern w:val="0"/>
          <w:sz w:val="44"/>
          <w:szCs w:val="44"/>
        </w:rPr>
      </w:pPr>
      <w:r>
        <w:rPr>
          <w:rFonts w:hint="eastAsia" w:eastAsia="方正小标宋简体"/>
          <w:color w:val="000000"/>
          <w:kern w:val="0"/>
          <w:sz w:val="44"/>
          <w:szCs w:val="44"/>
        </w:rPr>
        <w:t>山东省产业园区规划环评基本情况汇总表</w:t>
      </w:r>
    </w:p>
    <w:p>
      <w:pPr>
        <w:rPr>
          <w:rFonts w:eastAsia="黑体"/>
          <w:sz w:val="21"/>
          <w:szCs w:val="21"/>
        </w:rPr>
      </w:pPr>
      <w:r>
        <w:rPr>
          <w:rFonts w:hint="eastAsia" w:eastAsia="黑体"/>
          <w:sz w:val="21"/>
          <w:szCs w:val="21"/>
        </w:rPr>
        <w:t>填报单位（盖章）：</w:t>
      </w:r>
      <w:r>
        <w:rPr>
          <w:rFonts w:eastAsia="黑体"/>
          <w:sz w:val="21"/>
          <w:szCs w:val="21"/>
          <w:u w:val="single"/>
        </w:rPr>
        <w:t xml:space="preserve">            </w:t>
      </w:r>
      <w:r>
        <w:rPr>
          <w:rFonts w:eastAsia="黑体"/>
          <w:sz w:val="21"/>
          <w:szCs w:val="21"/>
        </w:rPr>
        <w:t xml:space="preserve">                                    </w:t>
      </w:r>
      <w:r>
        <w:rPr>
          <w:rFonts w:hint="eastAsia" w:eastAsia="黑体"/>
          <w:sz w:val="21"/>
          <w:szCs w:val="21"/>
        </w:rPr>
        <w:t>填报人：</w:t>
      </w:r>
      <w:r>
        <w:rPr>
          <w:rFonts w:eastAsia="黑体"/>
          <w:sz w:val="21"/>
          <w:szCs w:val="21"/>
          <w:u w:val="single"/>
        </w:rPr>
        <w:t xml:space="preserve">       </w:t>
      </w:r>
      <w:r>
        <w:rPr>
          <w:rFonts w:hint="eastAsia" w:eastAsia="黑体"/>
          <w:sz w:val="21"/>
          <w:szCs w:val="21"/>
          <w:u w:val="single"/>
        </w:rPr>
        <w:t xml:space="preserve"> </w:t>
      </w:r>
      <w:r>
        <w:rPr>
          <w:rFonts w:eastAsia="黑体"/>
          <w:sz w:val="21"/>
          <w:szCs w:val="21"/>
        </w:rPr>
        <w:t xml:space="preserve">  联系电话（手机）：</w:t>
      </w:r>
      <w:r>
        <w:rPr>
          <w:rFonts w:hint="eastAsia" w:eastAsia="黑体"/>
          <w:sz w:val="21"/>
          <w:szCs w:val="21"/>
          <w:u w:val="single"/>
        </w:rPr>
        <w:t xml:space="preserve">               </w:t>
      </w:r>
      <w:r>
        <w:rPr>
          <w:rFonts w:hint="eastAsia" w:eastAsia="黑体"/>
          <w:sz w:val="21"/>
          <w:szCs w:val="21"/>
        </w:rPr>
        <w:t>填报时间：</w:t>
      </w:r>
      <w:r>
        <w:rPr>
          <w:rFonts w:eastAsia="黑体"/>
          <w:sz w:val="21"/>
          <w:szCs w:val="21"/>
          <w:u w:val="single"/>
        </w:rPr>
        <w:t xml:space="preserve">             </w:t>
      </w:r>
    </w:p>
    <w:tbl>
      <w:tblPr>
        <w:tblStyle w:val="4"/>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40"/>
        <w:gridCol w:w="587"/>
        <w:gridCol w:w="1175"/>
        <w:gridCol w:w="734"/>
        <w:gridCol w:w="1175"/>
        <w:gridCol w:w="1175"/>
        <w:gridCol w:w="1114"/>
        <w:gridCol w:w="992"/>
        <w:gridCol w:w="965"/>
        <w:gridCol w:w="1276"/>
        <w:gridCol w:w="1276"/>
        <w:gridCol w:w="1276"/>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黑体"/>
                <w:kern w:val="0"/>
                <w:sz w:val="21"/>
                <w:szCs w:val="21"/>
              </w:rPr>
            </w:pPr>
            <w:r>
              <w:rPr>
                <w:rFonts w:hint="eastAsia" w:eastAsia="黑体"/>
                <w:sz w:val="21"/>
                <w:szCs w:val="21"/>
              </w:rPr>
              <w:t>序号</w:t>
            </w:r>
          </w:p>
        </w:tc>
        <w:tc>
          <w:tcPr>
            <w:tcW w:w="4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市</w:t>
            </w:r>
          </w:p>
        </w:tc>
        <w:tc>
          <w:tcPr>
            <w:tcW w:w="5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县</w:t>
            </w:r>
            <w:r>
              <w:rPr>
                <w:rFonts w:eastAsia="黑体"/>
                <w:sz w:val="21"/>
                <w:szCs w:val="21"/>
              </w:rPr>
              <w:t>/</w:t>
            </w:r>
            <w:r>
              <w:rPr>
                <w:rFonts w:hint="eastAsia" w:eastAsia="黑体"/>
                <w:sz w:val="21"/>
                <w:szCs w:val="21"/>
              </w:rPr>
              <w:t>市</w:t>
            </w:r>
            <w:r>
              <w:rPr>
                <w:rFonts w:eastAsia="黑体"/>
                <w:sz w:val="21"/>
                <w:szCs w:val="21"/>
              </w:rPr>
              <w:t>/</w:t>
            </w:r>
            <w:r>
              <w:rPr>
                <w:rFonts w:hint="eastAsia" w:eastAsia="黑体"/>
                <w:sz w:val="21"/>
                <w:szCs w:val="21"/>
              </w:rPr>
              <w:t>区</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产业园区名称（格式见</w:t>
            </w:r>
            <w:r>
              <w:rPr>
                <w:rFonts w:eastAsia="黑体"/>
                <w:sz w:val="21"/>
                <w:szCs w:val="21"/>
              </w:rPr>
              <w:t>“</w:t>
            </w:r>
            <w:r>
              <w:rPr>
                <w:rFonts w:hint="eastAsia" w:eastAsia="黑体"/>
                <w:sz w:val="21"/>
                <w:szCs w:val="21"/>
              </w:rPr>
              <w:t>填表说明</w:t>
            </w:r>
            <w:r>
              <w:rPr>
                <w:rFonts w:eastAsia="黑体"/>
                <w:sz w:val="21"/>
                <w:szCs w:val="21"/>
              </w:rPr>
              <w:t>1”</w:t>
            </w:r>
            <w:r>
              <w:rPr>
                <w:rFonts w:hint="eastAsia" w:eastAsia="黑体"/>
                <w:sz w:val="21"/>
                <w:szCs w:val="21"/>
              </w:rPr>
              <w:t>）</w:t>
            </w:r>
          </w:p>
        </w:tc>
        <w:tc>
          <w:tcPr>
            <w:tcW w:w="7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批准设立机关</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批准设立时间（格式见</w:t>
            </w:r>
            <w:r>
              <w:rPr>
                <w:rFonts w:eastAsia="黑体"/>
                <w:sz w:val="21"/>
                <w:szCs w:val="21"/>
              </w:rPr>
              <w:t>“</w:t>
            </w:r>
            <w:r>
              <w:rPr>
                <w:rFonts w:hint="eastAsia" w:eastAsia="黑体"/>
                <w:sz w:val="21"/>
                <w:szCs w:val="21"/>
              </w:rPr>
              <w:t>填表说明</w:t>
            </w:r>
            <w:r>
              <w:rPr>
                <w:rFonts w:eastAsia="黑体"/>
                <w:sz w:val="21"/>
                <w:szCs w:val="21"/>
              </w:rPr>
              <w:t>2”</w:t>
            </w:r>
            <w:r>
              <w:rPr>
                <w:rFonts w:hint="eastAsia" w:eastAsia="黑体"/>
                <w:sz w:val="21"/>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批准设立面积（平方公里）</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园区类别（格式见</w:t>
            </w:r>
            <w:r>
              <w:rPr>
                <w:rFonts w:eastAsia="黑体"/>
                <w:sz w:val="21"/>
                <w:szCs w:val="21"/>
              </w:rPr>
              <w:t>“</w:t>
            </w:r>
            <w:r>
              <w:rPr>
                <w:rFonts w:hint="eastAsia" w:eastAsia="黑体"/>
                <w:sz w:val="21"/>
                <w:szCs w:val="21"/>
              </w:rPr>
              <w:t>填表说明</w:t>
            </w:r>
            <w:r>
              <w:rPr>
                <w:rFonts w:eastAsia="黑体"/>
                <w:sz w:val="21"/>
                <w:szCs w:val="21"/>
              </w:rPr>
              <w:t>3”</w:t>
            </w:r>
            <w:r>
              <w:rPr>
                <w:rFonts w:hint="eastAsia" w:eastAsia="黑体"/>
                <w:sz w:val="21"/>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级别（格式见</w:t>
            </w:r>
            <w:r>
              <w:rPr>
                <w:rFonts w:eastAsia="黑体"/>
                <w:sz w:val="21"/>
                <w:szCs w:val="21"/>
              </w:rPr>
              <w:t>“</w:t>
            </w:r>
            <w:r>
              <w:rPr>
                <w:rFonts w:hint="eastAsia" w:eastAsia="黑体"/>
                <w:sz w:val="21"/>
                <w:szCs w:val="21"/>
              </w:rPr>
              <w:t>填表说明</w:t>
            </w:r>
            <w:r>
              <w:rPr>
                <w:rFonts w:eastAsia="黑体"/>
                <w:sz w:val="21"/>
                <w:szCs w:val="21"/>
              </w:rPr>
              <w:t>4”</w:t>
            </w:r>
            <w:r>
              <w:rPr>
                <w:rFonts w:hint="eastAsia" w:eastAsia="黑体"/>
                <w:sz w:val="21"/>
                <w:szCs w:val="21"/>
              </w:rPr>
              <w:t>）</w:t>
            </w:r>
          </w:p>
        </w:tc>
        <w:tc>
          <w:tcPr>
            <w:tcW w:w="9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管辖面积（平方公里）</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规划环评审查文号（格式见</w:t>
            </w:r>
            <w:r>
              <w:rPr>
                <w:rFonts w:eastAsia="黑体"/>
                <w:sz w:val="21"/>
                <w:szCs w:val="21"/>
              </w:rPr>
              <w:t>“</w:t>
            </w:r>
            <w:r>
              <w:rPr>
                <w:rFonts w:hint="eastAsia" w:eastAsia="黑体"/>
                <w:sz w:val="21"/>
                <w:szCs w:val="21"/>
              </w:rPr>
              <w:t>填表说明</w:t>
            </w:r>
            <w:r>
              <w:rPr>
                <w:rFonts w:eastAsia="黑体"/>
                <w:sz w:val="21"/>
                <w:szCs w:val="21"/>
              </w:rPr>
              <w:t>5”</w:t>
            </w:r>
            <w:r>
              <w:rPr>
                <w:rFonts w:hint="eastAsia" w:eastAsia="黑体"/>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规划环评审查面积（平方公里）</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跟踪评价审查文号（格式见</w:t>
            </w:r>
            <w:r>
              <w:rPr>
                <w:rFonts w:eastAsia="黑体"/>
                <w:sz w:val="21"/>
                <w:szCs w:val="21"/>
              </w:rPr>
              <w:t>“</w:t>
            </w:r>
            <w:r>
              <w:rPr>
                <w:rFonts w:hint="eastAsia" w:eastAsia="黑体"/>
                <w:sz w:val="21"/>
                <w:szCs w:val="21"/>
              </w:rPr>
              <w:t>填表说明</w:t>
            </w:r>
            <w:r>
              <w:rPr>
                <w:rFonts w:eastAsia="黑体"/>
                <w:sz w:val="21"/>
                <w:szCs w:val="21"/>
              </w:rPr>
              <w:t>6”</w:t>
            </w:r>
            <w:r>
              <w:rPr>
                <w:rFonts w:hint="eastAsia" w:eastAsia="黑体"/>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跟踪评价审查面积（平方公里）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黑体"/>
                <w:sz w:val="21"/>
                <w:szCs w:val="21"/>
              </w:rPr>
            </w:pPr>
            <w:r>
              <w:rPr>
                <w:rFonts w:hint="eastAsia" w:eastAsia="黑体"/>
                <w:sz w:val="21"/>
                <w:szCs w:val="21"/>
              </w:rPr>
              <w:t>备注（其他需要说明的情况）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1</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2</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3</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4</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5</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6</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7</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8</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r>
              <w:rPr>
                <w:rFonts w:eastAsia="黑体"/>
                <w:sz w:val="21"/>
                <w:szCs w:val="21"/>
              </w:rPr>
              <w:t>9</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 w:val="21"/>
                <w:szCs w:val="21"/>
              </w:rPr>
            </w:pPr>
          </w:p>
        </w:tc>
        <w:tc>
          <w:tcPr>
            <w:tcW w:w="117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1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92"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965"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276"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c>
          <w:tcPr>
            <w:tcW w:w="1417" w:type="dxa"/>
            <w:tcBorders>
              <w:top w:val="single" w:color="auto" w:sz="4" w:space="0"/>
              <w:left w:val="single" w:color="auto" w:sz="4" w:space="0"/>
              <w:bottom w:val="single" w:color="auto" w:sz="4" w:space="0"/>
              <w:right w:val="single" w:color="auto" w:sz="4" w:space="0"/>
            </w:tcBorders>
          </w:tcPr>
          <w:p>
            <w:pPr>
              <w:spacing w:line="240" w:lineRule="exact"/>
              <w:jc w:val="center"/>
              <w:rPr>
                <w:rFonts w:eastAsia="黑体"/>
                <w:sz w:val="21"/>
                <w:szCs w:val="21"/>
              </w:rPr>
            </w:pPr>
          </w:p>
        </w:tc>
      </w:tr>
    </w:tbl>
    <w:p>
      <w:pPr>
        <w:spacing w:line="300" w:lineRule="exact"/>
        <w:rPr>
          <w:rFonts w:eastAsia="黑体"/>
          <w:sz w:val="21"/>
          <w:szCs w:val="21"/>
        </w:rPr>
      </w:pPr>
      <w:r>
        <w:rPr>
          <w:rFonts w:hint="eastAsia" w:eastAsia="黑体"/>
          <w:sz w:val="21"/>
          <w:szCs w:val="21"/>
        </w:rPr>
        <w:t>填表说明：</w:t>
      </w:r>
      <w:r>
        <w:rPr>
          <w:rFonts w:eastAsia="黑体"/>
          <w:sz w:val="21"/>
          <w:szCs w:val="21"/>
        </w:rPr>
        <w:t>1.</w:t>
      </w:r>
      <w:r>
        <w:rPr>
          <w:rFonts w:hint="eastAsia" w:eastAsia="黑体"/>
          <w:sz w:val="21"/>
          <w:szCs w:val="21"/>
        </w:rPr>
        <w:t>产业园区名称：按照目前使用名称填写；如涉及更名，一并填写原名。示例：山东郓城经济开发区（原山东郓城工业园区）。</w:t>
      </w:r>
      <w:r>
        <w:rPr>
          <w:rFonts w:eastAsia="黑体"/>
          <w:sz w:val="21"/>
          <w:szCs w:val="21"/>
        </w:rPr>
        <w:t>2.</w:t>
      </w:r>
      <w:r>
        <w:rPr>
          <w:rFonts w:hint="eastAsia" w:eastAsia="黑体"/>
          <w:sz w:val="21"/>
          <w:szCs w:val="21"/>
        </w:rPr>
        <w:t>批准设立时间：格式</w:t>
      </w:r>
      <w:r>
        <w:rPr>
          <w:rFonts w:eastAsia="黑体"/>
          <w:sz w:val="21"/>
          <w:szCs w:val="21"/>
        </w:rPr>
        <w:t>“XXXX</w:t>
      </w:r>
      <w:r>
        <w:rPr>
          <w:rFonts w:hint="eastAsia" w:eastAsia="黑体"/>
          <w:sz w:val="21"/>
          <w:szCs w:val="21"/>
        </w:rPr>
        <w:t>年</w:t>
      </w:r>
      <w:r>
        <w:rPr>
          <w:rFonts w:eastAsia="黑体"/>
          <w:sz w:val="21"/>
          <w:szCs w:val="21"/>
        </w:rPr>
        <w:t>XX</w:t>
      </w:r>
      <w:r>
        <w:rPr>
          <w:rFonts w:hint="eastAsia" w:eastAsia="黑体"/>
          <w:sz w:val="21"/>
          <w:szCs w:val="21"/>
        </w:rPr>
        <w:t>月</w:t>
      </w:r>
      <w:r>
        <w:rPr>
          <w:rFonts w:eastAsia="黑体"/>
          <w:sz w:val="21"/>
          <w:szCs w:val="21"/>
        </w:rPr>
        <w:t>XX</w:t>
      </w:r>
      <w:r>
        <w:rPr>
          <w:rFonts w:hint="eastAsia" w:eastAsia="黑体"/>
          <w:sz w:val="21"/>
          <w:szCs w:val="21"/>
        </w:rPr>
        <w:t>日</w:t>
      </w:r>
      <w:r>
        <w:rPr>
          <w:rFonts w:eastAsia="黑体"/>
          <w:sz w:val="21"/>
          <w:szCs w:val="21"/>
        </w:rPr>
        <w:t>”</w:t>
      </w:r>
      <w:r>
        <w:rPr>
          <w:rFonts w:hint="eastAsia" w:eastAsia="黑体"/>
          <w:sz w:val="21"/>
          <w:szCs w:val="21"/>
        </w:rPr>
        <w:t>。示例：</w:t>
      </w:r>
      <w:r>
        <w:rPr>
          <w:rFonts w:eastAsia="黑体"/>
          <w:sz w:val="21"/>
          <w:szCs w:val="21"/>
        </w:rPr>
        <w:t>2022</w:t>
      </w:r>
      <w:r>
        <w:rPr>
          <w:rFonts w:hint="eastAsia" w:eastAsia="黑体"/>
          <w:sz w:val="21"/>
          <w:szCs w:val="21"/>
        </w:rPr>
        <w:t>年</w:t>
      </w:r>
      <w:r>
        <w:rPr>
          <w:rFonts w:eastAsia="黑体"/>
          <w:sz w:val="21"/>
          <w:szCs w:val="21"/>
        </w:rPr>
        <w:t>01</w:t>
      </w:r>
      <w:r>
        <w:rPr>
          <w:rFonts w:hint="eastAsia" w:eastAsia="黑体"/>
          <w:sz w:val="21"/>
          <w:szCs w:val="21"/>
        </w:rPr>
        <w:t>月</w:t>
      </w:r>
      <w:r>
        <w:rPr>
          <w:rFonts w:eastAsia="黑体"/>
          <w:sz w:val="21"/>
          <w:szCs w:val="21"/>
        </w:rPr>
        <w:t>02</w:t>
      </w:r>
      <w:r>
        <w:rPr>
          <w:rFonts w:hint="eastAsia" w:eastAsia="黑体"/>
          <w:sz w:val="21"/>
          <w:szCs w:val="21"/>
        </w:rPr>
        <w:t>日。</w:t>
      </w:r>
      <w:r>
        <w:rPr>
          <w:rFonts w:eastAsia="黑体"/>
          <w:sz w:val="21"/>
          <w:szCs w:val="21"/>
        </w:rPr>
        <w:t>3.</w:t>
      </w:r>
      <w:r>
        <w:rPr>
          <w:rFonts w:hint="eastAsia" w:eastAsia="黑体"/>
          <w:sz w:val="21"/>
          <w:szCs w:val="21"/>
        </w:rPr>
        <w:t>园区类别：填写</w:t>
      </w:r>
      <w:r>
        <w:rPr>
          <w:rFonts w:eastAsia="黑体"/>
          <w:sz w:val="21"/>
          <w:szCs w:val="21"/>
        </w:rPr>
        <w:t>“</w:t>
      </w:r>
      <w:r>
        <w:rPr>
          <w:rFonts w:hint="eastAsia" w:eastAsia="黑体"/>
          <w:sz w:val="21"/>
          <w:szCs w:val="21"/>
        </w:rPr>
        <w:t>新区</w:t>
      </w:r>
      <w:r>
        <w:rPr>
          <w:rFonts w:eastAsia="黑体"/>
          <w:sz w:val="21"/>
          <w:szCs w:val="21"/>
        </w:rPr>
        <w:t>/</w:t>
      </w:r>
      <w:r>
        <w:rPr>
          <w:rFonts w:hint="eastAsia" w:eastAsia="黑体"/>
          <w:sz w:val="21"/>
          <w:szCs w:val="21"/>
        </w:rPr>
        <w:t>农高区</w:t>
      </w:r>
      <w:r>
        <w:rPr>
          <w:rFonts w:eastAsia="黑体"/>
          <w:sz w:val="21"/>
          <w:szCs w:val="21"/>
        </w:rPr>
        <w:t>/</w:t>
      </w:r>
      <w:r>
        <w:rPr>
          <w:rFonts w:hint="eastAsia" w:eastAsia="黑体"/>
          <w:sz w:val="21"/>
          <w:szCs w:val="21"/>
        </w:rPr>
        <w:t>高新区</w:t>
      </w:r>
      <w:r>
        <w:rPr>
          <w:rFonts w:eastAsia="黑体"/>
          <w:sz w:val="21"/>
          <w:szCs w:val="21"/>
        </w:rPr>
        <w:t>/</w:t>
      </w:r>
      <w:r>
        <w:rPr>
          <w:rFonts w:hint="eastAsia" w:eastAsia="黑体"/>
          <w:sz w:val="21"/>
          <w:szCs w:val="21"/>
        </w:rPr>
        <w:t>经济（技术）开发区</w:t>
      </w:r>
      <w:r>
        <w:rPr>
          <w:rFonts w:eastAsia="黑体"/>
          <w:sz w:val="21"/>
          <w:szCs w:val="21"/>
        </w:rPr>
        <w:t>/</w:t>
      </w:r>
      <w:r>
        <w:rPr>
          <w:rFonts w:hint="eastAsia" w:eastAsia="黑体"/>
          <w:sz w:val="21"/>
          <w:szCs w:val="21"/>
        </w:rPr>
        <w:t>旅游度假区</w:t>
      </w:r>
      <w:r>
        <w:rPr>
          <w:rFonts w:eastAsia="黑体"/>
          <w:sz w:val="21"/>
          <w:szCs w:val="21"/>
        </w:rPr>
        <w:t>/</w:t>
      </w:r>
      <w:r>
        <w:rPr>
          <w:rFonts w:hint="eastAsia" w:eastAsia="黑体"/>
          <w:sz w:val="21"/>
          <w:szCs w:val="21"/>
        </w:rPr>
        <w:t>工业集聚区</w:t>
      </w:r>
      <w:r>
        <w:rPr>
          <w:rFonts w:eastAsia="黑体"/>
          <w:sz w:val="21"/>
          <w:szCs w:val="21"/>
        </w:rPr>
        <w:t>/</w:t>
      </w:r>
      <w:r>
        <w:rPr>
          <w:rFonts w:hint="eastAsia" w:eastAsia="黑体"/>
          <w:sz w:val="21"/>
          <w:szCs w:val="21"/>
        </w:rPr>
        <w:t>工业园区</w:t>
      </w:r>
      <w:r>
        <w:rPr>
          <w:rFonts w:eastAsia="黑体"/>
          <w:sz w:val="21"/>
          <w:szCs w:val="21"/>
        </w:rPr>
        <w:t>/</w:t>
      </w:r>
      <w:r>
        <w:rPr>
          <w:rFonts w:hint="eastAsia" w:eastAsia="黑体"/>
          <w:sz w:val="21"/>
          <w:szCs w:val="21"/>
        </w:rPr>
        <w:t>其他</w:t>
      </w:r>
      <w:r>
        <w:rPr>
          <w:rFonts w:eastAsia="黑体"/>
          <w:sz w:val="21"/>
          <w:szCs w:val="21"/>
        </w:rPr>
        <w:t>”</w:t>
      </w:r>
      <w:r>
        <w:rPr>
          <w:rFonts w:hint="eastAsia" w:eastAsia="黑体"/>
          <w:sz w:val="21"/>
          <w:szCs w:val="21"/>
        </w:rPr>
        <w:t>。</w:t>
      </w:r>
      <w:r>
        <w:rPr>
          <w:rFonts w:eastAsia="黑体"/>
          <w:sz w:val="21"/>
          <w:szCs w:val="21"/>
        </w:rPr>
        <w:t>4.</w:t>
      </w:r>
      <w:r>
        <w:rPr>
          <w:rFonts w:hint="eastAsia" w:eastAsia="黑体"/>
          <w:sz w:val="21"/>
          <w:szCs w:val="21"/>
        </w:rPr>
        <w:t>级别：填写</w:t>
      </w:r>
      <w:r>
        <w:rPr>
          <w:rFonts w:eastAsia="黑体"/>
          <w:sz w:val="21"/>
          <w:szCs w:val="21"/>
        </w:rPr>
        <w:t>“</w:t>
      </w:r>
      <w:r>
        <w:rPr>
          <w:rFonts w:hint="eastAsia" w:eastAsia="黑体"/>
          <w:sz w:val="21"/>
          <w:szCs w:val="21"/>
        </w:rPr>
        <w:t>国家级</w:t>
      </w:r>
      <w:r>
        <w:rPr>
          <w:rFonts w:eastAsia="黑体"/>
          <w:sz w:val="21"/>
          <w:szCs w:val="21"/>
        </w:rPr>
        <w:t>/</w:t>
      </w:r>
      <w:r>
        <w:rPr>
          <w:rFonts w:hint="eastAsia" w:eastAsia="黑体"/>
          <w:sz w:val="21"/>
          <w:szCs w:val="21"/>
        </w:rPr>
        <w:t>省级</w:t>
      </w:r>
      <w:r>
        <w:rPr>
          <w:rFonts w:eastAsia="黑体"/>
          <w:sz w:val="21"/>
          <w:szCs w:val="21"/>
        </w:rPr>
        <w:t>/</w:t>
      </w:r>
      <w:r>
        <w:rPr>
          <w:rFonts w:hint="eastAsia" w:eastAsia="黑体"/>
          <w:sz w:val="21"/>
          <w:szCs w:val="21"/>
        </w:rPr>
        <w:t>市级</w:t>
      </w:r>
      <w:r>
        <w:rPr>
          <w:rFonts w:eastAsia="黑体"/>
          <w:sz w:val="21"/>
          <w:szCs w:val="21"/>
        </w:rPr>
        <w:t>/</w:t>
      </w:r>
      <w:r>
        <w:rPr>
          <w:rFonts w:hint="eastAsia" w:eastAsia="黑体"/>
          <w:sz w:val="21"/>
          <w:szCs w:val="21"/>
        </w:rPr>
        <w:t>县级</w:t>
      </w:r>
      <w:r>
        <w:rPr>
          <w:rFonts w:eastAsia="黑体"/>
          <w:sz w:val="21"/>
          <w:szCs w:val="21"/>
        </w:rPr>
        <w:t>/</w:t>
      </w:r>
      <w:r>
        <w:rPr>
          <w:rFonts w:hint="eastAsia" w:eastAsia="黑体"/>
          <w:sz w:val="21"/>
          <w:szCs w:val="21"/>
        </w:rPr>
        <w:t>乡镇级</w:t>
      </w:r>
      <w:r>
        <w:rPr>
          <w:rFonts w:eastAsia="黑体"/>
          <w:sz w:val="21"/>
          <w:szCs w:val="21"/>
        </w:rPr>
        <w:t>”</w:t>
      </w:r>
      <w:r>
        <w:rPr>
          <w:rFonts w:hint="eastAsia" w:eastAsia="黑体"/>
          <w:sz w:val="21"/>
          <w:szCs w:val="21"/>
        </w:rPr>
        <w:t>。</w:t>
      </w:r>
      <w:r>
        <w:rPr>
          <w:rFonts w:eastAsia="黑体"/>
          <w:sz w:val="21"/>
          <w:szCs w:val="21"/>
        </w:rPr>
        <w:t>5.</w:t>
      </w:r>
      <w:r>
        <w:rPr>
          <w:rFonts w:hint="eastAsia" w:eastAsia="黑体"/>
          <w:sz w:val="21"/>
          <w:szCs w:val="21"/>
        </w:rPr>
        <w:t>规划环评审查文号：有文号的，格式</w:t>
      </w:r>
      <w:r>
        <w:rPr>
          <w:rFonts w:eastAsia="黑体"/>
          <w:sz w:val="21"/>
          <w:szCs w:val="21"/>
        </w:rPr>
        <w:t>“XXXX</w:t>
      </w:r>
      <w:r>
        <w:rPr>
          <w:rFonts w:hint="eastAsia" w:eastAsia="黑体"/>
          <w:sz w:val="21"/>
          <w:szCs w:val="21"/>
        </w:rPr>
        <w:t>〔</w:t>
      </w:r>
      <w:r>
        <w:rPr>
          <w:rFonts w:eastAsia="黑体"/>
          <w:sz w:val="21"/>
          <w:szCs w:val="21"/>
        </w:rPr>
        <w:t>XXXX</w:t>
      </w:r>
      <w:r>
        <w:rPr>
          <w:rFonts w:hint="eastAsia" w:eastAsia="黑体"/>
          <w:sz w:val="21"/>
          <w:szCs w:val="21"/>
        </w:rPr>
        <w:t>〕</w:t>
      </w:r>
      <w:r>
        <w:rPr>
          <w:rFonts w:eastAsia="黑体"/>
          <w:sz w:val="21"/>
          <w:szCs w:val="21"/>
        </w:rPr>
        <w:t>X</w:t>
      </w:r>
      <w:r>
        <w:rPr>
          <w:rFonts w:hint="eastAsia" w:eastAsia="黑体"/>
          <w:sz w:val="21"/>
          <w:szCs w:val="21"/>
        </w:rPr>
        <w:t>号</w:t>
      </w:r>
      <w:r>
        <w:rPr>
          <w:rFonts w:eastAsia="黑体"/>
          <w:sz w:val="21"/>
          <w:szCs w:val="21"/>
        </w:rPr>
        <w:t>”</w:t>
      </w:r>
      <w:r>
        <w:rPr>
          <w:rFonts w:hint="eastAsia" w:eastAsia="黑体"/>
          <w:sz w:val="21"/>
          <w:szCs w:val="21"/>
        </w:rPr>
        <w:t>；无文号的，填写</w:t>
      </w:r>
      <w:r>
        <w:rPr>
          <w:rFonts w:eastAsia="黑体"/>
          <w:sz w:val="21"/>
          <w:szCs w:val="21"/>
        </w:rPr>
        <w:t>“</w:t>
      </w:r>
      <w:r>
        <w:rPr>
          <w:rFonts w:hint="eastAsia" w:eastAsia="黑体"/>
          <w:sz w:val="21"/>
          <w:szCs w:val="21"/>
        </w:rPr>
        <w:t>审查小组开会时间</w:t>
      </w:r>
      <w:r>
        <w:rPr>
          <w:rFonts w:eastAsia="黑体"/>
          <w:sz w:val="21"/>
          <w:szCs w:val="21"/>
        </w:rPr>
        <w:t>”</w:t>
      </w:r>
      <w:r>
        <w:rPr>
          <w:rFonts w:hint="eastAsia" w:eastAsia="黑体"/>
          <w:sz w:val="21"/>
          <w:szCs w:val="21"/>
        </w:rPr>
        <w:t>，格式</w:t>
      </w:r>
      <w:r>
        <w:rPr>
          <w:rFonts w:eastAsia="黑体"/>
          <w:sz w:val="21"/>
          <w:szCs w:val="21"/>
        </w:rPr>
        <w:t>“XXXX</w:t>
      </w:r>
      <w:r>
        <w:rPr>
          <w:rFonts w:hint="eastAsia" w:eastAsia="黑体"/>
          <w:sz w:val="21"/>
          <w:szCs w:val="21"/>
        </w:rPr>
        <w:t>年</w:t>
      </w:r>
      <w:r>
        <w:rPr>
          <w:rFonts w:eastAsia="黑体"/>
          <w:sz w:val="21"/>
          <w:szCs w:val="21"/>
        </w:rPr>
        <w:t>XX</w:t>
      </w:r>
      <w:r>
        <w:rPr>
          <w:rFonts w:hint="eastAsia" w:eastAsia="黑体"/>
          <w:sz w:val="21"/>
          <w:szCs w:val="21"/>
        </w:rPr>
        <w:t>月</w:t>
      </w:r>
      <w:r>
        <w:rPr>
          <w:rFonts w:eastAsia="黑体"/>
          <w:sz w:val="21"/>
          <w:szCs w:val="21"/>
        </w:rPr>
        <w:t>XX</w:t>
      </w:r>
      <w:r>
        <w:rPr>
          <w:rFonts w:hint="eastAsia" w:eastAsia="黑体"/>
          <w:sz w:val="21"/>
          <w:szCs w:val="21"/>
        </w:rPr>
        <w:t>日</w:t>
      </w:r>
      <w:r>
        <w:rPr>
          <w:rFonts w:eastAsia="黑体"/>
          <w:sz w:val="21"/>
          <w:szCs w:val="21"/>
        </w:rPr>
        <w:t>”</w:t>
      </w:r>
      <w:r>
        <w:rPr>
          <w:rFonts w:hint="eastAsia" w:eastAsia="黑体"/>
          <w:sz w:val="21"/>
          <w:szCs w:val="21"/>
        </w:rPr>
        <w:t>；未开展规划环评的，填写</w:t>
      </w:r>
      <w:r>
        <w:rPr>
          <w:rFonts w:eastAsia="黑体"/>
          <w:sz w:val="21"/>
          <w:szCs w:val="21"/>
        </w:rPr>
        <w:t>“</w:t>
      </w:r>
      <w:r>
        <w:rPr>
          <w:rFonts w:hint="eastAsia" w:eastAsia="黑体"/>
          <w:sz w:val="21"/>
          <w:szCs w:val="21"/>
        </w:rPr>
        <w:t>无</w:t>
      </w:r>
      <w:r>
        <w:rPr>
          <w:rFonts w:eastAsia="黑体"/>
          <w:sz w:val="21"/>
          <w:szCs w:val="21"/>
        </w:rPr>
        <w:t>”</w:t>
      </w:r>
      <w:r>
        <w:rPr>
          <w:rFonts w:hint="eastAsia" w:eastAsia="黑体"/>
          <w:sz w:val="21"/>
          <w:szCs w:val="21"/>
        </w:rPr>
        <w:t>，并在</w:t>
      </w:r>
      <w:r>
        <w:rPr>
          <w:rFonts w:eastAsia="黑体"/>
          <w:sz w:val="21"/>
          <w:szCs w:val="21"/>
        </w:rPr>
        <w:t>“</w:t>
      </w:r>
      <w:r>
        <w:rPr>
          <w:rFonts w:hint="eastAsia" w:eastAsia="黑体"/>
          <w:sz w:val="21"/>
          <w:szCs w:val="21"/>
        </w:rPr>
        <w:t>备注</w:t>
      </w:r>
      <w:r>
        <w:rPr>
          <w:rFonts w:eastAsia="黑体"/>
          <w:sz w:val="21"/>
          <w:szCs w:val="21"/>
        </w:rPr>
        <w:t>”</w:t>
      </w:r>
      <w:r>
        <w:rPr>
          <w:rFonts w:hint="eastAsia" w:eastAsia="黑体"/>
          <w:sz w:val="21"/>
          <w:szCs w:val="21"/>
        </w:rPr>
        <w:t>中说明情况。</w:t>
      </w:r>
      <w:r>
        <w:rPr>
          <w:rFonts w:eastAsia="黑体"/>
          <w:sz w:val="21"/>
          <w:szCs w:val="21"/>
        </w:rPr>
        <w:t>6.</w:t>
      </w:r>
      <w:r>
        <w:rPr>
          <w:rFonts w:hint="eastAsia" w:eastAsia="黑体"/>
          <w:sz w:val="21"/>
          <w:szCs w:val="21"/>
        </w:rPr>
        <w:t>跟踪评价审查文号：有文号的，格式</w:t>
      </w:r>
      <w:r>
        <w:rPr>
          <w:rFonts w:eastAsia="黑体"/>
          <w:sz w:val="21"/>
          <w:szCs w:val="21"/>
        </w:rPr>
        <w:t>“XXXX</w:t>
      </w:r>
      <w:r>
        <w:rPr>
          <w:rFonts w:hint="eastAsia" w:eastAsia="黑体"/>
          <w:sz w:val="21"/>
          <w:szCs w:val="21"/>
        </w:rPr>
        <w:t>〔</w:t>
      </w:r>
      <w:r>
        <w:rPr>
          <w:rFonts w:eastAsia="黑体"/>
          <w:sz w:val="21"/>
          <w:szCs w:val="21"/>
        </w:rPr>
        <w:t>XXXX</w:t>
      </w:r>
      <w:r>
        <w:rPr>
          <w:rFonts w:hint="eastAsia" w:eastAsia="黑体"/>
          <w:sz w:val="21"/>
          <w:szCs w:val="21"/>
        </w:rPr>
        <w:t>〕</w:t>
      </w:r>
      <w:r>
        <w:rPr>
          <w:rFonts w:eastAsia="黑体"/>
          <w:sz w:val="21"/>
          <w:szCs w:val="21"/>
        </w:rPr>
        <w:t>X</w:t>
      </w:r>
      <w:r>
        <w:rPr>
          <w:rFonts w:hint="eastAsia" w:eastAsia="黑体"/>
          <w:sz w:val="21"/>
          <w:szCs w:val="21"/>
        </w:rPr>
        <w:t>号</w:t>
      </w:r>
      <w:r>
        <w:rPr>
          <w:rFonts w:eastAsia="黑体"/>
          <w:sz w:val="21"/>
          <w:szCs w:val="21"/>
        </w:rPr>
        <w:t>”</w:t>
      </w:r>
      <w:r>
        <w:rPr>
          <w:rFonts w:hint="eastAsia" w:eastAsia="黑体"/>
          <w:sz w:val="21"/>
          <w:szCs w:val="21"/>
        </w:rPr>
        <w:t>；无文号的，填写</w:t>
      </w:r>
      <w:r>
        <w:rPr>
          <w:rFonts w:eastAsia="黑体"/>
          <w:sz w:val="21"/>
          <w:szCs w:val="21"/>
        </w:rPr>
        <w:t>“</w:t>
      </w:r>
      <w:r>
        <w:rPr>
          <w:rFonts w:hint="eastAsia" w:eastAsia="黑体"/>
          <w:sz w:val="21"/>
          <w:szCs w:val="21"/>
        </w:rPr>
        <w:t>审查小组开会时间</w:t>
      </w:r>
      <w:r>
        <w:rPr>
          <w:rFonts w:eastAsia="黑体"/>
          <w:sz w:val="21"/>
          <w:szCs w:val="21"/>
        </w:rPr>
        <w:t>”</w:t>
      </w:r>
      <w:r>
        <w:rPr>
          <w:rFonts w:hint="eastAsia" w:eastAsia="黑体"/>
          <w:sz w:val="21"/>
          <w:szCs w:val="21"/>
        </w:rPr>
        <w:t>，格式</w:t>
      </w:r>
      <w:r>
        <w:rPr>
          <w:rFonts w:eastAsia="黑体"/>
          <w:sz w:val="21"/>
          <w:szCs w:val="21"/>
        </w:rPr>
        <w:t>“XXXX</w:t>
      </w:r>
      <w:r>
        <w:rPr>
          <w:rFonts w:hint="eastAsia" w:eastAsia="黑体"/>
          <w:sz w:val="21"/>
          <w:szCs w:val="21"/>
        </w:rPr>
        <w:t>年</w:t>
      </w:r>
      <w:r>
        <w:rPr>
          <w:rFonts w:eastAsia="黑体"/>
          <w:sz w:val="21"/>
          <w:szCs w:val="21"/>
        </w:rPr>
        <w:t>XX</w:t>
      </w:r>
      <w:r>
        <w:rPr>
          <w:rFonts w:hint="eastAsia" w:eastAsia="黑体"/>
          <w:sz w:val="21"/>
          <w:szCs w:val="21"/>
        </w:rPr>
        <w:t>月</w:t>
      </w:r>
      <w:r>
        <w:rPr>
          <w:rFonts w:eastAsia="黑体"/>
          <w:sz w:val="21"/>
          <w:szCs w:val="21"/>
        </w:rPr>
        <w:t>XX</w:t>
      </w:r>
      <w:r>
        <w:rPr>
          <w:rFonts w:hint="eastAsia" w:eastAsia="黑体"/>
          <w:sz w:val="21"/>
          <w:szCs w:val="21"/>
        </w:rPr>
        <w:t>日</w:t>
      </w:r>
      <w:r>
        <w:rPr>
          <w:rFonts w:eastAsia="黑体"/>
          <w:sz w:val="21"/>
          <w:szCs w:val="21"/>
        </w:rPr>
        <w:t>”</w:t>
      </w:r>
      <w:r>
        <w:rPr>
          <w:rFonts w:hint="eastAsia" w:eastAsia="黑体"/>
          <w:sz w:val="21"/>
          <w:szCs w:val="21"/>
        </w:rPr>
        <w:t>；规划环评超过</w:t>
      </w:r>
      <w:r>
        <w:rPr>
          <w:rFonts w:eastAsia="黑体"/>
          <w:sz w:val="21"/>
          <w:szCs w:val="21"/>
        </w:rPr>
        <w:t>5</w:t>
      </w:r>
      <w:r>
        <w:rPr>
          <w:rFonts w:hint="eastAsia" w:eastAsia="黑体"/>
          <w:sz w:val="21"/>
          <w:szCs w:val="21"/>
        </w:rPr>
        <w:t>年，未开展跟踪评价的，填写</w:t>
      </w:r>
      <w:r>
        <w:rPr>
          <w:rFonts w:eastAsia="黑体"/>
          <w:sz w:val="21"/>
          <w:szCs w:val="21"/>
        </w:rPr>
        <w:t>“</w:t>
      </w:r>
      <w:r>
        <w:rPr>
          <w:rFonts w:hint="eastAsia" w:eastAsia="黑体"/>
          <w:sz w:val="21"/>
          <w:szCs w:val="21"/>
        </w:rPr>
        <w:t>无</w:t>
      </w:r>
      <w:r>
        <w:rPr>
          <w:rFonts w:eastAsia="黑体"/>
          <w:sz w:val="21"/>
          <w:szCs w:val="21"/>
        </w:rPr>
        <w:t>”</w:t>
      </w:r>
      <w:r>
        <w:rPr>
          <w:rFonts w:hint="eastAsia" w:eastAsia="黑体"/>
          <w:sz w:val="21"/>
          <w:szCs w:val="21"/>
        </w:rPr>
        <w:t>，并在</w:t>
      </w:r>
      <w:r>
        <w:rPr>
          <w:rFonts w:eastAsia="黑体"/>
          <w:sz w:val="21"/>
          <w:szCs w:val="21"/>
        </w:rPr>
        <w:t>“</w:t>
      </w:r>
      <w:r>
        <w:rPr>
          <w:rFonts w:hint="eastAsia" w:eastAsia="黑体"/>
          <w:sz w:val="21"/>
          <w:szCs w:val="21"/>
        </w:rPr>
        <w:t>备注</w:t>
      </w:r>
      <w:r>
        <w:rPr>
          <w:rFonts w:eastAsia="黑体"/>
          <w:sz w:val="21"/>
          <w:szCs w:val="21"/>
        </w:rPr>
        <w:t>”</w:t>
      </w:r>
      <w:r>
        <w:rPr>
          <w:rFonts w:hint="eastAsia" w:eastAsia="黑体"/>
          <w:sz w:val="21"/>
          <w:szCs w:val="21"/>
        </w:rPr>
        <w:t>中说明情况；规划环评未超过</w:t>
      </w:r>
      <w:r>
        <w:rPr>
          <w:rFonts w:eastAsia="黑体"/>
          <w:sz w:val="21"/>
          <w:szCs w:val="21"/>
        </w:rPr>
        <w:t>5</w:t>
      </w:r>
      <w:r>
        <w:rPr>
          <w:rFonts w:hint="eastAsia" w:eastAsia="黑体"/>
          <w:sz w:val="21"/>
          <w:szCs w:val="21"/>
        </w:rPr>
        <w:t>年的，填写</w:t>
      </w:r>
      <w:r>
        <w:rPr>
          <w:rFonts w:eastAsia="黑体"/>
          <w:sz w:val="21"/>
          <w:szCs w:val="21"/>
        </w:rPr>
        <w:t>“</w:t>
      </w:r>
      <w:r>
        <w:rPr>
          <w:rFonts w:hint="eastAsia" w:eastAsia="黑体"/>
          <w:sz w:val="21"/>
          <w:szCs w:val="21"/>
        </w:rPr>
        <w:t>未超过</w:t>
      </w:r>
      <w:r>
        <w:rPr>
          <w:rFonts w:eastAsia="黑体"/>
          <w:sz w:val="21"/>
          <w:szCs w:val="21"/>
        </w:rPr>
        <w:t>5</w:t>
      </w:r>
      <w:r>
        <w:rPr>
          <w:rFonts w:hint="eastAsia" w:eastAsia="黑体"/>
          <w:sz w:val="21"/>
          <w:szCs w:val="21"/>
        </w:rPr>
        <w:t>年，无需开展</w:t>
      </w:r>
      <w:r>
        <w:rPr>
          <w:rFonts w:eastAsia="黑体"/>
          <w:sz w:val="21"/>
          <w:szCs w:val="21"/>
        </w:rPr>
        <w:t>”</w:t>
      </w:r>
      <w:r>
        <w:rPr>
          <w:rFonts w:hint="eastAsia" w:eastAsia="黑体"/>
          <w:sz w:val="21"/>
          <w:szCs w:val="21"/>
        </w:rPr>
        <w:t>。</w:t>
      </w:r>
    </w:p>
    <w:p>
      <w:pPr>
        <w:widowControl/>
        <w:jc w:val="left"/>
        <w:rPr>
          <w:rFonts w:eastAsia="黑体"/>
          <w:sz w:val="21"/>
          <w:szCs w:val="21"/>
        </w:rPr>
        <w:sectPr>
          <w:footerReference r:id="rId4" w:type="even"/>
          <w:pgSz w:w="16838" w:h="11906" w:orient="landscape"/>
          <w:pgMar w:top="1701" w:right="1418" w:bottom="1418" w:left="1418" w:header="851" w:footer="1134" w:gutter="0"/>
          <w:cols w:space="720" w:num="1"/>
          <w:docGrid w:type="lines" w:linePitch="312" w:charSpace="0"/>
        </w:sectPr>
      </w:pPr>
    </w:p>
    <w:p>
      <w:pPr>
        <w:rPr>
          <w:rFonts w:eastAsia="黑体"/>
        </w:rPr>
      </w:pPr>
      <w:r>
        <w:rPr>
          <w:rFonts w:hint="eastAsia" w:eastAsia="黑体"/>
        </w:rPr>
        <w:t>附件</w:t>
      </w:r>
      <w:r>
        <w:rPr>
          <w:rFonts w:eastAsia="黑体"/>
        </w:rPr>
        <w:t>2</w:t>
      </w:r>
    </w:p>
    <w:p>
      <w:pPr>
        <w:adjustRightInd w:val="0"/>
        <w:snapToGrid w:val="0"/>
        <w:spacing w:before="292" w:beforeLines="50" w:after="292" w:afterLines="50" w:line="600" w:lineRule="exact"/>
        <w:jc w:val="center"/>
        <w:rPr>
          <w:rFonts w:eastAsia="方正小标宋简体"/>
          <w:sz w:val="44"/>
          <w:szCs w:val="44"/>
        </w:rPr>
      </w:pPr>
      <w:r>
        <w:rPr>
          <w:rFonts w:hint="eastAsia" w:eastAsia="方正小标宋简体"/>
          <w:sz w:val="44"/>
          <w:szCs w:val="44"/>
        </w:rPr>
        <w:t>山东省产业园区规划环评质量和落实情况表</w:t>
      </w:r>
    </w:p>
    <w:p>
      <w:pPr>
        <w:rPr>
          <w:rFonts w:eastAsia="黑体"/>
          <w:sz w:val="21"/>
          <w:szCs w:val="21"/>
        </w:rPr>
      </w:pPr>
      <w:r>
        <w:rPr>
          <w:rFonts w:hint="eastAsia" w:eastAsia="黑体"/>
          <w:sz w:val="21"/>
          <w:szCs w:val="21"/>
        </w:rPr>
        <w:t>填报单位（盖章）：</w:t>
      </w:r>
      <w:r>
        <w:rPr>
          <w:rFonts w:eastAsia="黑体"/>
          <w:sz w:val="21"/>
          <w:szCs w:val="21"/>
          <w:u w:val="single"/>
        </w:rPr>
        <w:t xml:space="preserve">            </w:t>
      </w:r>
      <w:r>
        <w:rPr>
          <w:rFonts w:eastAsia="黑体"/>
          <w:sz w:val="21"/>
          <w:szCs w:val="21"/>
        </w:rPr>
        <w:t xml:space="preserve">                                </w:t>
      </w:r>
      <w:r>
        <w:rPr>
          <w:rFonts w:hint="eastAsia" w:eastAsia="黑体"/>
          <w:sz w:val="21"/>
          <w:szCs w:val="21"/>
        </w:rPr>
        <w:t>填报人：</w:t>
      </w:r>
      <w:r>
        <w:rPr>
          <w:rFonts w:eastAsia="黑体"/>
          <w:sz w:val="21"/>
          <w:szCs w:val="21"/>
          <w:u w:val="single"/>
        </w:rPr>
        <w:t xml:space="preserve">          </w:t>
      </w:r>
      <w:r>
        <w:rPr>
          <w:rFonts w:eastAsia="黑体"/>
          <w:sz w:val="21"/>
          <w:szCs w:val="21"/>
        </w:rPr>
        <w:t xml:space="preserve">    联系电话（手机）：</w:t>
      </w:r>
      <w:r>
        <w:rPr>
          <w:rFonts w:hint="eastAsia" w:eastAsia="黑体"/>
          <w:sz w:val="21"/>
          <w:szCs w:val="21"/>
          <w:u w:val="single"/>
        </w:rPr>
        <w:t xml:space="preserve">               </w:t>
      </w:r>
      <w:r>
        <w:rPr>
          <w:rFonts w:hint="eastAsia" w:eastAsia="黑体"/>
          <w:sz w:val="21"/>
          <w:szCs w:val="21"/>
        </w:rPr>
        <w:t>填报时间：</w:t>
      </w:r>
      <w:r>
        <w:rPr>
          <w:rFonts w:eastAsia="黑体"/>
          <w:sz w:val="21"/>
          <w:szCs w:val="21"/>
          <w:u w:val="single"/>
        </w:rPr>
        <w:t xml:space="preserve">             </w:t>
      </w:r>
    </w:p>
    <w:tbl>
      <w:tblPr>
        <w:tblStyle w:val="4"/>
        <w:tblW w:w="146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49"/>
        <w:gridCol w:w="1381"/>
        <w:gridCol w:w="1311"/>
        <w:gridCol w:w="1894"/>
        <w:gridCol w:w="2184"/>
        <w:gridCol w:w="2184"/>
        <w:gridCol w:w="2185"/>
        <w:gridCol w:w="13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54"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hint="eastAsia" w:eastAsia="黑体"/>
                <w:sz w:val="21"/>
                <w:szCs w:val="21"/>
              </w:rPr>
              <w:t>序号</w:t>
            </w:r>
          </w:p>
        </w:tc>
        <w:tc>
          <w:tcPr>
            <w:tcW w:w="1349" w:type="dxa"/>
            <w:tcBorders>
              <w:top w:val="single" w:color="auto" w:sz="8"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r>
              <w:rPr>
                <w:rFonts w:hint="eastAsia" w:eastAsia="黑体"/>
                <w:spacing w:val="-6"/>
                <w:sz w:val="21"/>
                <w:szCs w:val="21"/>
              </w:rPr>
              <w:t>规划环评名称（格式见</w:t>
            </w:r>
            <w:r>
              <w:rPr>
                <w:rFonts w:eastAsia="黑体"/>
                <w:spacing w:val="-6"/>
                <w:sz w:val="21"/>
                <w:szCs w:val="21"/>
              </w:rPr>
              <w:t>“</w:t>
            </w:r>
            <w:r>
              <w:rPr>
                <w:rFonts w:hint="eastAsia" w:eastAsia="黑体"/>
                <w:spacing w:val="-6"/>
                <w:sz w:val="21"/>
                <w:szCs w:val="21"/>
              </w:rPr>
              <w:t>填表说明</w:t>
            </w:r>
            <w:r>
              <w:rPr>
                <w:rFonts w:eastAsia="黑体"/>
                <w:spacing w:val="-6"/>
                <w:sz w:val="21"/>
                <w:szCs w:val="21"/>
              </w:rPr>
              <w:t>1”</w:t>
            </w:r>
            <w:r>
              <w:rPr>
                <w:rFonts w:hint="eastAsia" w:eastAsia="黑体"/>
                <w:spacing w:val="-6"/>
                <w:sz w:val="21"/>
                <w:szCs w:val="21"/>
              </w:rPr>
              <w:t>）</w:t>
            </w:r>
          </w:p>
        </w:tc>
        <w:tc>
          <w:tcPr>
            <w:tcW w:w="1381" w:type="dxa"/>
            <w:tcBorders>
              <w:top w:val="single" w:color="auto" w:sz="8"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r>
              <w:rPr>
                <w:rFonts w:hint="eastAsia" w:eastAsia="黑体"/>
                <w:sz w:val="21"/>
                <w:szCs w:val="21"/>
              </w:rPr>
              <w:t>工作时间安排</w:t>
            </w:r>
            <w:r>
              <w:rPr>
                <w:rFonts w:hint="eastAsia" w:eastAsia="黑体"/>
                <w:spacing w:val="-6"/>
                <w:sz w:val="21"/>
                <w:szCs w:val="21"/>
              </w:rPr>
              <w:t>（格式见</w:t>
            </w:r>
            <w:r>
              <w:rPr>
                <w:rFonts w:eastAsia="黑体"/>
                <w:spacing w:val="-6"/>
                <w:sz w:val="21"/>
                <w:szCs w:val="21"/>
              </w:rPr>
              <w:t>“</w:t>
            </w:r>
            <w:r>
              <w:rPr>
                <w:rFonts w:hint="eastAsia" w:eastAsia="黑体"/>
                <w:spacing w:val="-6"/>
                <w:sz w:val="21"/>
                <w:szCs w:val="21"/>
              </w:rPr>
              <w:t>填表说明</w:t>
            </w:r>
            <w:r>
              <w:rPr>
                <w:rFonts w:eastAsia="黑体"/>
                <w:spacing w:val="-6"/>
                <w:sz w:val="21"/>
                <w:szCs w:val="21"/>
              </w:rPr>
              <w:t>2”</w:t>
            </w:r>
            <w:r>
              <w:rPr>
                <w:rFonts w:hint="eastAsia" w:eastAsia="黑体"/>
                <w:spacing w:val="-6"/>
                <w:sz w:val="21"/>
                <w:szCs w:val="21"/>
              </w:rPr>
              <w:t>）</w:t>
            </w:r>
          </w:p>
        </w:tc>
        <w:tc>
          <w:tcPr>
            <w:tcW w:w="1311" w:type="dxa"/>
            <w:tcBorders>
              <w:top w:val="single" w:color="auto" w:sz="8"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r>
              <w:rPr>
                <w:rFonts w:hint="eastAsia" w:eastAsia="黑体"/>
                <w:sz w:val="21"/>
                <w:szCs w:val="21"/>
              </w:rPr>
              <w:t>是否按期开展</w:t>
            </w:r>
            <w:r>
              <w:rPr>
                <w:rFonts w:hint="eastAsia" w:eastAsia="黑体"/>
                <w:spacing w:val="-6"/>
                <w:sz w:val="21"/>
                <w:szCs w:val="21"/>
              </w:rPr>
              <w:t>（格式见</w:t>
            </w:r>
            <w:r>
              <w:rPr>
                <w:rFonts w:eastAsia="黑体"/>
                <w:spacing w:val="-6"/>
                <w:sz w:val="21"/>
                <w:szCs w:val="21"/>
              </w:rPr>
              <w:t>“</w:t>
            </w:r>
            <w:r>
              <w:rPr>
                <w:rFonts w:hint="eastAsia" w:eastAsia="黑体"/>
                <w:spacing w:val="-6"/>
                <w:sz w:val="21"/>
                <w:szCs w:val="21"/>
              </w:rPr>
              <w:t>填表说明</w:t>
            </w:r>
            <w:r>
              <w:rPr>
                <w:rFonts w:eastAsia="黑体"/>
                <w:spacing w:val="-6"/>
                <w:sz w:val="21"/>
                <w:szCs w:val="21"/>
              </w:rPr>
              <w:t>3”</w:t>
            </w:r>
            <w:r>
              <w:rPr>
                <w:rFonts w:hint="eastAsia" w:eastAsia="黑体"/>
                <w:spacing w:val="-6"/>
                <w:sz w:val="21"/>
                <w:szCs w:val="21"/>
              </w:rPr>
              <w:t>）</w:t>
            </w:r>
          </w:p>
        </w:tc>
        <w:tc>
          <w:tcPr>
            <w:tcW w:w="1894" w:type="dxa"/>
            <w:tcBorders>
              <w:top w:val="single" w:color="auto" w:sz="8"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r>
              <w:rPr>
                <w:rFonts w:hint="eastAsia" w:eastAsia="黑体"/>
                <w:sz w:val="21"/>
                <w:szCs w:val="21"/>
              </w:rPr>
              <w:t>发现的规划环评质量问题</w:t>
            </w:r>
          </w:p>
        </w:tc>
        <w:tc>
          <w:tcPr>
            <w:tcW w:w="2184" w:type="dxa"/>
            <w:tcBorders>
              <w:top w:val="single" w:color="auto" w:sz="8"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r>
              <w:rPr>
                <w:rFonts w:hint="eastAsia" w:eastAsia="黑体"/>
                <w:sz w:val="21"/>
                <w:szCs w:val="21"/>
              </w:rPr>
              <w:t>规划环评质量问题的处理措施</w:t>
            </w:r>
          </w:p>
        </w:tc>
        <w:tc>
          <w:tcPr>
            <w:tcW w:w="2184"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r>
              <w:rPr>
                <w:rFonts w:hint="eastAsia" w:eastAsia="黑体"/>
                <w:sz w:val="21"/>
                <w:szCs w:val="21"/>
              </w:rPr>
              <w:t>发现的规划环评落实方面的问题</w:t>
            </w:r>
          </w:p>
        </w:tc>
        <w:tc>
          <w:tcPr>
            <w:tcW w:w="2185"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r>
              <w:rPr>
                <w:rFonts w:hint="eastAsia" w:eastAsia="黑体"/>
                <w:sz w:val="21"/>
                <w:szCs w:val="21"/>
              </w:rPr>
              <w:t>规划环评落实问题的处理措施</w:t>
            </w:r>
          </w:p>
        </w:tc>
        <w:tc>
          <w:tcPr>
            <w:tcW w:w="1392"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r>
              <w:rPr>
                <w:rFonts w:hint="eastAsia" w:eastAsia="黑体"/>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1</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2</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3</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4</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5</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6</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7</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eastAsia="黑体"/>
                <w:sz w:val="21"/>
                <w:szCs w:val="21"/>
              </w:rPr>
            </w:pPr>
            <w:r>
              <w:rPr>
                <w:rFonts w:eastAsia="黑体"/>
                <w:sz w:val="21"/>
                <w:szCs w:val="21"/>
              </w:rPr>
              <w:t>8</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eastAsia="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eastAsia="黑体"/>
                <w:sz w:val="21"/>
                <w:szCs w:val="21"/>
              </w:rPr>
            </w:pPr>
            <w:r>
              <w:rPr>
                <w:rFonts w:eastAsia="黑体"/>
                <w:sz w:val="21"/>
                <w:szCs w:val="21"/>
              </w:rPr>
              <w:t>9</w:t>
            </w:r>
          </w:p>
        </w:tc>
        <w:tc>
          <w:tcPr>
            <w:tcW w:w="1349" w:type="dxa"/>
            <w:tcBorders>
              <w:top w:val="single" w:color="auto" w:sz="4" w:space="0"/>
              <w:left w:val="single" w:color="auto" w:sz="4" w:space="0"/>
              <w:bottom w:val="single" w:color="auto" w:sz="8" w:space="0"/>
              <w:right w:val="single" w:color="auto" w:sz="4" w:space="0"/>
            </w:tcBorders>
            <w:vAlign w:val="center"/>
          </w:tcPr>
          <w:p>
            <w:pPr>
              <w:adjustRightInd w:val="0"/>
              <w:snapToGrid w:val="0"/>
              <w:ind w:left="-160" w:leftChars="-50" w:right="-160" w:rightChars="-50"/>
              <w:jc w:val="center"/>
              <w:rPr>
                <w:rFonts w:eastAsia="黑体"/>
                <w:spacing w:val="-6"/>
                <w:sz w:val="21"/>
                <w:szCs w:val="21"/>
              </w:rPr>
            </w:pPr>
          </w:p>
        </w:tc>
        <w:tc>
          <w:tcPr>
            <w:tcW w:w="1381" w:type="dxa"/>
            <w:tcBorders>
              <w:top w:val="single" w:color="auto" w:sz="4" w:space="0"/>
              <w:left w:val="single" w:color="auto" w:sz="4" w:space="0"/>
              <w:bottom w:val="single" w:color="auto" w:sz="8"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311" w:type="dxa"/>
            <w:tcBorders>
              <w:top w:val="single" w:color="auto" w:sz="4" w:space="0"/>
              <w:left w:val="single" w:color="auto" w:sz="4" w:space="0"/>
              <w:bottom w:val="single" w:color="auto" w:sz="8" w:space="0"/>
              <w:right w:val="single" w:color="auto" w:sz="4" w:space="0"/>
            </w:tcBorders>
            <w:vAlign w:val="center"/>
          </w:tcPr>
          <w:p>
            <w:pPr>
              <w:adjustRightInd w:val="0"/>
              <w:snapToGrid w:val="0"/>
              <w:ind w:left="-160" w:leftChars="-50" w:right="-160" w:rightChars="-50"/>
              <w:jc w:val="center"/>
              <w:rPr>
                <w:rFonts w:eastAsia="黑体"/>
                <w:sz w:val="21"/>
                <w:szCs w:val="21"/>
              </w:rPr>
            </w:pPr>
          </w:p>
        </w:tc>
        <w:tc>
          <w:tcPr>
            <w:tcW w:w="1894" w:type="dxa"/>
            <w:tcBorders>
              <w:top w:val="single" w:color="auto" w:sz="4" w:space="0"/>
              <w:left w:val="single" w:color="auto" w:sz="4" w:space="0"/>
              <w:bottom w:val="single" w:color="auto" w:sz="8"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8" w:space="0"/>
              <w:right w:val="single" w:color="auto" w:sz="4" w:space="0"/>
            </w:tcBorders>
            <w:vAlign w:val="center"/>
          </w:tcPr>
          <w:p>
            <w:pPr>
              <w:adjustRightInd w:val="0"/>
              <w:snapToGrid w:val="0"/>
              <w:ind w:left="-160" w:leftChars="-50" w:right="-160" w:rightChars="-50"/>
              <w:jc w:val="center"/>
              <w:rPr>
                <w:rFonts w:eastAsia="黑体"/>
                <w:spacing w:val="-20"/>
                <w:sz w:val="21"/>
                <w:szCs w:val="21"/>
              </w:rPr>
            </w:pPr>
          </w:p>
        </w:tc>
        <w:tc>
          <w:tcPr>
            <w:tcW w:w="2184"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eastAsia="黑体"/>
                <w:sz w:val="21"/>
                <w:szCs w:val="21"/>
              </w:rPr>
            </w:pPr>
          </w:p>
        </w:tc>
        <w:tc>
          <w:tcPr>
            <w:tcW w:w="2185"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rFonts w:eastAsia="黑体"/>
                <w:sz w:val="21"/>
                <w:szCs w:val="21"/>
              </w:rPr>
            </w:pPr>
          </w:p>
        </w:tc>
        <w:tc>
          <w:tcPr>
            <w:tcW w:w="1392" w:type="dxa"/>
            <w:tcBorders>
              <w:top w:val="single" w:color="auto" w:sz="4" w:space="0"/>
              <w:left w:val="single" w:color="auto" w:sz="4" w:space="0"/>
              <w:bottom w:val="single" w:color="auto" w:sz="8" w:space="0"/>
              <w:right w:val="single" w:color="auto" w:sz="8" w:space="0"/>
            </w:tcBorders>
            <w:vAlign w:val="center"/>
          </w:tcPr>
          <w:p>
            <w:pPr>
              <w:adjustRightInd w:val="0"/>
              <w:snapToGrid w:val="0"/>
              <w:jc w:val="center"/>
              <w:rPr>
                <w:rFonts w:eastAsia="黑体"/>
                <w:sz w:val="21"/>
                <w:szCs w:val="21"/>
              </w:rPr>
            </w:pPr>
          </w:p>
        </w:tc>
      </w:tr>
    </w:tbl>
    <w:p>
      <w:pPr>
        <w:spacing w:line="300" w:lineRule="exact"/>
      </w:pPr>
      <w:r>
        <w:rPr>
          <w:rFonts w:hint="eastAsia" w:eastAsia="黑体"/>
          <w:sz w:val="21"/>
          <w:szCs w:val="21"/>
        </w:rPr>
        <w:t>填表说明：</w:t>
      </w:r>
      <w:r>
        <w:rPr>
          <w:rFonts w:eastAsia="黑体"/>
          <w:sz w:val="21"/>
          <w:szCs w:val="21"/>
        </w:rPr>
        <w:t>1.</w:t>
      </w:r>
      <w:r>
        <w:rPr>
          <w:rFonts w:hint="eastAsia" w:eastAsia="黑体"/>
          <w:sz w:val="21"/>
          <w:szCs w:val="21"/>
        </w:rPr>
        <w:t>规划环评名称：填写辖区内各级生态环境部门已审查的规划环评名称。</w:t>
      </w:r>
      <w:r>
        <w:rPr>
          <w:rFonts w:eastAsia="黑体"/>
          <w:sz w:val="21"/>
          <w:szCs w:val="21"/>
        </w:rPr>
        <w:t>2.</w:t>
      </w:r>
      <w:r>
        <w:rPr>
          <w:rFonts w:hint="eastAsia" w:eastAsia="黑体"/>
          <w:sz w:val="21"/>
          <w:szCs w:val="21"/>
        </w:rPr>
        <w:t>工作时间安排：填写</w:t>
      </w:r>
      <w:r>
        <w:rPr>
          <w:rFonts w:eastAsia="黑体"/>
          <w:sz w:val="21"/>
          <w:szCs w:val="21"/>
        </w:rPr>
        <w:t>“XXXX</w:t>
      </w:r>
      <w:r>
        <w:rPr>
          <w:rFonts w:hint="eastAsia" w:eastAsia="黑体"/>
          <w:sz w:val="21"/>
          <w:szCs w:val="21"/>
        </w:rPr>
        <w:t>年</w:t>
      </w:r>
      <w:r>
        <w:rPr>
          <w:rFonts w:eastAsia="黑体"/>
          <w:sz w:val="21"/>
          <w:szCs w:val="21"/>
        </w:rPr>
        <w:t>”</w:t>
      </w:r>
      <w:r>
        <w:rPr>
          <w:rFonts w:hint="eastAsia" w:eastAsia="黑体"/>
          <w:sz w:val="21"/>
          <w:szCs w:val="21"/>
        </w:rPr>
        <w:t>，可分期制定工作安排，确保自</w:t>
      </w:r>
      <w:r>
        <w:rPr>
          <w:rFonts w:eastAsia="黑体"/>
          <w:sz w:val="21"/>
          <w:szCs w:val="21"/>
        </w:rPr>
        <w:t>2021</w:t>
      </w:r>
      <w:r>
        <w:rPr>
          <w:rFonts w:hint="eastAsia" w:eastAsia="黑体"/>
          <w:sz w:val="21"/>
          <w:szCs w:val="21"/>
        </w:rPr>
        <w:t>年起三年内全部完成辖区内已审查规划环评的监管调度工作。如因特殊情况未按计划完成工作安排，应说明理由，并及时调整工作安排。</w:t>
      </w:r>
      <w:r>
        <w:rPr>
          <w:rFonts w:eastAsia="黑体"/>
          <w:sz w:val="21"/>
          <w:szCs w:val="21"/>
        </w:rPr>
        <w:t>3.</w:t>
      </w:r>
      <w:r>
        <w:rPr>
          <w:rFonts w:hint="eastAsia" w:eastAsia="黑体"/>
          <w:sz w:val="21"/>
          <w:szCs w:val="21"/>
        </w:rPr>
        <w:t>是否按期开展：填写</w:t>
      </w:r>
      <w:r>
        <w:rPr>
          <w:rFonts w:eastAsia="黑体"/>
          <w:sz w:val="21"/>
          <w:szCs w:val="21"/>
        </w:rPr>
        <w:t>“</w:t>
      </w:r>
      <w:r>
        <w:rPr>
          <w:rFonts w:hint="eastAsia" w:eastAsia="黑体"/>
          <w:sz w:val="21"/>
          <w:szCs w:val="21"/>
        </w:rPr>
        <w:t>是</w:t>
      </w:r>
      <w:r>
        <w:rPr>
          <w:rFonts w:eastAsia="黑体"/>
          <w:sz w:val="21"/>
          <w:szCs w:val="21"/>
        </w:rPr>
        <w:t>/</w:t>
      </w:r>
      <w:r>
        <w:rPr>
          <w:rFonts w:hint="eastAsia" w:eastAsia="黑体"/>
          <w:sz w:val="21"/>
          <w:szCs w:val="21"/>
        </w:rPr>
        <w:t>否</w:t>
      </w:r>
      <w:r>
        <w:rPr>
          <w:rFonts w:eastAsia="黑体"/>
          <w:sz w:val="21"/>
          <w:szCs w:val="21"/>
        </w:rPr>
        <w:t>”</w:t>
      </w:r>
      <w:r>
        <w:rPr>
          <w:rFonts w:hint="eastAsia" w:eastAsia="黑体"/>
          <w:sz w:val="21"/>
          <w:szCs w:val="21"/>
        </w:rPr>
        <w:t>。</w:t>
      </w:r>
    </w:p>
    <w:sectPr>
      <w:footerReference r:id="rId7" w:type="first"/>
      <w:footerReference r:id="rId5" w:type="default"/>
      <w:footerReference r:id="rId6" w:type="even"/>
      <w:pgSz w:w="16840" w:h="11907" w:orient="landscape"/>
      <w:pgMar w:top="1701" w:right="1418" w:bottom="1418" w:left="1418" w:header="851" w:footer="1134" w:gutter="0"/>
      <w:cols w:space="720" w:num="1"/>
      <w:titlePg/>
      <w:docGrid w:type="lines" w:linePitch="58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10</w:t>
    </w:r>
    <w:r>
      <w:rPr>
        <w:rFonts w:hint="eastAsia" w:ascii="宋体" w:hAnsi="宋体"/>
        <w:sz w:val="28"/>
        <w:szCs w:val="28"/>
      </w:rPr>
      <w:fldChar w:fldCharType="end"/>
    </w:r>
    <w:r>
      <w:rPr>
        <w:rStyle w:val="6"/>
        <w:rFonts w:hint="eastAsia" w:ascii="宋体" w:hAnsi="宋体"/>
        <w:sz w:val="28"/>
        <w:szCs w:val="28"/>
      </w:rPr>
      <w:t>—</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12</w:t>
    </w:r>
    <w: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88"/>
    <w:rsid w:val="00091CBA"/>
    <w:rsid w:val="000923D2"/>
    <w:rsid w:val="000C603E"/>
    <w:rsid w:val="00142D0F"/>
    <w:rsid w:val="00191724"/>
    <w:rsid w:val="001B042B"/>
    <w:rsid w:val="00217E88"/>
    <w:rsid w:val="002473F1"/>
    <w:rsid w:val="00283C7C"/>
    <w:rsid w:val="002C5A56"/>
    <w:rsid w:val="00443262"/>
    <w:rsid w:val="00455F87"/>
    <w:rsid w:val="005172B5"/>
    <w:rsid w:val="005F11BB"/>
    <w:rsid w:val="006A3568"/>
    <w:rsid w:val="007771D6"/>
    <w:rsid w:val="00783D89"/>
    <w:rsid w:val="007C1728"/>
    <w:rsid w:val="0099422B"/>
    <w:rsid w:val="00A42999"/>
    <w:rsid w:val="00B246BA"/>
    <w:rsid w:val="00BD2244"/>
    <w:rsid w:val="00C254A0"/>
    <w:rsid w:val="00C56026"/>
    <w:rsid w:val="00D87694"/>
    <w:rsid w:val="00F6073F"/>
    <w:rsid w:val="00FA5622"/>
    <w:rsid w:val="0A7C3E9C"/>
    <w:rsid w:val="1C9E36A5"/>
    <w:rsid w:val="1F970E04"/>
    <w:rsid w:val="217C61C1"/>
    <w:rsid w:val="3E4E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4470</Words>
  <Characters>4645</Characters>
  <Lines>36</Lines>
  <Paragraphs>10</Paragraphs>
  <TotalTime>30</TotalTime>
  <ScaleCrop>false</ScaleCrop>
  <LinksUpToDate>false</LinksUpToDate>
  <CharactersWithSpaces>4822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2022-07-05T02:01:00Z</dcterms:created>
  <dc:creator>lwb</dc:creator>
  <cp:lastModifiedBy>十三</cp:lastModifiedBy>
  <cp:lastPrinted>2022-07-05T10:04:00Z</cp:lastPrinted>
  <dcterms:modified xsi:type="dcterms:W3CDTF">2022-07-11T02:25:45Z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412A8F4AC103485B83830389389E3371</vt:lpwstr>
  </property>
</Properties>
</file>