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附件2</w:t>
      </w:r>
    </w:p>
    <w:p>
      <w:pPr>
        <w:spacing w:line="300" w:lineRule="exact"/>
        <w:jc w:val="left"/>
        <w:rPr>
          <w:rFonts w:eastAsia="黑体"/>
          <w:kern w:val="0"/>
          <w:szCs w:val="24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山东省省级生态工业园区建设技术报告</w:t>
      </w:r>
    </w:p>
    <w:p>
      <w:pPr>
        <w:autoSpaceDE w:val="0"/>
        <w:autoSpaceDN w:val="0"/>
        <w:adjustRightInd w:val="0"/>
        <w:spacing w:line="60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编制大纲（参考）</w:t>
      </w:r>
    </w:p>
    <w:p>
      <w:pPr>
        <w:autoSpaceDE w:val="0"/>
        <w:autoSpaceDN w:val="0"/>
        <w:adjustRightInd w:val="0"/>
        <w:spacing w:line="400" w:lineRule="exact"/>
        <w:jc w:val="center"/>
        <w:rPr>
          <w:rFonts w:eastAsia="方正小标宋简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仿宋_GB2312"/>
          <w:kern w:val="0"/>
          <w:szCs w:val="24"/>
        </w:rPr>
      </w:pPr>
      <w:r>
        <w:rPr>
          <w:rFonts w:eastAsia="仿宋_GB2312"/>
          <w:kern w:val="0"/>
          <w:szCs w:val="24"/>
        </w:rPr>
        <w:t>技术报告应对建设规划具体方案和措施进行可行性分析，并且应对园区环境影响开展回顾性分析和评估（以下简称“回顾性分析”）。回顾性分析的内容包括：园区污染源数量和分布的变化、主要污染物特征和产排污量的变化、潜在的环境风险和应急方案、主要能源和资源的消耗水平及其国内外的比较、区域环境质量的变化、环境法律法规的贯彻执行、环保投入、环境管理等。原则上对建设10年以上的园区，要进行过去5—10年的分析；建设不足5年的园区，回顾性分析按实际建设年进行。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一、自然、社会经济和生态环境现状分析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（一）概况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（二）自然条件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（三）社会经济现状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（四）生态环境现状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二、园区建设必要性和有利条件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（一）园区环境影响回顾性分析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（二）必要性和意义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（三）有利条件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（四）制约因素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三、总体设计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（一）指导思想和规划原则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（二）规划范围和依据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（三）总体目标和具体指标（包括主要指标的可达性分析）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（四）总体框架（包括生态工业园区生态链总体描述）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黑体"/>
          <w:kern w:val="0"/>
          <w:szCs w:val="24"/>
        </w:rPr>
      </w:pPr>
      <w:r>
        <w:rPr>
          <w:rFonts w:eastAsia="黑体"/>
          <w:kern w:val="0"/>
          <w:szCs w:val="24"/>
        </w:rPr>
        <w:t>四、行业发展生态工业方案（分行业具体阐述）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（一）现状分析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（二）发展目标和具体指标（包括近期和中期）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（三）污染控制方案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黑体"/>
          <w:kern w:val="0"/>
          <w:szCs w:val="24"/>
        </w:rPr>
      </w:pPr>
      <w:r>
        <w:rPr>
          <w:rFonts w:eastAsia="楷体_GB2312"/>
          <w:kern w:val="0"/>
          <w:szCs w:val="24"/>
        </w:rPr>
        <w:t>（四）工业生态系统设计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（五）废物代谢链构建与完善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仿宋_GB2312"/>
          <w:szCs w:val="24"/>
          <w:shd w:val="clear" w:color="auto" w:fill="FFFFFF"/>
        </w:rPr>
        <w:t>　　</w:t>
      </w:r>
      <w:r>
        <w:rPr>
          <w:rFonts w:eastAsia="黑体"/>
          <w:kern w:val="0"/>
          <w:szCs w:val="24"/>
        </w:rPr>
        <w:t>五、园区污染物控制方案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（一）大气污染控制（包括主要污染源及其发展趋势分析）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（二）水污染控制（包括主要污染源及其发展趋势分析）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（三）固体废物控制（包括工业固废、生活垃圾等及其发展趋势分析）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（四）碳达峰、碳中和控制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楷体_GB2312"/>
          <w:kern w:val="0"/>
          <w:szCs w:val="24"/>
        </w:rPr>
        <w:t>（五）环境监测方案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楷体_GB2312"/>
          <w:kern w:val="0"/>
          <w:szCs w:val="24"/>
        </w:rPr>
      </w:pPr>
      <w:r>
        <w:rPr>
          <w:rFonts w:eastAsia="黑体"/>
          <w:kern w:val="0"/>
          <w:szCs w:val="24"/>
        </w:rPr>
        <w:t>六、重大项目及其投资与效益分析</w:t>
      </w:r>
      <w:r>
        <w:rPr>
          <w:rFonts w:eastAsia="黑体"/>
          <w:kern w:val="0"/>
          <w:szCs w:val="24"/>
        </w:rPr>
        <w:br w:type="textWrapping"/>
      </w:r>
      <w:r>
        <w:rPr>
          <w:rFonts w:eastAsia="仿宋_GB2312"/>
          <w:szCs w:val="24"/>
          <w:shd w:val="clear" w:color="auto" w:fill="FFFFFF"/>
        </w:rPr>
        <w:t>　　</w:t>
      </w:r>
      <w:r>
        <w:rPr>
          <w:rFonts w:eastAsia="楷体_GB2312"/>
          <w:kern w:val="0"/>
          <w:szCs w:val="24"/>
        </w:rPr>
        <w:t>（一）关键入园项目（包括工业项目、基础设施、服务设施等及近期重点项目清单）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（二）效益分析（包括</w:t>
      </w:r>
      <w:r>
        <w:rPr>
          <w:rFonts w:eastAsia="仿宋_GB2312"/>
          <w:szCs w:val="24"/>
        </w:rPr>
        <w:fldChar w:fldCharType="begin"/>
      </w:r>
      <w:r>
        <w:rPr>
          <w:rFonts w:eastAsia="仿宋_GB2312"/>
          <w:szCs w:val="24"/>
        </w:rPr>
        <w:instrText xml:space="preserve"> HYPERLINK "http://www.110.com/ask/browse-c72.html" </w:instrText>
      </w:r>
      <w:r>
        <w:rPr>
          <w:rFonts w:eastAsia="仿宋_GB2312"/>
          <w:szCs w:val="24"/>
        </w:rPr>
        <w:fldChar w:fldCharType="separate"/>
      </w:r>
      <w:r>
        <w:rPr>
          <w:rFonts w:eastAsia="楷体_GB2312"/>
          <w:kern w:val="0"/>
          <w:szCs w:val="24"/>
        </w:rPr>
        <w:t>经济</w:t>
      </w:r>
      <w:r>
        <w:rPr>
          <w:rFonts w:eastAsia="仿宋_GB2312"/>
          <w:szCs w:val="24"/>
        </w:rPr>
        <w:fldChar w:fldCharType="end"/>
      </w:r>
      <w:r>
        <w:rPr>
          <w:rFonts w:eastAsia="楷体_GB2312"/>
          <w:kern w:val="0"/>
          <w:szCs w:val="24"/>
        </w:rPr>
        <w:t>效益、生态环境效益和社会效益的测算）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仿宋_GB2312"/>
          <w:szCs w:val="24"/>
          <w:shd w:val="clear" w:color="auto" w:fill="FFFFFF"/>
        </w:rPr>
        <w:t>　　</w:t>
      </w:r>
      <w:r>
        <w:rPr>
          <w:rFonts w:eastAsia="黑体"/>
          <w:kern w:val="0"/>
          <w:szCs w:val="24"/>
        </w:rPr>
        <w:t>七、保障体系</w:t>
      </w:r>
      <w:r>
        <w:rPr>
          <w:rFonts w:eastAsia="黑体"/>
          <w:kern w:val="0"/>
          <w:szCs w:val="24"/>
        </w:rPr>
        <w:br w:type="textWrapping"/>
      </w:r>
      <w:r>
        <w:rPr>
          <w:rFonts w:eastAsia="仿宋_GB2312"/>
          <w:szCs w:val="24"/>
          <w:shd w:val="clear" w:color="auto" w:fill="FFFFFF"/>
        </w:rPr>
        <w:t>　　</w:t>
      </w:r>
      <w:r>
        <w:rPr>
          <w:rFonts w:eastAsia="楷体_GB2312"/>
          <w:kern w:val="0"/>
          <w:szCs w:val="24"/>
        </w:rPr>
        <w:t>（一）组织机构建设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（二）环境管理、环境监测机制建设</w:t>
      </w:r>
    </w:p>
    <w:p>
      <w:pPr>
        <w:autoSpaceDE w:val="0"/>
        <w:autoSpaceDN w:val="0"/>
        <w:adjustRightInd w:val="0"/>
        <w:spacing w:line="610" w:lineRule="exact"/>
        <w:ind w:firstLine="632" w:firstLineChars="200"/>
        <w:rPr>
          <w:rFonts w:eastAsia="黑体"/>
          <w:kern w:val="0"/>
          <w:szCs w:val="24"/>
        </w:rPr>
      </w:pPr>
      <w:r>
        <w:rPr>
          <w:rFonts w:eastAsia="楷体_GB2312"/>
          <w:kern w:val="0"/>
          <w:szCs w:val="24"/>
        </w:rPr>
        <w:t>（三）产业和</w:t>
      </w:r>
      <w:r>
        <w:rPr>
          <w:rFonts w:eastAsia="仿宋_GB2312"/>
          <w:szCs w:val="24"/>
        </w:rPr>
        <w:fldChar w:fldCharType="begin"/>
      </w:r>
      <w:r>
        <w:rPr>
          <w:rFonts w:eastAsia="仿宋_GB2312"/>
          <w:szCs w:val="24"/>
        </w:rPr>
        <w:instrText xml:space="preserve"> HYPERLINK "http://www.110.com/ask/browse-c72.html" </w:instrText>
      </w:r>
      <w:r>
        <w:rPr>
          <w:rFonts w:eastAsia="仿宋_GB2312"/>
          <w:szCs w:val="24"/>
        </w:rPr>
        <w:fldChar w:fldCharType="separate"/>
      </w:r>
      <w:r>
        <w:rPr>
          <w:rFonts w:eastAsia="楷体_GB2312"/>
          <w:kern w:val="0"/>
          <w:szCs w:val="24"/>
        </w:rPr>
        <w:t>经济</w:t>
      </w:r>
      <w:r>
        <w:rPr>
          <w:rFonts w:eastAsia="仿宋_GB2312"/>
          <w:szCs w:val="24"/>
        </w:rPr>
        <w:fldChar w:fldCharType="end"/>
      </w:r>
      <w:r>
        <w:rPr>
          <w:rFonts w:eastAsia="楷体_GB2312"/>
          <w:kern w:val="0"/>
          <w:szCs w:val="24"/>
        </w:rPr>
        <w:t>政策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（四）技术保障体系（如信息网络系统、新技术开发、企业孵化器等）</w:t>
      </w:r>
      <w:r>
        <w:rPr>
          <w:rFonts w:eastAsia="楷体_GB2312"/>
          <w:kern w:val="0"/>
          <w:szCs w:val="24"/>
        </w:rPr>
        <w:br w:type="textWrapping"/>
      </w:r>
      <w:r>
        <w:rPr>
          <w:rFonts w:eastAsia="楷体_GB2312"/>
          <w:kern w:val="0"/>
          <w:szCs w:val="24"/>
        </w:rPr>
        <w:t>　　（五）其它措施（如人才的培养和引进、公众参与、宣传教育和国际交流、基础设施建设等）</w:t>
      </w:r>
      <w:r>
        <w:rPr>
          <w:rFonts w:eastAsia="楷体_GB2312"/>
          <w:kern w:val="0"/>
          <w:szCs w:val="24"/>
        </w:rPr>
        <w:br w:type="textWrapping"/>
      </w:r>
    </w:p>
    <w:p>
      <w:pPr>
        <w:autoSpaceDE w:val="0"/>
        <w:autoSpaceDN w:val="0"/>
        <w:adjustRightInd w:val="0"/>
        <w:rPr>
          <w:rFonts w:eastAsia="黑体"/>
          <w:kern w:val="0"/>
          <w:szCs w:val="24"/>
        </w:rPr>
      </w:pPr>
    </w:p>
    <w:p>
      <w:pPr>
        <w:rPr/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985" w:right="1474" w:bottom="1985" w:left="1588" w:header="851" w:footer="1588" w:gutter="0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33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34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0NDY3MTdlZDE0NjUxMTE2ODQzMmY5MGVlM2VhYzcifQ=="/>
  </w:docVars>
  <w:rsids>
    <w:rsidRoot w:val="07701987"/>
    <w:rsid w:val="07701987"/>
    <w:rsid w:val="219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2022-08-26T07:39:00Z</dcterms:created>
  <dc:creator>乾猫君</dc:creator>
  <cp:lastModifiedBy>乾猫君</cp:lastModifiedBy>
  <dcterms:modified xsi:type="dcterms:W3CDTF">2022-08-26T07:43:18Z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8272C02F111D4C15BCAEA457E92BB95F</vt:lpwstr>
  </property>
</Properties>
</file>