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kern w:val="0"/>
          <w:szCs w:val="24"/>
        </w:rPr>
      </w:pPr>
      <w:r>
        <w:rPr>
          <w:rFonts w:eastAsia="黑体"/>
          <w:kern w:val="0"/>
          <w:szCs w:val="24"/>
        </w:rPr>
        <w:t>附件4</w:t>
      </w:r>
    </w:p>
    <w:p>
      <w:pPr>
        <w:spacing w:line="400" w:lineRule="exact"/>
        <w:jc w:val="left"/>
        <w:rPr>
          <w:rFonts w:eastAsia="黑体"/>
          <w:kern w:val="0"/>
          <w:szCs w:val="24"/>
        </w:rPr>
      </w:pPr>
    </w:p>
    <w:p>
      <w:pPr>
        <w:autoSpaceDE w:val="0"/>
        <w:autoSpaceDN w:val="0"/>
        <w:adjustRightInd w:val="0"/>
        <w:spacing w:line="720" w:lineRule="exact"/>
        <w:jc w:val="center"/>
        <w:rPr>
          <w:rFonts w:eastAsia="方正小标宋简体"/>
          <w:kern w:val="0"/>
          <w:sz w:val="44"/>
          <w:szCs w:val="44"/>
        </w:rPr>
      </w:pPr>
      <w:r>
        <w:rPr>
          <w:rFonts w:eastAsia="方正小标宋简体"/>
          <w:kern w:val="0"/>
          <w:sz w:val="44"/>
          <w:szCs w:val="44"/>
        </w:rPr>
        <w:t>山东省省级生态工业园区建设指标</w:t>
      </w:r>
    </w:p>
    <w:p>
      <w:pPr>
        <w:autoSpaceDE w:val="0"/>
        <w:autoSpaceDN w:val="0"/>
        <w:adjustRightInd w:val="0"/>
        <w:spacing w:line="400" w:lineRule="exact"/>
        <w:jc w:val="center"/>
        <w:rPr>
          <w:rFonts w:eastAsia="方正小标宋简体"/>
          <w:kern w:val="0"/>
          <w:sz w:val="44"/>
          <w:szCs w:val="44"/>
        </w:rPr>
      </w:pPr>
    </w:p>
    <w:tbl>
      <w:tblPr>
        <w:tblStyle w:val="3"/>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8"/>
        <w:gridCol w:w="3812"/>
        <w:gridCol w:w="1118"/>
        <w:gridCol w:w="1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分类</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序号</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指标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单位</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备注1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bookmarkStart w:id="0" w:name="_Hlk88222363"/>
            <w:r>
              <w:rPr>
                <w:rFonts w:eastAsia="黑体"/>
                <w:kern w:val="0"/>
                <w:sz w:val="21"/>
                <w:szCs w:val="21"/>
              </w:rPr>
              <w:t>经济</w:t>
            </w:r>
          </w:p>
          <w:p>
            <w:pPr>
              <w:autoSpaceDE w:val="0"/>
              <w:autoSpaceDN w:val="0"/>
              <w:adjustRightInd w:val="0"/>
              <w:spacing w:line="300" w:lineRule="exact"/>
              <w:jc w:val="center"/>
              <w:rPr>
                <w:rFonts w:eastAsia="黑体"/>
                <w:kern w:val="0"/>
                <w:sz w:val="21"/>
                <w:szCs w:val="21"/>
              </w:rPr>
            </w:pPr>
            <w:r>
              <w:rPr>
                <w:rFonts w:eastAsia="黑体"/>
                <w:kern w:val="0"/>
                <w:sz w:val="21"/>
                <w:szCs w:val="21"/>
              </w:rPr>
              <w:t>发展</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高新技术企业工业总产值占园区工业总产值比例</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≥30</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4项指标至少选择1项达标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人均工业增加值</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万元/人</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≥15</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工业增加值三年年均增长率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≥15</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4</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资源再生利用产业增加值占园区工业增加值比例</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≥30</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5</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单位工业用地面积工业增加值</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亿元/平方公里</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≥9</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6</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eastAsia="黑体"/>
                <w:kern w:val="0"/>
                <w:sz w:val="21"/>
                <w:szCs w:val="21"/>
              </w:rPr>
            </w:pPr>
            <w:r>
              <w:rPr>
                <w:rFonts w:eastAsia="黑体"/>
                <w:kern w:val="0"/>
                <w:sz w:val="21"/>
                <w:szCs w:val="21"/>
              </w:rPr>
              <w:t>单位工业用地面积工业增加值三年年均增长率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≥6</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7</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eastAsia="黑体"/>
                <w:kern w:val="0"/>
                <w:sz w:val="21"/>
                <w:szCs w:val="21"/>
              </w:rPr>
            </w:pPr>
            <w:r>
              <w:rPr>
                <w:rFonts w:eastAsia="黑体"/>
                <w:kern w:val="0"/>
                <w:sz w:val="21"/>
                <w:szCs w:val="21"/>
              </w:rPr>
              <w:t>生态环境准入清单的符合性</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符合</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循环</w:t>
            </w:r>
          </w:p>
          <w:p>
            <w:pPr>
              <w:autoSpaceDE w:val="0"/>
              <w:autoSpaceDN w:val="0"/>
              <w:adjustRightInd w:val="0"/>
              <w:spacing w:line="300" w:lineRule="exact"/>
              <w:jc w:val="center"/>
              <w:rPr>
                <w:rFonts w:eastAsia="黑体"/>
                <w:kern w:val="0"/>
                <w:sz w:val="21"/>
                <w:szCs w:val="21"/>
              </w:rPr>
            </w:pPr>
            <w:r>
              <w:rPr>
                <w:rFonts w:eastAsia="黑体"/>
                <w:kern w:val="0"/>
                <w:sz w:val="21"/>
                <w:szCs w:val="21"/>
              </w:rPr>
              <w:t>发展</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8</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重点企业清洁生产审核实施率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9</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建设规划实施后新增构建生态工业链项目数量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个</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一般工业固体废物综合利用率</w:t>
            </w:r>
            <w:r>
              <w:rPr>
                <w:rFonts w:eastAsia="黑体"/>
                <w:kern w:val="0"/>
                <w:sz w:val="21"/>
                <w:szCs w:val="21"/>
                <w:vertAlign w:val="superscript"/>
              </w:rPr>
              <w:t xml:space="preserve">1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≥75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11</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再生资源循环利用率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≥80</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12</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新鲜水耗弹性系数</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黑体"/>
                <w:kern w:val="0"/>
                <w:sz w:val="21"/>
                <w:szCs w:val="21"/>
              </w:rPr>
            </w:pPr>
            <w:r>
              <w:rPr>
                <w:rFonts w:eastAsia="黑体"/>
                <w:kern w:val="0"/>
                <w:sz w:val="21"/>
                <w:szCs w:val="21"/>
              </w:rPr>
              <w:t>当园区工业增加值建设期年均增长率＞0，≤0.55；当园区工业增加值建设期年均增长率＜0，≥0.55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13</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单位工业增加值新鲜水耗</w:t>
            </w:r>
            <w:r>
              <w:rPr>
                <w:rFonts w:eastAsia="黑体"/>
                <w:kern w:val="0"/>
                <w:sz w:val="21"/>
                <w:szCs w:val="21"/>
                <w:vertAlign w:val="superscript"/>
              </w:rPr>
              <w:t xml:space="preserve">1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吨/万元</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≤8</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14</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工业重复用水率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≥75</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15</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再生水（中水）回用率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≥50%</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低碳</w:t>
            </w:r>
          </w:p>
          <w:p>
            <w:pPr>
              <w:autoSpaceDE w:val="0"/>
              <w:autoSpaceDN w:val="0"/>
              <w:adjustRightInd w:val="0"/>
              <w:spacing w:line="300" w:lineRule="exact"/>
              <w:jc w:val="center"/>
              <w:rPr>
                <w:rFonts w:eastAsia="黑体"/>
                <w:kern w:val="0"/>
                <w:sz w:val="21"/>
                <w:szCs w:val="21"/>
              </w:rPr>
            </w:pPr>
            <w:r>
              <w:rPr>
                <w:rFonts w:eastAsia="黑体"/>
                <w:kern w:val="0"/>
                <w:sz w:val="21"/>
                <w:szCs w:val="21"/>
              </w:rPr>
              <w:t>发展</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16</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综合能耗弹性系数</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黑体"/>
                <w:kern w:val="0"/>
                <w:sz w:val="21"/>
                <w:szCs w:val="21"/>
              </w:rPr>
            </w:pPr>
            <w:r>
              <w:rPr>
                <w:rFonts w:eastAsia="黑体"/>
                <w:kern w:val="0"/>
                <w:sz w:val="21"/>
                <w:szCs w:val="21"/>
              </w:rPr>
              <w:t>当园区工业增加值建设期年均增长率＞0，≤0.6；当园区工业增加值建设期年均增长率＜0，≥0.6</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17</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单位工业增加值综合能耗</w:t>
            </w:r>
            <w:r>
              <w:rPr>
                <w:rFonts w:eastAsia="黑体"/>
                <w:kern w:val="0"/>
                <w:sz w:val="21"/>
                <w:szCs w:val="21"/>
                <w:vertAlign w:val="superscript"/>
              </w:rPr>
              <w:t xml:space="preserve">1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吨标煤/万元</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≤0.5</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18</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eastAsia="黑体"/>
                <w:kern w:val="0"/>
                <w:sz w:val="21"/>
                <w:szCs w:val="21"/>
              </w:rPr>
            </w:pPr>
            <w:r>
              <w:rPr>
                <w:rFonts w:eastAsia="黑体"/>
                <w:kern w:val="0"/>
                <w:sz w:val="21"/>
                <w:szCs w:val="21"/>
                <w:lang w:bidi="ar"/>
              </w:rPr>
              <w:t>可再生能源使用比例</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lang w:bidi="ar"/>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lang w:bidi="ar"/>
              </w:rPr>
              <w:t>≥9</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19</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 xml:space="preserve">单位工业增加值二氧化碳排放量年均削减率1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绿色</w:t>
            </w:r>
          </w:p>
          <w:p>
            <w:pPr>
              <w:autoSpaceDE w:val="0"/>
              <w:autoSpaceDN w:val="0"/>
              <w:adjustRightInd w:val="0"/>
              <w:spacing w:line="300" w:lineRule="exact"/>
              <w:jc w:val="center"/>
              <w:rPr>
                <w:rFonts w:eastAsia="黑体"/>
                <w:kern w:val="0"/>
                <w:sz w:val="21"/>
                <w:szCs w:val="21"/>
              </w:rPr>
            </w:pPr>
            <w:r>
              <w:rPr>
                <w:rFonts w:eastAsia="黑体"/>
                <w:kern w:val="0"/>
                <w:sz w:val="21"/>
                <w:szCs w:val="21"/>
              </w:rPr>
              <w:t>发展</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20</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具备安装有自动在线监控装置的污水集中处理设施</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具备</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21</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园区内重点污染源稳定排放达标情况</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达标</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22</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园区内企事业单位发生特别重大、重大突发环境事件数量</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23</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危险废物（含医疗废物）处置利用率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24</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主要污染物排放弹性系数</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eastAsia="黑体"/>
                <w:kern w:val="0"/>
                <w:sz w:val="21"/>
                <w:szCs w:val="21"/>
              </w:rPr>
            </w:pPr>
            <w:r>
              <w:rPr>
                <w:rFonts w:eastAsia="黑体"/>
                <w:kern w:val="0"/>
                <w:sz w:val="21"/>
                <w:szCs w:val="21"/>
              </w:rPr>
              <w:t>当园区工业增加值建设期年均增长率＞0，≤0.3；当园区工业增加值建设期年均增长率＜0，≥0.3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25</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单位工业增加值废水排放量</w:t>
            </w:r>
            <w:r>
              <w:rPr>
                <w:rFonts w:eastAsia="黑体"/>
                <w:kern w:val="0"/>
                <w:sz w:val="21"/>
                <w:szCs w:val="21"/>
                <w:vertAlign w:val="superscript"/>
              </w:rPr>
              <w:t xml:space="preserve">1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吨/万元</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≤7</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2项指标至少选择1项达标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26</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单位工业增加值固废产生量</w:t>
            </w:r>
            <w:r>
              <w:rPr>
                <w:rFonts w:eastAsia="黑体"/>
                <w:kern w:val="0"/>
                <w:sz w:val="21"/>
                <w:szCs w:val="21"/>
                <w:vertAlign w:val="superscript"/>
              </w:rPr>
              <w:t>1</w:t>
            </w:r>
            <w:r>
              <w:rPr>
                <w:rFonts w:eastAsia="黑体"/>
                <w:kern w:val="0"/>
                <w:sz w:val="21"/>
                <w:szCs w:val="21"/>
              </w:rPr>
              <w:t xml:space="preserve"> </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吨/万元</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≤0.1</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27</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绿化覆盖率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长效</w:t>
            </w:r>
          </w:p>
          <w:p>
            <w:pPr>
              <w:autoSpaceDE w:val="0"/>
              <w:autoSpaceDN w:val="0"/>
              <w:adjustRightInd w:val="0"/>
              <w:spacing w:line="300" w:lineRule="exact"/>
              <w:jc w:val="center"/>
              <w:rPr>
                <w:rFonts w:eastAsia="黑体"/>
                <w:kern w:val="0"/>
                <w:sz w:val="21"/>
                <w:szCs w:val="21"/>
              </w:rPr>
            </w:pPr>
            <w:r>
              <w:rPr>
                <w:rFonts w:eastAsia="黑体"/>
                <w:kern w:val="0"/>
                <w:sz w:val="21"/>
                <w:szCs w:val="21"/>
              </w:rPr>
              <w:t>管理</w:t>
            </w: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28</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环境管理能力完善度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29</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园区环境风险防控体系建设完善度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30</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园区生态环境监测监控体系建设完善度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31</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企业环境信息披露完成率</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黑体"/>
                <w:kern w:val="0"/>
                <w:sz w:val="21"/>
                <w:szCs w:val="21"/>
              </w:rPr>
            </w:pPr>
          </w:p>
        </w:tc>
        <w:tc>
          <w:tcPr>
            <w:tcW w:w="7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32</w:t>
            </w:r>
          </w:p>
        </w:tc>
        <w:tc>
          <w:tcPr>
            <w:tcW w:w="38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left"/>
              <w:rPr>
                <w:rFonts w:eastAsia="黑体"/>
                <w:kern w:val="0"/>
                <w:sz w:val="21"/>
                <w:szCs w:val="21"/>
              </w:rPr>
            </w:pPr>
            <w:r>
              <w:rPr>
                <w:rFonts w:eastAsia="黑体"/>
                <w:kern w:val="0"/>
                <w:sz w:val="21"/>
                <w:szCs w:val="21"/>
              </w:rPr>
              <w:t>生态工业园区主题宣传活动</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次/年</w:t>
            </w:r>
          </w:p>
        </w:tc>
        <w:tc>
          <w:tcPr>
            <w:tcW w:w="183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eastAsia="黑体"/>
                <w:kern w:val="0"/>
                <w:sz w:val="21"/>
                <w:szCs w:val="21"/>
              </w:rPr>
            </w:pPr>
            <w:r>
              <w:rPr>
                <w:rFonts w:eastAsia="黑体"/>
                <w:kern w:val="0"/>
                <w:sz w:val="21"/>
                <w:szCs w:val="21"/>
              </w:rPr>
              <w:t>必选</w:t>
            </w:r>
          </w:p>
        </w:tc>
      </w:tr>
      <w:bookmarkEnd w:id="0"/>
    </w:tbl>
    <w:p>
      <w:pPr>
        <w:autoSpaceDE w:val="0"/>
        <w:autoSpaceDN w:val="0"/>
        <w:adjustRightInd w:val="0"/>
        <w:spacing w:line="300" w:lineRule="exact"/>
        <w:jc w:val="left"/>
        <w:rPr>
          <w:rFonts w:hint="eastAsia" w:eastAsia="仿宋_GB2312"/>
        </w:rPr>
      </w:pPr>
      <w:r>
        <w:rPr>
          <w:rFonts w:eastAsia="黑体"/>
          <w:kern w:val="0"/>
          <w:sz w:val="21"/>
          <w:szCs w:val="21"/>
        </w:rPr>
        <w:t>注：1.园区中某一工业行业产值占园区工业总产值比例大于70%时，该指标的指标值为达到该行业清洁生产标准一级水平或公认国际先进水平。</w:t>
      </w:r>
    </w:p>
    <w:p>
      <w:pPr>
        <w:adjustRightInd w:val="0"/>
        <w:rPr>
          <w:rFonts w:hint="eastAsia" w:eastAsia="仿宋_GB2312"/>
        </w:rPr>
      </w:pPr>
    </w:p>
    <w:p>
      <w:pPr>
        <w:adjustRightInd w:val="0"/>
        <w:ind w:firstLine="632" w:firstLineChars="200"/>
        <w:rPr>
          <w:rFonts w:hint="eastAsia" w:eastAsia="仿宋_GB2312"/>
        </w:rPr>
      </w:pPr>
    </w:p>
    <w:p>
      <w:pPr>
        <w:adjustRightInd w:val="0"/>
      </w:pPr>
      <w:bookmarkStart w:id="1" w:name="_GoBack"/>
      <w:bookmarkEnd w:id="1"/>
      <w:r>
        <w:rPr>
          <w:rFonts w:eastAsia="仿宋_GB231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949325</wp:posOffset>
                </wp:positionV>
                <wp:extent cx="6048375" cy="1577975"/>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6048375" cy="1577975"/>
                        </a:xfrm>
                        <a:prstGeom prst="rect">
                          <a:avLst/>
                        </a:prstGeom>
                        <a:noFill/>
                        <a:ln>
                          <a:noFill/>
                        </a:ln>
                      </wps:spPr>
                      <wps:txbx>
                        <w:txbxContent>
                          <w:p>
                            <w:pPr>
                              <w:rPr>
                                <w:rFonts w:hint="eastAsia" w:ascii="仿宋_GB2312" w:eastAsia="仿宋_GB2312"/>
                              </w:rPr>
                            </w:pPr>
                          </w:p>
                          <w:p/>
                        </w:txbxContent>
                      </wps:txbx>
                      <wps:bodyPr upright="1"/>
                    </wps:wsp>
                  </a:graphicData>
                </a:graphic>
              </wp:anchor>
            </w:drawing>
          </mc:Choice>
          <mc:Fallback>
            <w:pict>
              <v:shape id="_x0000_s1026" o:spid="_x0000_s1026" o:spt="202" type="#_x0000_t202" style="position:absolute;left:0pt;margin-left:-0.75pt;margin-top:74.75pt;height:124.25pt;width:476.25pt;z-index:251659264;mso-width-relative:page;mso-height-relative:page;" filled="f" stroked="f" coordsize="21600,21600" o:gfxdata="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uVvnX&#10;AAAACgEAAA8AAAAAAAAAAQAgAAAAIgAAAGRycy9kb3ducmV2LnhtbFBLAQIUABQAAAAIAIdO4kAj&#10;BWmQrwEAAFMDAAAOAAAAAAAAAAEAIAAAACYBAABkcnMvZTJvRG9jLnhtbFBLBQYAAAAABgAGAFkB&#10;AABHBQAAAAA=&#10;">
                <v:fill on="f" focussize="0,0"/>
                <v:stroke on="f"/>
                <v:imagedata o:title=""/>
                <o:lock v:ext="edit" aspectratio="f"/>
                <v:textbox>
                  <w:txbxContent>
                    <w:p>
                      <w:pPr>
                        <w:rPr>
                          <w:rFonts w:hint="eastAsia" w:ascii="仿宋_GB2312" w:eastAsia="仿宋_GB2312"/>
                        </w:rPr>
                      </w:pPr>
                    </w:p>
                    <w:p/>
                  </w:txbxContent>
                </v:textbox>
              </v:shape>
            </w:pict>
          </mc:Fallback>
        </mc:AlternateContent>
      </w:r>
    </w:p>
    <w:sectPr>
      <w:footerReference r:id="rId5" w:type="first"/>
      <w:footerReference r:id="rId3" w:type="default"/>
      <w:footerReference r:id="rId4" w:type="even"/>
      <w:pgSz w:w="11906" w:h="16838"/>
      <w:pgMar w:top="1985" w:right="1474" w:bottom="1985" w:left="1588"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33</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34</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DY3MTdlZDE0NjUxMTE2ODQzMmY5MGVlM2VhYzcifQ=="/>
  </w:docVars>
  <w:rsids>
    <w:rsidRoot w:val="471D5464"/>
    <w:rsid w:val="2199445A"/>
    <w:rsid w:val="471D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2022-08-26T07:41:00Z</dcterms:created>
  <dc:creator>乾猫君</dc:creator>
  <cp:lastModifiedBy>乾猫君</cp:lastModifiedBy>
  <dcterms:modified xsi:type="dcterms:W3CDTF">2022-08-26T07:43:32Z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BED640DDFCDF4EA38F9C16C5D3E0E810</vt:lpwstr>
  </property>
</Properties>
</file>