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工艺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技术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  <w:lang w:eastAsia="zh-CN"/>
        </w:rPr>
        <w:t>设备</w:t>
      </w:r>
      <w:r>
        <w:rPr>
          <w:rFonts w:hint="default" w:ascii="Times New Roman" w:hAnsi="Times New Roman" w:eastAsia="仿宋_GB2312" w:cs="Times New Roman"/>
          <w:color w:val="070707"/>
          <w:sz w:val="32"/>
          <w:szCs w:val="32"/>
        </w:rPr>
        <w:t>推荐汇总表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72"/>
        <w:gridCol w:w="1737"/>
        <w:gridCol w:w="1713"/>
        <w:gridCol w:w="3750"/>
        <w:gridCol w:w="3587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2" w:hRule="atLeast"/>
        </w:trPr>
        <w:tc>
          <w:tcPr>
            <w:tcW w:w="57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工艺技术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工艺技术设备简介</w:t>
            </w:r>
          </w:p>
        </w:tc>
        <w:tc>
          <w:tcPr>
            <w:tcW w:w="358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关键技术与主要技术指标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eastAsia="zh-CN"/>
              </w:rPr>
              <w:t>和</w:t>
            </w:r>
          </w:p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eastAsia="zh-CN"/>
              </w:rPr>
              <w:t>污染物控制指标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572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50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7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1" w:type="dxa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要求：描述科学准确、语言精炼，以下示例供参考。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示例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732"/>
        <w:gridCol w:w="1732"/>
        <w:gridCol w:w="3743"/>
        <w:gridCol w:w="3573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57" w:hRule="atLeast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工艺技术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设备名称</w:t>
            </w:r>
          </w:p>
        </w:tc>
        <w:tc>
          <w:tcPr>
            <w:tcW w:w="3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2"/>
                <w:vertAlign w:val="baseline"/>
                <w:lang w:val="en-US" w:eastAsia="zh-CN"/>
              </w:rPr>
              <w:t>工艺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技术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简介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关键技术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与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主要技术指标和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污染物控制指标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930" w:hRule="atLeast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  <w:t>XXXXXXX</w:t>
            </w:r>
          </w:p>
        </w:tc>
        <w:tc>
          <w:tcPr>
            <w:tcW w:w="17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粉煤灰提取氧化铝联产超白玻璃、分子筛、硅肥等集成技术</w:t>
            </w:r>
          </w:p>
        </w:tc>
        <w:tc>
          <w:tcPr>
            <w:tcW w:w="37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高铝粉煤灰经预脱硅、生料浆制备、熟料烧成、熟料溶出等工序,产出氧化铝；脱硅液经碳分、改性、纯化、配料、溶制等工序产出超白玻璃；提铝残渣用于制备高纯度沸石分子筛、硅肥等产品，各产品性能均可达到或优于行业标准要求。</w:t>
            </w:r>
          </w:p>
        </w:tc>
        <w:tc>
          <w:tcPr>
            <w:tcW w:w="35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Cs w:val="21"/>
              </w:rPr>
              <w:t>关键技术</w:t>
            </w: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：粉煤灰预脱硅—碱石灰烧结法提取氧化铝技术；脱硅液制备超白玻璃技术；提铝残渣制备分子筛工艺技术；粉煤灰提铝残渣制备高效硅肥工艺技术。</w:t>
            </w:r>
          </w:p>
          <w:p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Cs w:val="21"/>
              </w:rPr>
              <w:t>主要技术指标：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氧化钙提取率达到48%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氧化铝溶出率高达90%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；沸石分子筛产品达到《13X分子筛》（HG/T 2690—2012）要求；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硅肥产品的有效硅含量可达30%左右，超过行业标准《硅肥》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NY/T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797-2004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。</w:t>
            </w:r>
          </w:p>
        </w:tc>
        <w:tc>
          <w:tcPr>
            <w:tcW w:w="18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高铝粉煤灰综合利用</w:t>
            </w:r>
          </w:p>
        </w:tc>
      </w:tr>
    </w:tbl>
    <w:p>
      <w:pPr>
        <w:spacing w:before="0" w:beforeAutospacing="0" w:after="0" w:afterAutospacing="0" w:line="560" w:lineRule="exact"/>
        <w:jc w:val="left"/>
        <w:rPr>
          <w:rFonts w:hint="default" w:ascii="Times New Roman" w:hAnsi="Times New Roman" w:eastAsia="仿宋_GB2312" w:cs="Times New Roman"/>
          <w:color w:val="070707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31" w:right="1928" w:bottom="1531" w:left="192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CS大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FBF3BF6"/>
    <w:rsid w:val="1DDBCA7C"/>
    <w:rsid w:val="2BC69F98"/>
    <w:rsid w:val="2D69CD57"/>
    <w:rsid w:val="2FD578C5"/>
    <w:rsid w:val="3C650F49"/>
    <w:rsid w:val="3EF60035"/>
    <w:rsid w:val="3F57C39F"/>
    <w:rsid w:val="3FE2D467"/>
    <w:rsid w:val="579C8FB2"/>
    <w:rsid w:val="5B8DFBDD"/>
    <w:rsid w:val="5DACDC65"/>
    <w:rsid w:val="5DFECE4F"/>
    <w:rsid w:val="5F3C28A5"/>
    <w:rsid w:val="5F790F62"/>
    <w:rsid w:val="5F7F6FC9"/>
    <w:rsid w:val="5FB7A1C8"/>
    <w:rsid w:val="5FBE070E"/>
    <w:rsid w:val="5FFA9D55"/>
    <w:rsid w:val="63C34980"/>
    <w:rsid w:val="675F34F1"/>
    <w:rsid w:val="677E0BED"/>
    <w:rsid w:val="6B6F57E8"/>
    <w:rsid w:val="6EF7FE30"/>
    <w:rsid w:val="6F5FB808"/>
    <w:rsid w:val="71DF4E46"/>
    <w:rsid w:val="733F11F7"/>
    <w:rsid w:val="73F94CB4"/>
    <w:rsid w:val="76B423A2"/>
    <w:rsid w:val="76EF71ED"/>
    <w:rsid w:val="777FE9EB"/>
    <w:rsid w:val="77CBA3B6"/>
    <w:rsid w:val="7B3B3757"/>
    <w:rsid w:val="7DFBB3D8"/>
    <w:rsid w:val="7E17229D"/>
    <w:rsid w:val="7EB786D6"/>
    <w:rsid w:val="7EF57FCD"/>
    <w:rsid w:val="7FF7C80E"/>
    <w:rsid w:val="8E36EA87"/>
    <w:rsid w:val="93EFAA06"/>
    <w:rsid w:val="9FBF45FC"/>
    <w:rsid w:val="9FF3F5C9"/>
    <w:rsid w:val="A7BF6BBF"/>
    <w:rsid w:val="AD8F1E60"/>
    <w:rsid w:val="AFFE8E99"/>
    <w:rsid w:val="BFB748B3"/>
    <w:rsid w:val="BFBF2068"/>
    <w:rsid w:val="BFF296C0"/>
    <w:rsid w:val="BFFF8214"/>
    <w:rsid w:val="C13F2BCC"/>
    <w:rsid w:val="CF4F35D2"/>
    <w:rsid w:val="CFF7573F"/>
    <w:rsid w:val="CFF75E10"/>
    <w:rsid w:val="D79FAF70"/>
    <w:rsid w:val="D9FF558F"/>
    <w:rsid w:val="DB7DBC3A"/>
    <w:rsid w:val="E7E7A249"/>
    <w:rsid w:val="E7F75529"/>
    <w:rsid w:val="EBFB9BBD"/>
    <w:rsid w:val="EFFA83BF"/>
    <w:rsid w:val="EFFDFCF3"/>
    <w:rsid w:val="F0FB7F1C"/>
    <w:rsid w:val="F3784A9D"/>
    <w:rsid w:val="F5CF9DC3"/>
    <w:rsid w:val="F63F5C4D"/>
    <w:rsid w:val="F9FE28B2"/>
    <w:rsid w:val="F9FFA9F0"/>
    <w:rsid w:val="FA6F6792"/>
    <w:rsid w:val="FAED6597"/>
    <w:rsid w:val="FAF33CE5"/>
    <w:rsid w:val="FBFBE452"/>
    <w:rsid w:val="FC6EAF0D"/>
    <w:rsid w:val="FCFC47FD"/>
    <w:rsid w:val="FDF7F743"/>
    <w:rsid w:val="FDFFAA51"/>
    <w:rsid w:val="FEF31F53"/>
    <w:rsid w:val="FEFF64A6"/>
    <w:rsid w:val="FF575D0C"/>
    <w:rsid w:val="FF5B86A3"/>
    <w:rsid w:val="FF7BBEB6"/>
    <w:rsid w:val="FFBECED6"/>
    <w:rsid w:val="FFDCE4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link w:val="9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eastAsia="文鼎CS大宋" w:cs="Times New Roman"/>
      <w:sz w:val="8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4"/>
    <w:basedOn w:val="1"/>
    <w:link w:val="8"/>
    <w:qFormat/>
    <w:uiPriority w:val="0"/>
    <w:pPr>
      <w:tabs>
        <w:tab w:val="left" w:pos="432"/>
      </w:tabs>
      <w:spacing w:line="400" w:lineRule="exact"/>
      <w:ind w:left="432" w:hanging="432"/>
    </w:pPr>
  </w:style>
  <w:style w:type="character" w:styleId="10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456</Characters>
  <Lines>0</Lines>
  <Paragraphs>0</Paragraphs>
  <TotalTime>0</TotalTime>
  <ScaleCrop>false</ScaleCrop>
  <LinksUpToDate>false</LinksUpToDate>
  <CharactersWithSpaces>458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艾崇</dc:creator>
  <cp:lastModifiedBy>十三</cp:lastModifiedBy>
  <dcterms:modified xsi:type="dcterms:W3CDTF">2022-09-19T07:25:29Z</dcterms:modified>
  <dc:title>为贯彻落实《中华人民共和国固体废物污染环境防治法》，加快推动工业固废减量化资源化先进适用工艺技术设备推广应用，现组织开展工业资源综合利用工艺技术设备征集工作，有关事项通知如下：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5BF75A32BD854E6492CCB28575206FF9</vt:lpwstr>
  </property>
</Properties>
</file>